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FangSong_GB2312" w:hAnsi="FangSong_GB2312" w:eastAsia="FangSong_GB2312" w:cs="FangSong_GB2312"/>
          <w:sz w:val="36"/>
          <w:szCs w:val="36"/>
        </w:rPr>
      </w:pPr>
    </w:p>
    <w:p>
      <w:pPr>
        <w:rPr>
          <w:rFonts w:ascii="FangSong_GB2312" w:hAnsi="FangSong_GB2312" w:eastAsia="FangSong_GB2312" w:cs="FangSong_GB2312"/>
          <w:sz w:val="36"/>
          <w:szCs w:val="36"/>
        </w:rPr>
      </w:pPr>
    </w:p>
    <w:p>
      <w:pPr>
        <w:rPr>
          <w:rFonts w:ascii="FangSong_GB2312" w:hAnsi="FangSong_GB2312" w:eastAsia="FangSong_GB2312" w:cs="FangSong_GB2312"/>
          <w:sz w:val="36"/>
          <w:szCs w:val="36"/>
        </w:rPr>
      </w:pPr>
    </w:p>
    <w:p>
      <w:pPr>
        <w:rPr>
          <w:rFonts w:ascii="FangSong_GB2312" w:hAnsi="FangSong_GB2312" w:eastAsia="FangSong_GB2312" w:cs="FangSong_GB2312"/>
          <w:sz w:val="36"/>
          <w:szCs w:val="36"/>
        </w:rPr>
      </w:pPr>
    </w:p>
    <w:p>
      <w:pPr>
        <w:adjustRightInd w:val="0"/>
        <w:snapToGrid w:val="0"/>
        <w:jc w:val="center"/>
        <w:outlineLvl w:val="0"/>
        <w:rPr>
          <w:rFonts w:ascii="方正小标宋_GBK" w:eastAsia="方正小标宋_GBK"/>
          <w:bCs/>
          <w:sz w:val="72"/>
          <w:szCs w:val="72"/>
        </w:rPr>
      </w:pPr>
      <w:bookmarkStart w:id="0" w:name="_Toc11003"/>
      <w:r>
        <w:rPr>
          <w:rFonts w:hint="eastAsia" w:ascii="方正小标宋_GBK" w:eastAsia="方正小标宋_GBK"/>
          <w:bCs/>
          <w:sz w:val="72"/>
          <w:szCs w:val="72"/>
        </w:rPr>
        <w:t>建设项目环境影响报告表</w:t>
      </w:r>
      <w:bookmarkEnd w:id="0"/>
    </w:p>
    <w:p>
      <w:pPr>
        <w:adjustRightInd w:val="0"/>
        <w:snapToGrid w:val="0"/>
        <w:spacing w:beforeLines="80"/>
        <w:jc w:val="center"/>
        <w:rPr>
          <w:rFonts w:ascii="楷体_GB2312" w:eastAsia="楷体_GB2312"/>
          <w:bCs/>
          <w:sz w:val="48"/>
          <w:szCs w:val="48"/>
        </w:rPr>
      </w:pPr>
      <w:r>
        <w:rPr>
          <w:rFonts w:hint="eastAsia" w:ascii="楷体_GB2312" w:eastAsia="楷体_GB2312"/>
          <w:bCs/>
          <w:sz w:val="48"/>
          <w:szCs w:val="48"/>
        </w:rPr>
        <w:t>（污染影响类）</w:t>
      </w:r>
    </w:p>
    <w:p>
      <w:pPr>
        <w:adjustRightInd w:val="0"/>
        <w:snapToGrid w:val="0"/>
        <w:spacing w:line="288" w:lineRule="auto"/>
        <w:jc w:val="center"/>
        <w:outlineLvl w:val="9"/>
        <w:rPr>
          <w:rFonts w:ascii="华文仿宋" w:hAnsi="华文仿宋" w:eastAsia="华文仿宋" w:cs="华文仿宋"/>
          <w:color w:val="000000"/>
          <w:kern w:val="44"/>
          <w:sz w:val="44"/>
          <w:szCs w:val="44"/>
        </w:rPr>
      </w:pPr>
    </w:p>
    <w:p>
      <w:pPr>
        <w:jc w:val="center"/>
        <w:rPr>
          <w:rFonts w:eastAsia="仿宋"/>
          <w:sz w:val="52"/>
          <w:szCs w:val="52"/>
        </w:rPr>
      </w:pPr>
    </w:p>
    <w:p>
      <w:pPr>
        <w:ind w:firstLine="1040"/>
        <w:rPr>
          <w:rFonts w:eastAsia="仿宋"/>
          <w:sz w:val="44"/>
          <w:szCs w:val="44"/>
        </w:rPr>
      </w:pPr>
    </w:p>
    <w:p>
      <w:pPr>
        <w:ind w:firstLine="1040"/>
        <w:rPr>
          <w:rFonts w:eastAsia="仿宋"/>
          <w:sz w:val="44"/>
          <w:szCs w:val="44"/>
        </w:rPr>
      </w:pPr>
    </w:p>
    <w:p>
      <w:pPr>
        <w:ind w:firstLine="1040"/>
        <w:jc w:val="center"/>
        <w:rPr>
          <w:rFonts w:eastAsia="仿宋"/>
          <w:sz w:val="44"/>
          <w:szCs w:val="44"/>
        </w:rPr>
      </w:pPr>
    </w:p>
    <w:p>
      <w:pPr>
        <w:ind w:firstLine="1040"/>
        <w:rPr>
          <w:rFonts w:eastAsia="仿宋"/>
          <w:sz w:val="44"/>
          <w:szCs w:val="44"/>
        </w:rPr>
      </w:pPr>
    </w:p>
    <w:p>
      <w:pPr>
        <w:adjustRightInd w:val="0"/>
        <w:snapToGrid w:val="0"/>
        <w:spacing w:line="288" w:lineRule="auto"/>
        <w:ind w:left="4501" w:leftChars="172" w:hanging="4140" w:hangingChars="1150"/>
        <w:rPr>
          <w:rFonts w:hint="default" w:eastAsia="宋体"/>
          <w:sz w:val="36"/>
          <w:szCs w:val="36"/>
          <w:u w:val="single"/>
          <w:lang w:val="en-US" w:eastAsia="zh-CN"/>
        </w:rPr>
      </w:pPr>
      <w:r>
        <w:rPr>
          <w:rFonts w:hint="eastAsia" w:ascii="宋体" w:hAnsi="宋体"/>
          <w:sz w:val="36"/>
          <w:szCs w:val="36"/>
        </w:rPr>
        <w:t>项目名称：</w:t>
      </w:r>
      <w:r>
        <w:rPr>
          <w:rFonts w:hint="eastAsia" w:ascii="宋体" w:hAnsi="宋体"/>
          <w:sz w:val="36"/>
          <w:szCs w:val="36"/>
          <w:u w:val="single"/>
        </w:rPr>
        <w:t>年产电机</w:t>
      </w:r>
      <w:r>
        <w:rPr>
          <w:rFonts w:hAnsi="宋体"/>
          <w:sz w:val="36"/>
          <w:szCs w:val="36"/>
          <w:u w:val="single"/>
        </w:rPr>
        <w:t>铁芯</w:t>
      </w:r>
      <w:r>
        <w:rPr>
          <w:sz w:val="36"/>
          <w:szCs w:val="36"/>
          <w:u w:val="single"/>
        </w:rPr>
        <w:t>3000</w:t>
      </w:r>
      <w:r>
        <w:rPr>
          <w:rFonts w:hAnsi="宋体"/>
          <w:sz w:val="36"/>
          <w:szCs w:val="36"/>
          <w:u w:val="single"/>
        </w:rPr>
        <w:t>万套、电机机壳</w:t>
      </w:r>
      <w:r>
        <w:rPr>
          <w:sz w:val="36"/>
          <w:szCs w:val="36"/>
          <w:u w:val="single"/>
        </w:rPr>
        <w:t>2000</w:t>
      </w:r>
    </w:p>
    <w:p>
      <w:pPr>
        <w:adjustRightInd w:val="0"/>
        <w:snapToGrid w:val="0"/>
        <w:spacing w:line="288" w:lineRule="auto"/>
        <w:ind w:firstLine="2160" w:firstLineChars="600"/>
        <w:rPr>
          <w:rFonts w:hint="default" w:eastAsia="宋体"/>
          <w:sz w:val="36"/>
          <w:szCs w:val="36"/>
          <w:u w:val="single"/>
          <w:lang w:val="en-US" w:eastAsia="zh-CN"/>
        </w:rPr>
      </w:pPr>
      <w:r>
        <w:rPr>
          <w:rFonts w:hint="eastAsia" w:hAnsi="宋体"/>
          <w:sz w:val="36"/>
          <w:szCs w:val="36"/>
          <w:u w:val="single"/>
          <w:lang w:val="en-US" w:eastAsia="zh-CN"/>
        </w:rPr>
        <w:t xml:space="preserve">             </w:t>
      </w:r>
      <w:r>
        <w:rPr>
          <w:rFonts w:hAnsi="宋体"/>
          <w:sz w:val="36"/>
          <w:szCs w:val="36"/>
          <w:u w:val="single"/>
        </w:rPr>
        <w:t>万只项目</w:t>
      </w:r>
      <w:r>
        <w:rPr>
          <w:rFonts w:hint="eastAsia" w:hAnsi="宋体"/>
          <w:sz w:val="36"/>
          <w:szCs w:val="36"/>
          <w:u w:val="single"/>
          <w:lang w:val="en-US" w:eastAsia="zh-CN"/>
        </w:rPr>
        <w:t xml:space="preserve">              </w:t>
      </w:r>
    </w:p>
    <w:p>
      <w:pPr>
        <w:adjustRightInd w:val="0"/>
        <w:snapToGrid w:val="0"/>
        <w:spacing w:line="288" w:lineRule="auto"/>
        <w:ind w:firstLine="360" w:firstLineChars="100"/>
        <w:rPr>
          <w:rFonts w:hint="eastAsia" w:ascii="宋体" w:hAnsi="宋体" w:eastAsia="宋体"/>
          <w:sz w:val="36"/>
          <w:szCs w:val="36"/>
          <w:u w:val="single"/>
          <w:lang w:val="en-US" w:eastAsia="zh-CN"/>
        </w:rPr>
      </w:pPr>
      <w:r>
        <w:rPr>
          <w:rFonts w:hint="eastAsia" w:ascii="宋体" w:hAnsi="宋体"/>
          <w:sz w:val="36"/>
          <w:szCs w:val="36"/>
        </w:rPr>
        <w:t>建设单位（盖章）：</w:t>
      </w:r>
      <w:r>
        <w:rPr>
          <w:rFonts w:hint="eastAsia" w:ascii="宋体" w:hAnsi="宋体"/>
          <w:sz w:val="36"/>
          <w:szCs w:val="36"/>
          <w:u w:val="single"/>
        </w:rPr>
        <w:t xml:space="preserve">    常州宝捷冲片有限公司   </w:t>
      </w:r>
      <w:r>
        <w:rPr>
          <w:rFonts w:hint="eastAsia" w:ascii="宋体" w:hAnsi="宋体"/>
          <w:sz w:val="36"/>
          <w:szCs w:val="36"/>
          <w:u w:val="single"/>
          <w:lang w:val="en-US" w:eastAsia="zh-CN"/>
        </w:rPr>
        <w:t xml:space="preserve"> </w:t>
      </w:r>
    </w:p>
    <w:p>
      <w:pPr>
        <w:adjustRightInd w:val="0"/>
        <w:snapToGrid w:val="0"/>
        <w:spacing w:line="288" w:lineRule="auto"/>
        <w:ind w:firstLine="360" w:firstLineChars="100"/>
        <w:rPr>
          <w:rFonts w:hint="eastAsia" w:ascii="宋体" w:hAnsi="宋体" w:eastAsia="宋体"/>
          <w:sz w:val="36"/>
          <w:szCs w:val="36"/>
          <w:u w:val="single"/>
          <w:lang w:val="en-US" w:eastAsia="zh-CN"/>
        </w:rPr>
      </w:pPr>
      <w:r>
        <w:rPr>
          <w:rFonts w:hint="eastAsia" w:ascii="宋体" w:hAnsi="宋体"/>
          <w:sz w:val="36"/>
          <w:szCs w:val="36"/>
        </w:rPr>
        <w:t>编制日期：</w:t>
      </w:r>
      <w:r>
        <w:rPr>
          <w:rFonts w:hint="eastAsia" w:ascii="宋体" w:hAnsi="宋体"/>
          <w:sz w:val="36"/>
          <w:szCs w:val="36"/>
          <w:u w:val="single"/>
        </w:rPr>
        <w:t xml:space="preserve"> </w:t>
      </w:r>
      <w:r>
        <w:rPr>
          <w:rFonts w:ascii="宋体" w:hAnsi="宋体"/>
          <w:sz w:val="36"/>
          <w:szCs w:val="36"/>
          <w:u w:val="single"/>
        </w:rPr>
        <w:t xml:space="preserve">        </w:t>
      </w:r>
      <w:r>
        <w:rPr>
          <w:rFonts w:hint="eastAsia" w:ascii="宋体" w:hAnsi="宋体"/>
          <w:sz w:val="36"/>
          <w:szCs w:val="36"/>
          <w:u w:val="single"/>
        </w:rPr>
        <w:t xml:space="preserve">   </w:t>
      </w:r>
      <w:r>
        <w:rPr>
          <w:rFonts w:hint="eastAsia"/>
          <w:sz w:val="36"/>
          <w:szCs w:val="36"/>
          <w:u w:val="single"/>
        </w:rPr>
        <w:t>2022</w:t>
      </w:r>
      <w:r>
        <w:rPr>
          <w:sz w:val="36"/>
          <w:szCs w:val="36"/>
          <w:u w:val="single"/>
        </w:rPr>
        <w:t>年</w:t>
      </w:r>
      <w:r>
        <w:rPr>
          <w:rFonts w:hint="eastAsia"/>
          <w:sz w:val="36"/>
          <w:szCs w:val="36"/>
          <w:u w:val="single"/>
          <w:lang w:val="en-US" w:eastAsia="zh-CN"/>
        </w:rPr>
        <w:t>6</w:t>
      </w:r>
      <w:r>
        <w:rPr>
          <w:sz w:val="36"/>
          <w:szCs w:val="36"/>
          <w:u w:val="single"/>
        </w:rPr>
        <w:t>月</w:t>
      </w:r>
      <w:r>
        <w:rPr>
          <w:rFonts w:ascii="宋体" w:hAnsi="宋体"/>
          <w:sz w:val="36"/>
          <w:szCs w:val="36"/>
          <w:u w:val="single"/>
        </w:rPr>
        <w:t xml:space="preserve">      </w:t>
      </w:r>
      <w:r>
        <w:rPr>
          <w:rFonts w:hint="eastAsia" w:ascii="宋体" w:hAnsi="宋体"/>
          <w:sz w:val="36"/>
          <w:szCs w:val="36"/>
          <w:u w:val="single"/>
        </w:rPr>
        <w:t xml:space="preserve">      </w:t>
      </w:r>
      <w:r>
        <w:rPr>
          <w:rFonts w:hint="eastAsia" w:ascii="宋体" w:hAnsi="宋体"/>
          <w:sz w:val="36"/>
          <w:szCs w:val="36"/>
          <w:u w:val="single"/>
          <w:lang w:val="en-US" w:eastAsia="zh-CN"/>
        </w:rPr>
        <w:t xml:space="preserve"> </w:t>
      </w:r>
    </w:p>
    <w:p>
      <w:pPr>
        <w:adjustRightInd w:val="0"/>
        <w:snapToGrid w:val="0"/>
        <w:spacing w:line="288" w:lineRule="auto"/>
        <w:ind w:firstLine="1040"/>
        <w:rPr>
          <w:rFonts w:ascii="FangSong_GB2312" w:eastAsia="FangSong_GB2312"/>
          <w:sz w:val="36"/>
          <w:szCs w:val="36"/>
          <w:u w:val="single"/>
        </w:rPr>
      </w:pPr>
      <w:bookmarkStart w:id="1" w:name="_Hlk57884087"/>
    </w:p>
    <w:p>
      <w:pPr>
        <w:adjustRightInd w:val="0"/>
        <w:snapToGrid w:val="0"/>
        <w:spacing w:line="288" w:lineRule="auto"/>
        <w:rPr>
          <w:rFonts w:ascii="FangSong_GB2312" w:eastAsia="FangSong_GB2312"/>
          <w:sz w:val="36"/>
          <w:szCs w:val="36"/>
        </w:rPr>
      </w:pPr>
    </w:p>
    <w:p>
      <w:pPr>
        <w:adjustRightInd w:val="0"/>
        <w:snapToGrid w:val="0"/>
        <w:spacing w:line="288" w:lineRule="auto"/>
        <w:rPr>
          <w:rFonts w:ascii="FangSong_GB2312" w:eastAsia="FangSong_GB2312"/>
          <w:sz w:val="36"/>
          <w:szCs w:val="36"/>
        </w:rPr>
      </w:pPr>
    </w:p>
    <w:p>
      <w:pPr>
        <w:adjustRightInd w:val="0"/>
        <w:snapToGrid w:val="0"/>
        <w:spacing w:line="288" w:lineRule="auto"/>
        <w:rPr>
          <w:rFonts w:ascii="FangSong_GB2312" w:eastAsia="FangSong_GB2312"/>
          <w:sz w:val="36"/>
          <w:szCs w:val="36"/>
        </w:rPr>
      </w:pPr>
    </w:p>
    <w:bookmarkEnd w:id="1"/>
    <w:p>
      <w:pPr>
        <w:adjustRightInd w:val="0"/>
        <w:snapToGrid w:val="0"/>
        <w:spacing w:line="288" w:lineRule="auto"/>
        <w:jc w:val="center"/>
        <w:rPr>
          <w:rFonts w:ascii="楷体_GB2312" w:eastAsia="楷体_GB2312"/>
          <w:sz w:val="36"/>
          <w:szCs w:val="36"/>
        </w:rPr>
      </w:pPr>
      <w:r>
        <w:rPr>
          <w:rFonts w:hint="eastAsia" w:ascii="楷体_GB2312" w:eastAsia="楷体_GB2312"/>
          <w:sz w:val="36"/>
          <w:szCs w:val="36"/>
        </w:rPr>
        <w:t>中华人民共和国生态环境部制</w:t>
      </w:r>
    </w:p>
    <w:p>
      <w:pPr>
        <w:adjustRightInd w:val="0"/>
        <w:snapToGrid w:val="0"/>
        <w:spacing w:line="288" w:lineRule="auto"/>
        <w:ind w:firstLine="1040"/>
        <w:rPr>
          <w:rFonts w:ascii="FangSong_GB2312" w:eastAsia="FangSong_GB2312"/>
          <w:sz w:val="36"/>
          <w:szCs w:val="36"/>
        </w:rPr>
        <w:sectPr>
          <w:footerReference r:id="rId4" w:type="default"/>
          <w:headerReference r:id="rId3" w:type="even"/>
          <w:footerReference r:id="rId5" w:type="even"/>
          <w:pgSz w:w="11906" w:h="16838"/>
          <w:pgMar w:top="1701" w:right="1531" w:bottom="1701" w:left="1531" w:header="851" w:footer="1077" w:gutter="0"/>
          <w:pgNumType w:start="3"/>
          <w:cols w:space="720" w:num="1"/>
          <w:titlePg/>
          <w:docGrid w:linePitch="312" w:charSpace="0"/>
        </w:sectPr>
      </w:pPr>
    </w:p>
    <w:sdt>
      <w:sdtPr>
        <w:rPr>
          <w:rFonts w:ascii="宋体" w:hAnsi="宋体" w:eastAsia="宋体" w:cs="Times New Roman"/>
          <w:kern w:val="2"/>
          <w:sz w:val="30"/>
          <w:szCs w:val="30"/>
          <w:lang w:val="en-US" w:eastAsia="zh-CN" w:bidi="ar-SA"/>
        </w:rPr>
        <w:id w:val="147478065"/>
        <w15:color w:val="DBDBDB"/>
        <w:docPartObj>
          <w:docPartGallery w:val="Table of Contents"/>
          <w:docPartUnique/>
        </w:docPartObj>
      </w:sdtPr>
      <w:sdtEndPr>
        <w:rPr>
          <w:rFonts w:ascii="宋体" w:hAnsi="宋体" w:eastAsia="FangSong_GB2312" w:cs="宋体"/>
          <w:kern w:val="2"/>
          <w:sz w:val="28"/>
          <w:szCs w:val="28"/>
          <w:lang w:val="en-US" w:eastAsia="zh-CN" w:bidi="ar-SA"/>
        </w:rPr>
      </w:sdtEndPr>
      <w:sdtContent>
        <w:p>
          <w:pPr>
            <w:spacing w:before="0" w:beforeLines="0" w:after="0" w:afterLines="0" w:line="240" w:lineRule="auto"/>
            <w:ind w:left="0" w:leftChars="0" w:right="0" w:rightChars="0" w:firstLine="0" w:firstLineChars="0"/>
            <w:jc w:val="center"/>
            <w:rPr>
              <w:sz w:val="30"/>
              <w:szCs w:val="30"/>
            </w:rPr>
          </w:pPr>
          <w:r>
            <w:rPr>
              <w:rFonts w:ascii="宋体" w:hAnsi="宋体" w:eastAsia="宋体"/>
              <w:sz w:val="30"/>
              <w:szCs w:val="30"/>
            </w:rPr>
            <w:t>目录</w:t>
          </w:r>
        </w:p>
        <w:p>
          <w:pPr>
            <w:pStyle w:val="86"/>
            <w:keepNext w:val="0"/>
            <w:keepLines w:val="0"/>
            <w:pageBreakBefore w:val="0"/>
            <w:widowControl/>
            <w:tabs>
              <w:tab w:val="right" w:leader="dot" w:pos="8844"/>
            </w:tabs>
            <w:kinsoku/>
            <w:wordWrap/>
            <w:overflowPunct/>
            <w:topLinePunct w:val="0"/>
            <w:autoSpaceDE/>
            <w:autoSpaceDN/>
            <w:bidi w:val="0"/>
            <w:adjustRightInd/>
            <w:snapToGrid/>
            <w:spacing w:line="360" w:lineRule="auto"/>
            <w:textAlignment w:val="auto"/>
            <w:rPr>
              <w:sz w:val="24"/>
              <w:szCs w:val="24"/>
            </w:rPr>
          </w:pPr>
          <w:r>
            <w:fldChar w:fldCharType="begin"/>
          </w:r>
          <w:r>
            <w:instrText xml:space="preserve">TOC \o "1-1" \h \u </w:instrText>
          </w:r>
          <w:r>
            <w:fldChar w:fldCharType="separate"/>
          </w:r>
        </w:p>
        <w:p>
          <w:pPr>
            <w:pStyle w:val="86"/>
            <w:keepNext w:val="0"/>
            <w:keepLines w:val="0"/>
            <w:pageBreakBefore w:val="0"/>
            <w:widowControl/>
            <w:tabs>
              <w:tab w:val="right" w:leader="dot" w:pos="8844"/>
            </w:tabs>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inorEastAsia"/>
              <w:b w:val="0"/>
              <w:bCs w:val="0"/>
              <w:sz w:val="24"/>
              <w:szCs w:val="24"/>
            </w:rPr>
          </w:pPr>
          <w:r>
            <w:rPr>
              <w:rFonts w:hint="default" w:ascii="Times New Roman" w:hAnsi="Times New Roman" w:cs="Times New Roman" w:eastAsiaTheme="minorEastAsia"/>
              <w:b w:val="0"/>
              <w:bCs w:val="0"/>
              <w:sz w:val="24"/>
              <w:szCs w:val="24"/>
            </w:rPr>
            <w:fldChar w:fldCharType="begin"/>
          </w:r>
          <w:r>
            <w:rPr>
              <w:rFonts w:hint="default" w:ascii="Times New Roman" w:hAnsi="Times New Roman" w:cs="Times New Roman" w:eastAsiaTheme="minorEastAsia"/>
              <w:b w:val="0"/>
              <w:bCs w:val="0"/>
              <w:sz w:val="24"/>
              <w:szCs w:val="24"/>
            </w:rPr>
            <w:instrText xml:space="preserve"> HYPERLINK \l _Toc26343 </w:instrText>
          </w:r>
          <w:r>
            <w:rPr>
              <w:rFonts w:hint="default" w:ascii="Times New Roman" w:hAnsi="Times New Roman" w:cs="Times New Roman" w:eastAsiaTheme="minorEastAsia"/>
              <w:b w:val="0"/>
              <w:bCs w:val="0"/>
              <w:sz w:val="24"/>
              <w:szCs w:val="24"/>
            </w:rPr>
            <w:fldChar w:fldCharType="separate"/>
          </w:r>
          <w:r>
            <w:rPr>
              <w:rFonts w:hint="default" w:ascii="Times New Roman" w:hAnsi="Times New Roman" w:cs="Times New Roman" w:eastAsiaTheme="minorEastAsia"/>
              <w:b w:val="0"/>
              <w:bCs w:val="0"/>
              <w:snapToGrid w:val="0"/>
              <w:sz w:val="24"/>
              <w:szCs w:val="24"/>
            </w:rPr>
            <w:t>一、建设项目基本情况</w:t>
          </w:r>
          <w:r>
            <w:rPr>
              <w:rFonts w:hint="default" w:ascii="Times New Roman" w:hAnsi="Times New Roman" w:cs="Times New Roman" w:eastAsiaTheme="minorEastAsia"/>
              <w:b w:val="0"/>
              <w:bCs w:val="0"/>
              <w:sz w:val="24"/>
              <w:szCs w:val="24"/>
            </w:rPr>
            <w:tab/>
          </w:r>
          <w:r>
            <w:rPr>
              <w:rFonts w:hint="default" w:ascii="Times New Roman" w:hAnsi="Times New Roman" w:cs="Times New Roman" w:eastAsiaTheme="minorEastAsia"/>
              <w:b w:val="0"/>
              <w:bCs w:val="0"/>
              <w:sz w:val="24"/>
              <w:szCs w:val="24"/>
            </w:rPr>
            <w:fldChar w:fldCharType="begin"/>
          </w:r>
          <w:r>
            <w:rPr>
              <w:rFonts w:hint="default" w:ascii="Times New Roman" w:hAnsi="Times New Roman" w:cs="Times New Roman" w:eastAsiaTheme="minorEastAsia"/>
              <w:b w:val="0"/>
              <w:bCs w:val="0"/>
              <w:sz w:val="24"/>
              <w:szCs w:val="24"/>
            </w:rPr>
            <w:instrText xml:space="preserve"> PAGEREF _Toc26343 \h </w:instrText>
          </w:r>
          <w:r>
            <w:rPr>
              <w:rFonts w:hint="default" w:ascii="Times New Roman" w:hAnsi="Times New Roman" w:cs="Times New Roman" w:eastAsiaTheme="minorEastAsia"/>
              <w:b w:val="0"/>
              <w:bCs w:val="0"/>
              <w:sz w:val="24"/>
              <w:szCs w:val="24"/>
            </w:rPr>
            <w:fldChar w:fldCharType="separate"/>
          </w:r>
          <w:r>
            <w:rPr>
              <w:rFonts w:hint="default" w:ascii="Times New Roman" w:hAnsi="Times New Roman" w:cs="Times New Roman" w:eastAsiaTheme="minorEastAsia"/>
              <w:b w:val="0"/>
              <w:bCs w:val="0"/>
              <w:sz w:val="24"/>
              <w:szCs w:val="24"/>
            </w:rPr>
            <w:t>1</w:t>
          </w:r>
          <w:r>
            <w:rPr>
              <w:rFonts w:hint="default" w:ascii="Times New Roman" w:hAnsi="Times New Roman" w:cs="Times New Roman" w:eastAsiaTheme="minorEastAsia"/>
              <w:b w:val="0"/>
              <w:bCs w:val="0"/>
              <w:sz w:val="24"/>
              <w:szCs w:val="24"/>
            </w:rPr>
            <w:fldChar w:fldCharType="end"/>
          </w:r>
          <w:r>
            <w:rPr>
              <w:rFonts w:hint="default" w:ascii="Times New Roman" w:hAnsi="Times New Roman" w:cs="Times New Roman" w:eastAsiaTheme="minorEastAsia"/>
              <w:b w:val="0"/>
              <w:bCs w:val="0"/>
              <w:sz w:val="24"/>
              <w:szCs w:val="24"/>
            </w:rPr>
            <w:fldChar w:fldCharType="end"/>
          </w:r>
        </w:p>
        <w:p>
          <w:pPr>
            <w:pStyle w:val="86"/>
            <w:keepNext w:val="0"/>
            <w:keepLines w:val="0"/>
            <w:pageBreakBefore w:val="0"/>
            <w:widowControl/>
            <w:tabs>
              <w:tab w:val="right" w:leader="dot" w:pos="8844"/>
            </w:tabs>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inorEastAsia"/>
              <w:b w:val="0"/>
              <w:bCs w:val="0"/>
              <w:sz w:val="24"/>
              <w:szCs w:val="24"/>
            </w:rPr>
          </w:pPr>
          <w:r>
            <w:rPr>
              <w:rFonts w:hint="default" w:ascii="Times New Roman" w:hAnsi="Times New Roman" w:cs="Times New Roman" w:eastAsiaTheme="minorEastAsia"/>
              <w:b w:val="0"/>
              <w:bCs w:val="0"/>
              <w:sz w:val="24"/>
              <w:szCs w:val="24"/>
            </w:rPr>
            <w:fldChar w:fldCharType="begin"/>
          </w:r>
          <w:r>
            <w:rPr>
              <w:rFonts w:hint="default" w:ascii="Times New Roman" w:hAnsi="Times New Roman" w:cs="Times New Roman" w:eastAsiaTheme="minorEastAsia"/>
              <w:b w:val="0"/>
              <w:bCs w:val="0"/>
              <w:sz w:val="24"/>
              <w:szCs w:val="24"/>
            </w:rPr>
            <w:instrText xml:space="preserve"> HYPERLINK \l _Toc28123 </w:instrText>
          </w:r>
          <w:r>
            <w:rPr>
              <w:rFonts w:hint="default" w:ascii="Times New Roman" w:hAnsi="Times New Roman" w:cs="Times New Roman" w:eastAsiaTheme="minorEastAsia"/>
              <w:b w:val="0"/>
              <w:bCs w:val="0"/>
              <w:sz w:val="24"/>
              <w:szCs w:val="24"/>
            </w:rPr>
            <w:fldChar w:fldCharType="separate"/>
          </w:r>
          <w:r>
            <w:rPr>
              <w:rFonts w:hint="default" w:ascii="Times New Roman" w:hAnsi="Times New Roman" w:cs="Times New Roman" w:eastAsiaTheme="minorEastAsia"/>
              <w:b w:val="0"/>
              <w:bCs w:val="0"/>
              <w:snapToGrid w:val="0"/>
              <w:sz w:val="24"/>
              <w:szCs w:val="24"/>
            </w:rPr>
            <w:t>二、建设项目工程分析</w:t>
          </w:r>
          <w:r>
            <w:rPr>
              <w:rFonts w:hint="default" w:ascii="Times New Roman" w:hAnsi="Times New Roman" w:cs="Times New Roman" w:eastAsiaTheme="minorEastAsia"/>
              <w:b w:val="0"/>
              <w:bCs w:val="0"/>
              <w:sz w:val="24"/>
              <w:szCs w:val="24"/>
            </w:rPr>
            <w:tab/>
          </w:r>
          <w:r>
            <w:rPr>
              <w:rFonts w:hint="default" w:ascii="Times New Roman" w:hAnsi="Times New Roman" w:cs="Times New Roman" w:eastAsiaTheme="minorEastAsia"/>
              <w:b w:val="0"/>
              <w:bCs w:val="0"/>
              <w:sz w:val="24"/>
              <w:szCs w:val="24"/>
            </w:rPr>
            <w:fldChar w:fldCharType="begin"/>
          </w:r>
          <w:r>
            <w:rPr>
              <w:rFonts w:hint="default" w:ascii="Times New Roman" w:hAnsi="Times New Roman" w:cs="Times New Roman" w:eastAsiaTheme="minorEastAsia"/>
              <w:b w:val="0"/>
              <w:bCs w:val="0"/>
              <w:sz w:val="24"/>
              <w:szCs w:val="24"/>
            </w:rPr>
            <w:instrText xml:space="preserve"> PAGEREF _Toc28123 \h </w:instrText>
          </w:r>
          <w:r>
            <w:rPr>
              <w:rFonts w:hint="default" w:ascii="Times New Roman" w:hAnsi="Times New Roman" w:cs="Times New Roman" w:eastAsiaTheme="minorEastAsia"/>
              <w:b w:val="0"/>
              <w:bCs w:val="0"/>
              <w:sz w:val="24"/>
              <w:szCs w:val="24"/>
            </w:rPr>
            <w:fldChar w:fldCharType="separate"/>
          </w:r>
          <w:r>
            <w:rPr>
              <w:rFonts w:hint="default" w:ascii="Times New Roman" w:hAnsi="Times New Roman" w:cs="Times New Roman" w:eastAsiaTheme="minorEastAsia"/>
              <w:b w:val="0"/>
              <w:bCs w:val="0"/>
              <w:sz w:val="24"/>
              <w:szCs w:val="24"/>
            </w:rPr>
            <w:t>18</w:t>
          </w:r>
          <w:r>
            <w:rPr>
              <w:rFonts w:hint="default" w:ascii="Times New Roman" w:hAnsi="Times New Roman" w:cs="Times New Roman" w:eastAsiaTheme="minorEastAsia"/>
              <w:b w:val="0"/>
              <w:bCs w:val="0"/>
              <w:sz w:val="24"/>
              <w:szCs w:val="24"/>
            </w:rPr>
            <w:fldChar w:fldCharType="end"/>
          </w:r>
          <w:r>
            <w:rPr>
              <w:rFonts w:hint="default" w:ascii="Times New Roman" w:hAnsi="Times New Roman" w:cs="Times New Roman" w:eastAsiaTheme="minorEastAsia"/>
              <w:b w:val="0"/>
              <w:bCs w:val="0"/>
              <w:sz w:val="24"/>
              <w:szCs w:val="24"/>
            </w:rPr>
            <w:fldChar w:fldCharType="end"/>
          </w:r>
        </w:p>
        <w:p>
          <w:pPr>
            <w:pStyle w:val="86"/>
            <w:keepNext w:val="0"/>
            <w:keepLines w:val="0"/>
            <w:pageBreakBefore w:val="0"/>
            <w:widowControl/>
            <w:tabs>
              <w:tab w:val="right" w:leader="dot" w:pos="8844"/>
            </w:tabs>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inorEastAsia"/>
              <w:b w:val="0"/>
              <w:bCs w:val="0"/>
              <w:sz w:val="24"/>
              <w:szCs w:val="24"/>
            </w:rPr>
          </w:pPr>
          <w:r>
            <w:rPr>
              <w:rFonts w:hint="default" w:ascii="Times New Roman" w:hAnsi="Times New Roman" w:cs="Times New Roman" w:eastAsiaTheme="minorEastAsia"/>
              <w:b w:val="0"/>
              <w:bCs w:val="0"/>
              <w:sz w:val="24"/>
              <w:szCs w:val="24"/>
            </w:rPr>
            <w:fldChar w:fldCharType="begin"/>
          </w:r>
          <w:r>
            <w:rPr>
              <w:rFonts w:hint="default" w:ascii="Times New Roman" w:hAnsi="Times New Roman" w:cs="Times New Roman" w:eastAsiaTheme="minorEastAsia"/>
              <w:b w:val="0"/>
              <w:bCs w:val="0"/>
              <w:sz w:val="24"/>
              <w:szCs w:val="24"/>
            </w:rPr>
            <w:instrText xml:space="preserve"> HYPERLINK \l _Toc26313 </w:instrText>
          </w:r>
          <w:r>
            <w:rPr>
              <w:rFonts w:hint="default" w:ascii="Times New Roman" w:hAnsi="Times New Roman" w:cs="Times New Roman" w:eastAsiaTheme="minorEastAsia"/>
              <w:b w:val="0"/>
              <w:bCs w:val="0"/>
              <w:sz w:val="24"/>
              <w:szCs w:val="24"/>
            </w:rPr>
            <w:fldChar w:fldCharType="separate"/>
          </w:r>
          <w:r>
            <w:rPr>
              <w:rFonts w:hint="default" w:ascii="Times New Roman" w:hAnsi="Times New Roman" w:cs="Times New Roman" w:eastAsiaTheme="minorEastAsia"/>
              <w:b w:val="0"/>
              <w:bCs w:val="0"/>
              <w:snapToGrid w:val="0"/>
              <w:sz w:val="24"/>
              <w:szCs w:val="24"/>
            </w:rPr>
            <w:t>三、区域环境质量现状、环境保护目标及评价标准</w:t>
          </w:r>
          <w:r>
            <w:rPr>
              <w:rFonts w:hint="default" w:ascii="Times New Roman" w:hAnsi="Times New Roman" w:cs="Times New Roman" w:eastAsiaTheme="minorEastAsia"/>
              <w:b w:val="0"/>
              <w:bCs w:val="0"/>
              <w:sz w:val="24"/>
              <w:szCs w:val="24"/>
            </w:rPr>
            <w:tab/>
          </w:r>
          <w:r>
            <w:rPr>
              <w:rFonts w:hint="default" w:ascii="Times New Roman" w:hAnsi="Times New Roman" w:cs="Times New Roman" w:eastAsiaTheme="minorEastAsia"/>
              <w:b w:val="0"/>
              <w:bCs w:val="0"/>
              <w:sz w:val="24"/>
              <w:szCs w:val="24"/>
            </w:rPr>
            <w:fldChar w:fldCharType="begin"/>
          </w:r>
          <w:r>
            <w:rPr>
              <w:rFonts w:hint="default" w:ascii="Times New Roman" w:hAnsi="Times New Roman" w:cs="Times New Roman" w:eastAsiaTheme="minorEastAsia"/>
              <w:b w:val="0"/>
              <w:bCs w:val="0"/>
              <w:sz w:val="24"/>
              <w:szCs w:val="24"/>
            </w:rPr>
            <w:instrText xml:space="preserve"> PAGEREF _Toc26313 \h </w:instrText>
          </w:r>
          <w:r>
            <w:rPr>
              <w:rFonts w:hint="default" w:ascii="Times New Roman" w:hAnsi="Times New Roman" w:cs="Times New Roman" w:eastAsiaTheme="minorEastAsia"/>
              <w:b w:val="0"/>
              <w:bCs w:val="0"/>
              <w:sz w:val="24"/>
              <w:szCs w:val="24"/>
            </w:rPr>
            <w:fldChar w:fldCharType="separate"/>
          </w:r>
          <w:r>
            <w:rPr>
              <w:rFonts w:hint="default" w:ascii="Times New Roman" w:hAnsi="Times New Roman" w:cs="Times New Roman" w:eastAsiaTheme="minorEastAsia"/>
              <w:b w:val="0"/>
              <w:bCs w:val="0"/>
              <w:sz w:val="24"/>
              <w:szCs w:val="24"/>
            </w:rPr>
            <w:t>35</w:t>
          </w:r>
          <w:r>
            <w:rPr>
              <w:rFonts w:hint="default" w:ascii="Times New Roman" w:hAnsi="Times New Roman" w:cs="Times New Roman" w:eastAsiaTheme="minorEastAsia"/>
              <w:b w:val="0"/>
              <w:bCs w:val="0"/>
              <w:sz w:val="24"/>
              <w:szCs w:val="24"/>
            </w:rPr>
            <w:fldChar w:fldCharType="end"/>
          </w:r>
          <w:r>
            <w:rPr>
              <w:rFonts w:hint="default" w:ascii="Times New Roman" w:hAnsi="Times New Roman" w:cs="Times New Roman" w:eastAsiaTheme="minorEastAsia"/>
              <w:b w:val="0"/>
              <w:bCs w:val="0"/>
              <w:sz w:val="24"/>
              <w:szCs w:val="24"/>
            </w:rPr>
            <w:fldChar w:fldCharType="end"/>
          </w:r>
        </w:p>
        <w:p>
          <w:pPr>
            <w:pStyle w:val="86"/>
            <w:keepNext w:val="0"/>
            <w:keepLines w:val="0"/>
            <w:pageBreakBefore w:val="0"/>
            <w:widowControl/>
            <w:tabs>
              <w:tab w:val="right" w:leader="dot" w:pos="8844"/>
            </w:tabs>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inorEastAsia"/>
              <w:b w:val="0"/>
              <w:bCs w:val="0"/>
              <w:sz w:val="24"/>
              <w:szCs w:val="24"/>
            </w:rPr>
          </w:pPr>
          <w:r>
            <w:rPr>
              <w:rFonts w:hint="default" w:ascii="Times New Roman" w:hAnsi="Times New Roman" w:cs="Times New Roman" w:eastAsiaTheme="minorEastAsia"/>
              <w:b w:val="0"/>
              <w:bCs w:val="0"/>
              <w:sz w:val="24"/>
              <w:szCs w:val="24"/>
            </w:rPr>
            <w:fldChar w:fldCharType="begin"/>
          </w:r>
          <w:r>
            <w:rPr>
              <w:rFonts w:hint="default" w:ascii="Times New Roman" w:hAnsi="Times New Roman" w:cs="Times New Roman" w:eastAsiaTheme="minorEastAsia"/>
              <w:b w:val="0"/>
              <w:bCs w:val="0"/>
              <w:sz w:val="24"/>
              <w:szCs w:val="24"/>
            </w:rPr>
            <w:instrText xml:space="preserve"> HYPERLINK \l _Toc22731 </w:instrText>
          </w:r>
          <w:r>
            <w:rPr>
              <w:rFonts w:hint="default" w:ascii="Times New Roman" w:hAnsi="Times New Roman" w:cs="Times New Roman" w:eastAsiaTheme="minorEastAsia"/>
              <w:b w:val="0"/>
              <w:bCs w:val="0"/>
              <w:sz w:val="24"/>
              <w:szCs w:val="24"/>
            </w:rPr>
            <w:fldChar w:fldCharType="separate"/>
          </w:r>
          <w:r>
            <w:rPr>
              <w:rFonts w:hint="default" w:ascii="Times New Roman" w:hAnsi="Times New Roman" w:cs="Times New Roman" w:eastAsiaTheme="minorEastAsia"/>
              <w:b w:val="0"/>
              <w:bCs w:val="0"/>
              <w:snapToGrid w:val="0"/>
              <w:sz w:val="24"/>
              <w:szCs w:val="24"/>
            </w:rPr>
            <w:t>四、主要环境影响和保护措施</w:t>
          </w:r>
          <w:r>
            <w:rPr>
              <w:rFonts w:hint="default" w:ascii="Times New Roman" w:hAnsi="Times New Roman" w:cs="Times New Roman" w:eastAsiaTheme="minorEastAsia"/>
              <w:b w:val="0"/>
              <w:bCs w:val="0"/>
              <w:sz w:val="24"/>
              <w:szCs w:val="24"/>
            </w:rPr>
            <w:tab/>
          </w:r>
          <w:r>
            <w:rPr>
              <w:rFonts w:hint="default" w:ascii="Times New Roman" w:hAnsi="Times New Roman" w:cs="Times New Roman" w:eastAsiaTheme="minorEastAsia"/>
              <w:b w:val="0"/>
              <w:bCs w:val="0"/>
              <w:sz w:val="24"/>
              <w:szCs w:val="24"/>
            </w:rPr>
            <w:fldChar w:fldCharType="begin"/>
          </w:r>
          <w:r>
            <w:rPr>
              <w:rFonts w:hint="default" w:ascii="Times New Roman" w:hAnsi="Times New Roman" w:cs="Times New Roman" w:eastAsiaTheme="minorEastAsia"/>
              <w:b w:val="0"/>
              <w:bCs w:val="0"/>
              <w:sz w:val="24"/>
              <w:szCs w:val="24"/>
            </w:rPr>
            <w:instrText xml:space="preserve"> PAGEREF _Toc22731 \h </w:instrText>
          </w:r>
          <w:r>
            <w:rPr>
              <w:rFonts w:hint="default" w:ascii="Times New Roman" w:hAnsi="Times New Roman" w:cs="Times New Roman" w:eastAsiaTheme="minorEastAsia"/>
              <w:b w:val="0"/>
              <w:bCs w:val="0"/>
              <w:sz w:val="24"/>
              <w:szCs w:val="24"/>
            </w:rPr>
            <w:fldChar w:fldCharType="separate"/>
          </w:r>
          <w:r>
            <w:rPr>
              <w:rFonts w:hint="default" w:ascii="Times New Roman" w:hAnsi="Times New Roman" w:cs="Times New Roman" w:eastAsiaTheme="minorEastAsia"/>
              <w:b w:val="0"/>
              <w:bCs w:val="0"/>
              <w:sz w:val="24"/>
              <w:szCs w:val="24"/>
            </w:rPr>
            <w:t>47</w:t>
          </w:r>
          <w:r>
            <w:rPr>
              <w:rFonts w:hint="default" w:ascii="Times New Roman" w:hAnsi="Times New Roman" w:cs="Times New Roman" w:eastAsiaTheme="minorEastAsia"/>
              <w:b w:val="0"/>
              <w:bCs w:val="0"/>
              <w:sz w:val="24"/>
              <w:szCs w:val="24"/>
            </w:rPr>
            <w:fldChar w:fldCharType="end"/>
          </w:r>
          <w:r>
            <w:rPr>
              <w:rFonts w:hint="default" w:ascii="Times New Roman" w:hAnsi="Times New Roman" w:cs="Times New Roman" w:eastAsiaTheme="minorEastAsia"/>
              <w:b w:val="0"/>
              <w:bCs w:val="0"/>
              <w:sz w:val="24"/>
              <w:szCs w:val="24"/>
            </w:rPr>
            <w:fldChar w:fldCharType="end"/>
          </w:r>
        </w:p>
        <w:p>
          <w:pPr>
            <w:pStyle w:val="86"/>
            <w:keepNext w:val="0"/>
            <w:keepLines w:val="0"/>
            <w:pageBreakBefore w:val="0"/>
            <w:widowControl/>
            <w:tabs>
              <w:tab w:val="right" w:leader="dot" w:pos="8844"/>
            </w:tabs>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inorEastAsia"/>
              <w:b w:val="0"/>
              <w:bCs w:val="0"/>
              <w:sz w:val="24"/>
              <w:szCs w:val="24"/>
            </w:rPr>
          </w:pPr>
          <w:r>
            <w:rPr>
              <w:rFonts w:hint="default" w:ascii="Times New Roman" w:hAnsi="Times New Roman" w:cs="Times New Roman" w:eastAsiaTheme="minorEastAsia"/>
              <w:b w:val="0"/>
              <w:bCs w:val="0"/>
              <w:sz w:val="24"/>
              <w:szCs w:val="24"/>
            </w:rPr>
            <w:fldChar w:fldCharType="begin"/>
          </w:r>
          <w:r>
            <w:rPr>
              <w:rFonts w:hint="default" w:ascii="Times New Roman" w:hAnsi="Times New Roman" w:cs="Times New Roman" w:eastAsiaTheme="minorEastAsia"/>
              <w:b w:val="0"/>
              <w:bCs w:val="0"/>
              <w:sz w:val="24"/>
              <w:szCs w:val="24"/>
            </w:rPr>
            <w:instrText xml:space="preserve"> HYPERLINK \l _Toc6607 </w:instrText>
          </w:r>
          <w:r>
            <w:rPr>
              <w:rFonts w:hint="default" w:ascii="Times New Roman" w:hAnsi="Times New Roman" w:cs="Times New Roman" w:eastAsiaTheme="minorEastAsia"/>
              <w:b w:val="0"/>
              <w:bCs w:val="0"/>
              <w:sz w:val="24"/>
              <w:szCs w:val="24"/>
            </w:rPr>
            <w:fldChar w:fldCharType="separate"/>
          </w:r>
          <w:r>
            <w:rPr>
              <w:rFonts w:hint="default" w:ascii="Times New Roman" w:hAnsi="Times New Roman" w:cs="Times New Roman" w:eastAsiaTheme="minorEastAsia"/>
              <w:b w:val="0"/>
              <w:bCs w:val="0"/>
              <w:snapToGrid w:val="0"/>
              <w:sz w:val="24"/>
              <w:szCs w:val="24"/>
            </w:rPr>
            <w:t>五、环境保护措施监督检查清单</w:t>
          </w:r>
          <w:r>
            <w:rPr>
              <w:rFonts w:hint="default" w:ascii="Times New Roman" w:hAnsi="Times New Roman" w:cs="Times New Roman" w:eastAsiaTheme="minorEastAsia"/>
              <w:b w:val="0"/>
              <w:bCs w:val="0"/>
              <w:sz w:val="24"/>
              <w:szCs w:val="24"/>
            </w:rPr>
            <w:tab/>
          </w:r>
          <w:r>
            <w:rPr>
              <w:rFonts w:hint="default" w:ascii="Times New Roman" w:hAnsi="Times New Roman" w:cs="Times New Roman" w:eastAsiaTheme="minorEastAsia"/>
              <w:b w:val="0"/>
              <w:bCs w:val="0"/>
              <w:sz w:val="24"/>
              <w:szCs w:val="24"/>
            </w:rPr>
            <w:fldChar w:fldCharType="begin"/>
          </w:r>
          <w:r>
            <w:rPr>
              <w:rFonts w:hint="default" w:ascii="Times New Roman" w:hAnsi="Times New Roman" w:cs="Times New Roman" w:eastAsiaTheme="minorEastAsia"/>
              <w:b w:val="0"/>
              <w:bCs w:val="0"/>
              <w:sz w:val="24"/>
              <w:szCs w:val="24"/>
            </w:rPr>
            <w:instrText xml:space="preserve"> PAGEREF _Toc6607 \h </w:instrText>
          </w:r>
          <w:r>
            <w:rPr>
              <w:rFonts w:hint="default" w:ascii="Times New Roman" w:hAnsi="Times New Roman" w:cs="Times New Roman" w:eastAsiaTheme="minorEastAsia"/>
              <w:b w:val="0"/>
              <w:bCs w:val="0"/>
              <w:sz w:val="24"/>
              <w:szCs w:val="24"/>
            </w:rPr>
            <w:fldChar w:fldCharType="separate"/>
          </w:r>
          <w:r>
            <w:rPr>
              <w:rFonts w:hint="default" w:ascii="Times New Roman" w:hAnsi="Times New Roman" w:cs="Times New Roman" w:eastAsiaTheme="minorEastAsia"/>
              <w:b w:val="0"/>
              <w:bCs w:val="0"/>
              <w:sz w:val="24"/>
              <w:szCs w:val="24"/>
            </w:rPr>
            <w:t>81</w:t>
          </w:r>
          <w:r>
            <w:rPr>
              <w:rFonts w:hint="default" w:ascii="Times New Roman" w:hAnsi="Times New Roman" w:cs="Times New Roman" w:eastAsiaTheme="minorEastAsia"/>
              <w:b w:val="0"/>
              <w:bCs w:val="0"/>
              <w:sz w:val="24"/>
              <w:szCs w:val="24"/>
            </w:rPr>
            <w:fldChar w:fldCharType="end"/>
          </w:r>
          <w:r>
            <w:rPr>
              <w:rFonts w:hint="default" w:ascii="Times New Roman" w:hAnsi="Times New Roman" w:cs="Times New Roman" w:eastAsiaTheme="minorEastAsia"/>
              <w:b w:val="0"/>
              <w:bCs w:val="0"/>
              <w:sz w:val="24"/>
              <w:szCs w:val="24"/>
            </w:rPr>
            <w:fldChar w:fldCharType="end"/>
          </w:r>
        </w:p>
        <w:p>
          <w:pPr>
            <w:pStyle w:val="86"/>
            <w:keepNext w:val="0"/>
            <w:keepLines w:val="0"/>
            <w:pageBreakBefore w:val="0"/>
            <w:widowControl/>
            <w:tabs>
              <w:tab w:val="right" w:leader="dot" w:pos="8844"/>
            </w:tabs>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inorEastAsia"/>
              <w:b w:val="0"/>
              <w:bCs w:val="0"/>
              <w:sz w:val="24"/>
              <w:szCs w:val="24"/>
            </w:rPr>
          </w:pPr>
          <w:r>
            <w:rPr>
              <w:rFonts w:hint="default" w:ascii="Times New Roman" w:hAnsi="Times New Roman" w:cs="Times New Roman" w:eastAsiaTheme="minorEastAsia"/>
              <w:b w:val="0"/>
              <w:bCs w:val="0"/>
              <w:sz w:val="24"/>
              <w:szCs w:val="24"/>
            </w:rPr>
            <w:fldChar w:fldCharType="begin"/>
          </w:r>
          <w:r>
            <w:rPr>
              <w:rFonts w:hint="default" w:ascii="Times New Roman" w:hAnsi="Times New Roman" w:cs="Times New Roman" w:eastAsiaTheme="minorEastAsia"/>
              <w:b w:val="0"/>
              <w:bCs w:val="0"/>
              <w:sz w:val="24"/>
              <w:szCs w:val="24"/>
            </w:rPr>
            <w:instrText xml:space="preserve"> HYPERLINK \l _Toc18773 </w:instrText>
          </w:r>
          <w:r>
            <w:rPr>
              <w:rFonts w:hint="default" w:ascii="Times New Roman" w:hAnsi="Times New Roman" w:cs="Times New Roman" w:eastAsiaTheme="minorEastAsia"/>
              <w:b w:val="0"/>
              <w:bCs w:val="0"/>
              <w:sz w:val="24"/>
              <w:szCs w:val="24"/>
            </w:rPr>
            <w:fldChar w:fldCharType="separate"/>
          </w:r>
          <w:r>
            <w:rPr>
              <w:rFonts w:hint="default" w:ascii="Times New Roman" w:hAnsi="Times New Roman" w:cs="Times New Roman" w:eastAsiaTheme="minorEastAsia"/>
              <w:b w:val="0"/>
              <w:bCs w:val="0"/>
              <w:snapToGrid w:val="0"/>
              <w:sz w:val="24"/>
              <w:szCs w:val="24"/>
            </w:rPr>
            <w:t>六、结论</w:t>
          </w:r>
          <w:r>
            <w:rPr>
              <w:rFonts w:hint="default" w:ascii="Times New Roman" w:hAnsi="Times New Roman" w:cs="Times New Roman" w:eastAsiaTheme="minorEastAsia"/>
              <w:b w:val="0"/>
              <w:bCs w:val="0"/>
              <w:sz w:val="24"/>
              <w:szCs w:val="24"/>
            </w:rPr>
            <w:tab/>
          </w:r>
          <w:r>
            <w:rPr>
              <w:rFonts w:hint="default" w:ascii="Times New Roman" w:hAnsi="Times New Roman" w:cs="Times New Roman" w:eastAsiaTheme="minorEastAsia"/>
              <w:b w:val="0"/>
              <w:bCs w:val="0"/>
              <w:sz w:val="24"/>
              <w:szCs w:val="24"/>
            </w:rPr>
            <w:fldChar w:fldCharType="begin"/>
          </w:r>
          <w:r>
            <w:rPr>
              <w:rFonts w:hint="default" w:ascii="Times New Roman" w:hAnsi="Times New Roman" w:cs="Times New Roman" w:eastAsiaTheme="minorEastAsia"/>
              <w:b w:val="0"/>
              <w:bCs w:val="0"/>
              <w:sz w:val="24"/>
              <w:szCs w:val="24"/>
            </w:rPr>
            <w:instrText xml:space="preserve"> PAGEREF _Toc18773 \h </w:instrText>
          </w:r>
          <w:r>
            <w:rPr>
              <w:rFonts w:hint="default" w:ascii="Times New Roman" w:hAnsi="Times New Roman" w:cs="Times New Roman" w:eastAsiaTheme="minorEastAsia"/>
              <w:b w:val="0"/>
              <w:bCs w:val="0"/>
              <w:sz w:val="24"/>
              <w:szCs w:val="24"/>
            </w:rPr>
            <w:fldChar w:fldCharType="separate"/>
          </w:r>
          <w:r>
            <w:rPr>
              <w:rFonts w:hint="default" w:ascii="Times New Roman" w:hAnsi="Times New Roman" w:cs="Times New Roman" w:eastAsiaTheme="minorEastAsia"/>
              <w:b w:val="0"/>
              <w:bCs w:val="0"/>
              <w:sz w:val="24"/>
              <w:szCs w:val="24"/>
            </w:rPr>
            <w:t>83</w:t>
          </w:r>
          <w:r>
            <w:rPr>
              <w:rFonts w:hint="default" w:ascii="Times New Roman" w:hAnsi="Times New Roman" w:cs="Times New Roman" w:eastAsiaTheme="minorEastAsia"/>
              <w:b w:val="0"/>
              <w:bCs w:val="0"/>
              <w:sz w:val="24"/>
              <w:szCs w:val="24"/>
            </w:rPr>
            <w:fldChar w:fldCharType="end"/>
          </w:r>
          <w:r>
            <w:rPr>
              <w:rFonts w:hint="default" w:ascii="Times New Roman" w:hAnsi="Times New Roman" w:cs="Times New Roman" w:eastAsiaTheme="minorEastAsia"/>
              <w:b w:val="0"/>
              <w:bCs w:val="0"/>
              <w:sz w:val="24"/>
              <w:szCs w:val="24"/>
            </w:rPr>
            <w:fldChar w:fldCharType="end"/>
          </w:r>
        </w:p>
        <w:p>
          <w:pPr>
            <w:pStyle w:val="86"/>
            <w:keepNext w:val="0"/>
            <w:keepLines w:val="0"/>
            <w:pageBreakBefore w:val="0"/>
            <w:widowControl/>
            <w:tabs>
              <w:tab w:val="right" w:leader="dot" w:pos="8844"/>
            </w:tabs>
            <w:kinsoku/>
            <w:wordWrap/>
            <w:overflowPunct/>
            <w:topLinePunct w:val="0"/>
            <w:autoSpaceDE/>
            <w:autoSpaceDN/>
            <w:bidi w:val="0"/>
            <w:adjustRightInd/>
            <w:snapToGrid/>
            <w:spacing w:line="360" w:lineRule="auto"/>
            <w:textAlignment w:val="auto"/>
            <w:rPr>
              <w:sz w:val="24"/>
              <w:szCs w:val="24"/>
            </w:rPr>
          </w:pPr>
          <w:r>
            <w:rPr>
              <w:rFonts w:hint="default" w:ascii="Times New Roman" w:hAnsi="Times New Roman" w:cs="Times New Roman" w:eastAsiaTheme="minorEastAsia"/>
              <w:b w:val="0"/>
              <w:bCs w:val="0"/>
              <w:sz w:val="24"/>
              <w:szCs w:val="24"/>
            </w:rPr>
            <w:fldChar w:fldCharType="begin"/>
          </w:r>
          <w:r>
            <w:rPr>
              <w:rFonts w:hint="default" w:ascii="Times New Roman" w:hAnsi="Times New Roman" w:cs="Times New Roman" w:eastAsiaTheme="minorEastAsia"/>
              <w:b w:val="0"/>
              <w:bCs w:val="0"/>
              <w:sz w:val="24"/>
              <w:szCs w:val="24"/>
            </w:rPr>
            <w:instrText xml:space="preserve"> HYPERLINK \l _Toc31745 </w:instrText>
          </w:r>
          <w:r>
            <w:rPr>
              <w:rFonts w:hint="default" w:ascii="Times New Roman" w:hAnsi="Times New Roman" w:cs="Times New Roman" w:eastAsiaTheme="minorEastAsia"/>
              <w:b w:val="0"/>
              <w:bCs w:val="0"/>
              <w:sz w:val="24"/>
              <w:szCs w:val="24"/>
            </w:rPr>
            <w:fldChar w:fldCharType="separate"/>
          </w:r>
          <w:r>
            <w:rPr>
              <w:rFonts w:hint="default" w:ascii="Times New Roman" w:hAnsi="Times New Roman" w:cs="Times New Roman" w:eastAsiaTheme="minorEastAsia"/>
              <w:b w:val="0"/>
              <w:bCs w:val="0"/>
              <w:snapToGrid w:val="0"/>
              <w:sz w:val="24"/>
              <w:szCs w:val="24"/>
            </w:rPr>
            <w:t>附表</w:t>
          </w:r>
          <w:bookmarkStart w:id="32" w:name="_GoBack"/>
          <w:bookmarkEnd w:id="32"/>
          <w:r>
            <w:rPr>
              <w:rFonts w:hint="default" w:ascii="Times New Roman" w:hAnsi="Times New Roman" w:cs="Times New Roman" w:eastAsiaTheme="minorEastAsia"/>
              <w:b w:val="0"/>
              <w:bCs w:val="0"/>
              <w:sz w:val="24"/>
              <w:szCs w:val="24"/>
            </w:rPr>
            <w:tab/>
          </w:r>
          <w:r>
            <w:rPr>
              <w:rFonts w:hint="default" w:ascii="Times New Roman" w:hAnsi="Times New Roman" w:cs="Times New Roman" w:eastAsiaTheme="minorEastAsia"/>
              <w:b w:val="0"/>
              <w:bCs w:val="0"/>
              <w:sz w:val="24"/>
              <w:szCs w:val="24"/>
            </w:rPr>
            <w:fldChar w:fldCharType="begin"/>
          </w:r>
          <w:r>
            <w:rPr>
              <w:rFonts w:hint="default" w:ascii="Times New Roman" w:hAnsi="Times New Roman" w:cs="Times New Roman" w:eastAsiaTheme="minorEastAsia"/>
              <w:b w:val="0"/>
              <w:bCs w:val="0"/>
              <w:sz w:val="24"/>
              <w:szCs w:val="24"/>
            </w:rPr>
            <w:instrText xml:space="preserve"> PAGEREF _Toc31745 \h </w:instrText>
          </w:r>
          <w:r>
            <w:rPr>
              <w:rFonts w:hint="default" w:ascii="Times New Roman" w:hAnsi="Times New Roman" w:cs="Times New Roman" w:eastAsiaTheme="minorEastAsia"/>
              <w:b w:val="0"/>
              <w:bCs w:val="0"/>
              <w:sz w:val="24"/>
              <w:szCs w:val="24"/>
            </w:rPr>
            <w:fldChar w:fldCharType="separate"/>
          </w:r>
          <w:r>
            <w:rPr>
              <w:rFonts w:hint="default" w:ascii="Times New Roman" w:hAnsi="Times New Roman" w:cs="Times New Roman" w:eastAsiaTheme="minorEastAsia"/>
              <w:b w:val="0"/>
              <w:bCs w:val="0"/>
              <w:sz w:val="24"/>
              <w:szCs w:val="24"/>
            </w:rPr>
            <w:t>84</w:t>
          </w:r>
          <w:r>
            <w:rPr>
              <w:rFonts w:hint="default" w:ascii="Times New Roman" w:hAnsi="Times New Roman" w:cs="Times New Roman" w:eastAsiaTheme="minorEastAsia"/>
              <w:b w:val="0"/>
              <w:bCs w:val="0"/>
              <w:sz w:val="24"/>
              <w:szCs w:val="24"/>
            </w:rPr>
            <w:fldChar w:fldCharType="end"/>
          </w:r>
          <w:r>
            <w:rPr>
              <w:rFonts w:hint="default" w:ascii="Times New Roman" w:hAnsi="Times New Roman" w:cs="Times New Roman" w:eastAsiaTheme="minorEastAsia"/>
              <w:b w:val="0"/>
              <w:bCs w:val="0"/>
              <w:sz w:val="24"/>
              <w:szCs w:val="24"/>
            </w:rPr>
            <w:fldChar w:fldCharType="end"/>
          </w:r>
        </w:p>
        <w:p>
          <w:pPr>
            <w:pStyle w:val="86"/>
            <w:tabs>
              <w:tab w:val="right" w:leader="dot" w:pos="8844"/>
            </w:tabs>
          </w:pPr>
        </w:p>
        <w:p>
          <w:pPr>
            <w:pStyle w:val="27"/>
            <w:sectPr>
              <w:pgSz w:w="11906" w:h="16838"/>
              <w:pgMar w:top="1701" w:right="1531" w:bottom="1701" w:left="1531" w:header="851" w:footer="1077" w:gutter="0"/>
              <w:pgNumType w:start="3"/>
              <w:cols w:space="720" w:num="1"/>
              <w:titlePg/>
              <w:docGrid w:linePitch="312" w:charSpace="0"/>
            </w:sectPr>
          </w:pPr>
          <w:r>
            <w:fldChar w:fldCharType="end"/>
          </w:r>
        </w:p>
      </w:sdtContent>
    </w:sdt>
    <w:p>
      <w:pPr>
        <w:pStyle w:val="18"/>
        <w:spacing w:before="0" w:beforeAutospacing="0" w:after="0" w:afterAutospacing="0"/>
        <w:contextualSpacing/>
        <w:jc w:val="center"/>
        <w:outlineLvl w:val="0"/>
        <w:rPr>
          <w:rFonts w:ascii="黑体" w:hAnsi="黑体" w:eastAsia="黑体"/>
          <w:snapToGrid w:val="0"/>
          <w:sz w:val="30"/>
          <w:szCs w:val="30"/>
        </w:rPr>
      </w:pPr>
      <w:bookmarkStart w:id="2" w:name="_Toc26343"/>
      <w:r>
        <w:rPr>
          <w:rFonts w:hint="eastAsia" w:ascii="黑体" w:hAnsi="黑体" w:eastAsia="黑体"/>
          <w:snapToGrid w:val="0"/>
          <w:sz w:val="30"/>
          <w:szCs w:val="30"/>
        </w:rPr>
        <w:t>一、建设项目基本情况</w:t>
      </w:r>
      <w:bookmarkEnd w:id="2"/>
    </w:p>
    <w:tbl>
      <w:tblPr>
        <w:tblStyle w:val="21"/>
        <w:tblW w:w="90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41"/>
        <w:gridCol w:w="1394"/>
        <w:gridCol w:w="1741"/>
        <w:gridCol w:w="2225"/>
        <w:gridCol w:w="3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051"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szCs w:val="21"/>
              </w:rPr>
            </w:pPr>
            <w:r>
              <w:rPr>
                <w:rFonts w:hint="eastAsia" w:ascii="宋体" w:hAnsi="宋体" w:cs="宋体"/>
                <w:szCs w:val="21"/>
              </w:rPr>
              <w:t>建设项目名称</w:t>
            </w:r>
          </w:p>
        </w:tc>
        <w:tc>
          <w:tcPr>
            <w:tcW w:w="7000" w:type="dxa"/>
            <w:gridSpan w:val="3"/>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Ansi="宋体"/>
                <w:szCs w:val="21"/>
              </w:rPr>
              <w:t>年产电机铁芯</w:t>
            </w:r>
            <w:r>
              <w:rPr>
                <w:szCs w:val="21"/>
              </w:rPr>
              <w:t>3000</w:t>
            </w:r>
            <w:r>
              <w:rPr>
                <w:rFonts w:hAnsi="宋体"/>
                <w:szCs w:val="21"/>
              </w:rPr>
              <w:t>万套、电机机壳</w:t>
            </w:r>
            <w:r>
              <w:rPr>
                <w:szCs w:val="21"/>
              </w:rPr>
              <w:t>2000</w:t>
            </w:r>
            <w:r>
              <w:rPr>
                <w:rFonts w:hAnsi="宋体"/>
                <w:szCs w:val="21"/>
              </w:rPr>
              <w:t>万只项目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051"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szCs w:val="21"/>
              </w:rPr>
            </w:pPr>
            <w:r>
              <w:rPr>
                <w:rFonts w:hint="eastAsia" w:ascii="宋体" w:hAnsi="宋体" w:cs="宋体"/>
                <w:szCs w:val="21"/>
              </w:rPr>
              <w:t>项目代码</w:t>
            </w:r>
          </w:p>
        </w:tc>
        <w:tc>
          <w:tcPr>
            <w:tcW w:w="7000" w:type="dxa"/>
            <w:gridSpan w:val="3"/>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2</w:t>
            </w:r>
            <w:r>
              <w:rPr>
                <w:rFonts w:hint="eastAsia"/>
                <w:szCs w:val="21"/>
              </w:rPr>
              <w:t>203-320412-89-01-219787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051"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szCs w:val="21"/>
              </w:rPr>
            </w:pPr>
            <w:r>
              <w:rPr>
                <w:rFonts w:hint="eastAsia" w:ascii="宋体" w:hAnsi="宋体" w:cs="宋体"/>
                <w:szCs w:val="21"/>
              </w:rPr>
              <w:t>建设单位联系人</w:t>
            </w:r>
          </w:p>
        </w:tc>
        <w:tc>
          <w:tcPr>
            <w:tcW w:w="1717"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Ansi="宋体"/>
                <w:szCs w:val="21"/>
              </w:rPr>
              <w:t>邹楚楠</w:t>
            </w:r>
          </w:p>
        </w:tc>
        <w:tc>
          <w:tcPr>
            <w:tcW w:w="2225"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Ansi="宋体"/>
                <w:szCs w:val="21"/>
              </w:rPr>
              <w:t>联系方式</w:t>
            </w:r>
          </w:p>
        </w:tc>
        <w:tc>
          <w:tcPr>
            <w:tcW w:w="3058"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15006120322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051"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szCs w:val="21"/>
              </w:rPr>
            </w:pPr>
            <w:r>
              <w:rPr>
                <w:rFonts w:hint="eastAsia" w:ascii="宋体" w:hAnsi="宋体" w:cs="宋体"/>
                <w:szCs w:val="21"/>
              </w:rPr>
              <w:t>建设地点</w:t>
            </w:r>
          </w:p>
        </w:tc>
        <w:tc>
          <w:tcPr>
            <w:tcW w:w="7000" w:type="dxa"/>
            <w:gridSpan w:val="3"/>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Ansi="宋体"/>
                <w:szCs w:val="21"/>
              </w:rPr>
              <w:t>江苏省常州市武进区洛阳镇新科西路</w:t>
            </w:r>
            <w:r>
              <w:rPr>
                <w:szCs w:val="21"/>
              </w:rPr>
              <w:t>21</w:t>
            </w:r>
            <w:r>
              <w:rPr>
                <w:rFonts w:hAnsi="宋体"/>
                <w:szCs w:val="21"/>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051"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szCs w:val="21"/>
              </w:rPr>
            </w:pPr>
            <w:r>
              <w:rPr>
                <w:rFonts w:hint="eastAsia" w:ascii="宋体" w:hAnsi="宋体" w:cs="宋体"/>
                <w:szCs w:val="21"/>
              </w:rPr>
              <w:t>地理坐标</w:t>
            </w:r>
          </w:p>
        </w:tc>
        <w:tc>
          <w:tcPr>
            <w:tcW w:w="7000" w:type="dxa"/>
            <w:gridSpan w:val="3"/>
            <w:vAlign w:val="center"/>
          </w:tcPr>
          <w:p>
            <w:pPr>
              <w:keepNext w:val="0"/>
              <w:keepLines w:val="0"/>
              <w:suppressLineNumbers w:val="0"/>
              <w:spacing w:before="0" w:beforeAutospacing="0" w:after="0" w:afterAutospacing="0"/>
              <w:ind w:left="0" w:right="0"/>
              <w:jc w:val="center"/>
              <w:rPr>
                <w:szCs w:val="21"/>
              </w:rPr>
            </w:pPr>
            <w:r>
              <w:rPr>
                <w:rFonts w:hAnsi="宋体"/>
                <w:szCs w:val="21"/>
              </w:rPr>
              <w:t>（</w:t>
            </w:r>
            <w:r>
              <w:rPr>
                <w:szCs w:val="21"/>
                <w:u w:val="single"/>
              </w:rPr>
              <w:t>120</w:t>
            </w:r>
            <w:r>
              <w:rPr>
                <w:rFonts w:hAnsi="宋体"/>
                <w:szCs w:val="21"/>
              </w:rPr>
              <w:t>度</w:t>
            </w:r>
            <w:r>
              <w:rPr>
                <w:rFonts w:hint="eastAsia"/>
                <w:szCs w:val="21"/>
                <w:u w:val="single"/>
              </w:rPr>
              <w:t>3</w:t>
            </w:r>
            <w:r>
              <w:rPr>
                <w:rFonts w:hAnsi="宋体"/>
                <w:szCs w:val="21"/>
              </w:rPr>
              <w:t>分</w:t>
            </w:r>
            <w:r>
              <w:rPr>
                <w:rFonts w:hint="eastAsia"/>
                <w:szCs w:val="21"/>
                <w:u w:val="single"/>
              </w:rPr>
              <w:t>54.116</w:t>
            </w:r>
            <w:r>
              <w:rPr>
                <w:rFonts w:hAnsi="宋体"/>
                <w:szCs w:val="21"/>
              </w:rPr>
              <w:t>秒，</w:t>
            </w:r>
            <w:r>
              <w:rPr>
                <w:szCs w:val="21"/>
                <w:u w:val="single"/>
              </w:rPr>
              <w:t>31</w:t>
            </w:r>
            <w:r>
              <w:rPr>
                <w:rFonts w:hAnsi="宋体"/>
                <w:szCs w:val="21"/>
              </w:rPr>
              <w:t>度</w:t>
            </w:r>
            <w:r>
              <w:rPr>
                <w:szCs w:val="21"/>
                <w:u w:val="single"/>
              </w:rPr>
              <w:t>39</w:t>
            </w:r>
            <w:r>
              <w:rPr>
                <w:rFonts w:hAnsi="宋体"/>
                <w:szCs w:val="21"/>
              </w:rPr>
              <w:t>分</w:t>
            </w:r>
            <w:r>
              <w:rPr>
                <w:rFonts w:hint="eastAsia"/>
                <w:szCs w:val="21"/>
                <w:u w:val="single"/>
              </w:rPr>
              <w:t>7.105</w:t>
            </w:r>
            <w:r>
              <w:rPr>
                <w:rFonts w:hAnsi="宋体"/>
                <w:szCs w:val="21"/>
              </w:rPr>
              <w:t>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2051"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szCs w:val="21"/>
              </w:rPr>
            </w:pPr>
            <w:r>
              <w:rPr>
                <w:rFonts w:hint="eastAsia" w:ascii="宋体" w:hAnsi="宋体" w:cs="宋体"/>
                <w:szCs w:val="21"/>
              </w:rPr>
              <w:t>国民经济</w:t>
            </w:r>
          </w:p>
          <w:p>
            <w:pPr>
              <w:keepNext w:val="0"/>
              <w:keepLines w:val="0"/>
              <w:suppressLineNumbers w:val="0"/>
              <w:adjustRightInd w:val="0"/>
              <w:snapToGrid w:val="0"/>
              <w:spacing w:before="0" w:beforeAutospacing="0" w:after="0" w:afterAutospacing="0"/>
              <w:ind w:left="0" w:right="0"/>
              <w:jc w:val="center"/>
              <w:rPr>
                <w:rFonts w:ascii="宋体" w:hAnsi="宋体" w:cs="宋体"/>
                <w:szCs w:val="21"/>
              </w:rPr>
            </w:pPr>
            <w:r>
              <w:rPr>
                <w:rFonts w:hint="eastAsia" w:ascii="宋体" w:hAnsi="宋体" w:cs="宋体"/>
                <w:szCs w:val="21"/>
              </w:rPr>
              <w:t>行业类别</w:t>
            </w:r>
          </w:p>
        </w:tc>
        <w:tc>
          <w:tcPr>
            <w:tcW w:w="1717"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C3819</w:t>
            </w:r>
            <w:r>
              <w:rPr>
                <w:rFonts w:hAnsi="宋体"/>
                <w:szCs w:val="21"/>
              </w:rPr>
              <w:t>其他电机制造</w:t>
            </w:r>
          </w:p>
        </w:tc>
        <w:tc>
          <w:tcPr>
            <w:tcW w:w="2225"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Ansi="宋体"/>
                <w:szCs w:val="21"/>
              </w:rPr>
              <w:t>建设项目</w:t>
            </w:r>
          </w:p>
          <w:p>
            <w:pPr>
              <w:keepNext w:val="0"/>
              <w:keepLines w:val="0"/>
              <w:suppressLineNumbers w:val="0"/>
              <w:adjustRightInd w:val="0"/>
              <w:snapToGrid w:val="0"/>
              <w:spacing w:before="0" w:beforeAutospacing="0" w:after="0" w:afterAutospacing="0"/>
              <w:ind w:left="0" w:right="0"/>
              <w:jc w:val="center"/>
              <w:rPr>
                <w:szCs w:val="21"/>
              </w:rPr>
            </w:pPr>
            <w:r>
              <w:rPr>
                <w:rFonts w:hAnsi="宋体"/>
                <w:szCs w:val="21"/>
              </w:rPr>
              <w:t>行业类别</w:t>
            </w:r>
          </w:p>
        </w:tc>
        <w:tc>
          <w:tcPr>
            <w:tcW w:w="3058"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Ansi="宋体"/>
                <w:szCs w:val="21"/>
              </w:rPr>
              <w:t>三十五、电气机械和器材制造业</w:t>
            </w:r>
          </w:p>
          <w:p>
            <w:pPr>
              <w:keepNext w:val="0"/>
              <w:keepLines w:val="0"/>
              <w:suppressLineNumbers w:val="0"/>
              <w:adjustRightInd w:val="0"/>
              <w:snapToGrid w:val="0"/>
              <w:spacing w:before="0" w:beforeAutospacing="0" w:after="0" w:afterAutospacing="0"/>
              <w:ind w:left="0" w:right="0"/>
              <w:jc w:val="center"/>
              <w:rPr>
                <w:szCs w:val="21"/>
              </w:rPr>
            </w:pPr>
            <w:r>
              <w:rPr>
                <w:szCs w:val="21"/>
              </w:rPr>
              <w:t>77</w:t>
            </w:r>
            <w:r>
              <w:rPr>
                <w:rFonts w:hAnsi="宋体"/>
                <w:szCs w:val="21"/>
              </w:rPr>
              <w:t>电机制造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2051"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szCs w:val="21"/>
              </w:rPr>
            </w:pPr>
            <w:r>
              <w:rPr>
                <w:rFonts w:hint="eastAsia" w:ascii="宋体" w:hAnsi="宋体" w:cs="宋体"/>
                <w:szCs w:val="21"/>
              </w:rPr>
              <w:t>建设性质</w:t>
            </w:r>
          </w:p>
        </w:tc>
        <w:tc>
          <w:tcPr>
            <w:tcW w:w="1717" w:type="dxa"/>
            <w:vAlign w:val="center"/>
          </w:tcPr>
          <w:p>
            <w:pPr>
              <w:keepNext w:val="0"/>
              <w:keepLines w:val="0"/>
              <w:suppressLineNumbers w:val="0"/>
              <w:spacing w:before="0" w:beforeAutospacing="0" w:after="0" w:afterAutospacing="0"/>
              <w:ind w:left="0" w:right="0"/>
              <w:jc w:val="left"/>
              <w:rPr>
                <w:rFonts w:ascii="宋体" w:hAnsi="宋体" w:cs="宋体"/>
                <w:szCs w:val="21"/>
              </w:rPr>
            </w:pPr>
            <w:r>
              <w:rPr>
                <w:rFonts w:ascii="Wingdings 2" w:hAnsi="Wingdings 2" w:cs="宋体"/>
                <w:szCs w:val="21"/>
              </w:rPr>
              <w:t></w:t>
            </w:r>
            <w:r>
              <w:rPr>
                <w:rFonts w:hint="eastAsia" w:ascii="宋体" w:hAnsi="宋体" w:cs="宋体"/>
                <w:szCs w:val="21"/>
              </w:rPr>
              <w:t>新建（迁建）</w:t>
            </w:r>
          </w:p>
          <w:p>
            <w:pPr>
              <w:keepNext w:val="0"/>
              <w:keepLines w:val="0"/>
              <w:suppressLineNumbers w:val="0"/>
              <w:spacing w:before="0" w:beforeAutospacing="0" w:after="0" w:afterAutospacing="0"/>
              <w:ind w:left="0" w:right="0"/>
              <w:jc w:val="left"/>
              <w:rPr>
                <w:rFonts w:ascii="宋体" w:hAnsi="宋体" w:cs="宋体"/>
                <w:szCs w:val="21"/>
              </w:rPr>
            </w:pPr>
            <w:r>
              <w:rPr>
                <w:rFonts w:hint="eastAsia" w:ascii="宋体" w:hAnsi="宋体" w:cs="宋体"/>
                <w:szCs w:val="21"/>
              </w:rPr>
              <w:t>□改建</w:t>
            </w:r>
          </w:p>
          <w:p>
            <w:pPr>
              <w:keepNext w:val="0"/>
              <w:keepLines w:val="0"/>
              <w:suppressLineNumbers w:val="0"/>
              <w:spacing w:before="0" w:beforeAutospacing="0" w:after="0" w:afterAutospacing="0"/>
              <w:ind w:left="0" w:right="0"/>
              <w:jc w:val="left"/>
              <w:rPr>
                <w:rFonts w:ascii="宋体" w:hAnsi="宋体" w:cs="宋体"/>
                <w:szCs w:val="21"/>
              </w:rPr>
            </w:pPr>
            <w:r>
              <w:rPr>
                <w:rFonts w:hint="eastAsia" w:ascii="宋体" w:hAnsi="宋体" w:cs="宋体"/>
                <w:szCs w:val="21"/>
              </w:rPr>
              <w:t>□扩建</w:t>
            </w:r>
          </w:p>
          <w:p>
            <w:pPr>
              <w:keepNext w:val="0"/>
              <w:keepLines w:val="0"/>
              <w:suppressLineNumbers w:val="0"/>
              <w:spacing w:before="0" w:beforeAutospacing="0" w:after="0" w:afterAutospacing="0"/>
              <w:ind w:left="0" w:right="0"/>
              <w:jc w:val="left"/>
              <w:rPr>
                <w:rFonts w:ascii="宋体" w:hAnsi="宋体" w:cs="宋体"/>
                <w:szCs w:val="21"/>
              </w:rPr>
            </w:pPr>
            <w:r>
              <w:rPr>
                <w:rFonts w:hint="eastAsia" w:ascii="宋体" w:hAnsi="宋体" w:cs="宋体"/>
                <w:szCs w:val="21"/>
              </w:rPr>
              <w:t>□技术改造</w:t>
            </w:r>
          </w:p>
        </w:tc>
        <w:tc>
          <w:tcPr>
            <w:tcW w:w="2225"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szCs w:val="21"/>
              </w:rPr>
            </w:pPr>
            <w:r>
              <w:rPr>
                <w:rFonts w:hint="eastAsia" w:ascii="宋体" w:hAnsi="宋体" w:cs="宋体"/>
                <w:szCs w:val="21"/>
              </w:rPr>
              <w:t>建设项目</w:t>
            </w:r>
          </w:p>
          <w:p>
            <w:pPr>
              <w:keepNext w:val="0"/>
              <w:keepLines w:val="0"/>
              <w:suppressLineNumbers w:val="0"/>
              <w:adjustRightInd w:val="0"/>
              <w:snapToGrid w:val="0"/>
              <w:spacing w:before="0" w:beforeAutospacing="0" w:after="0" w:afterAutospacing="0"/>
              <w:ind w:left="0" w:right="0"/>
              <w:jc w:val="center"/>
              <w:rPr>
                <w:rFonts w:ascii="宋体" w:hAnsi="宋体" w:cs="宋体"/>
                <w:szCs w:val="21"/>
              </w:rPr>
            </w:pPr>
            <w:r>
              <w:rPr>
                <w:rFonts w:hint="eastAsia" w:ascii="宋体" w:hAnsi="宋体" w:cs="宋体"/>
                <w:szCs w:val="21"/>
              </w:rPr>
              <w:t>申报情形</w:t>
            </w:r>
          </w:p>
        </w:tc>
        <w:tc>
          <w:tcPr>
            <w:tcW w:w="3058" w:type="dxa"/>
            <w:vAlign w:val="center"/>
          </w:tcPr>
          <w:p>
            <w:pPr>
              <w:keepNext w:val="0"/>
              <w:keepLines w:val="0"/>
              <w:suppressLineNumbers w:val="0"/>
              <w:spacing w:before="0" w:beforeAutospacing="0" w:after="0" w:afterAutospacing="0"/>
              <w:ind w:left="0" w:right="0"/>
              <w:jc w:val="left"/>
              <w:rPr>
                <w:rFonts w:ascii="宋体" w:hAnsi="宋体" w:cs="宋体"/>
                <w:szCs w:val="21"/>
              </w:rPr>
            </w:pPr>
            <w:r>
              <w:rPr>
                <w:rFonts w:ascii="Wingdings 2" w:hAnsi="Wingdings 2" w:cs="宋体"/>
                <w:szCs w:val="21"/>
              </w:rPr>
              <w:t></w:t>
            </w:r>
            <w:r>
              <w:rPr>
                <w:rFonts w:hint="eastAsia" w:ascii="宋体" w:hAnsi="宋体" w:cs="宋体"/>
                <w:szCs w:val="21"/>
              </w:rPr>
              <w:t>首次申报项目</w:t>
            </w:r>
          </w:p>
          <w:p>
            <w:pPr>
              <w:keepNext w:val="0"/>
              <w:keepLines w:val="0"/>
              <w:suppressLineNumbers w:val="0"/>
              <w:spacing w:before="0" w:beforeAutospacing="0" w:after="0" w:afterAutospacing="0"/>
              <w:ind w:left="0" w:right="0"/>
              <w:jc w:val="left"/>
              <w:rPr>
                <w:rFonts w:ascii="宋体" w:hAnsi="宋体" w:cs="宋体"/>
                <w:szCs w:val="21"/>
              </w:rPr>
            </w:pPr>
            <w:r>
              <w:rPr>
                <w:rFonts w:hint="eastAsia" w:ascii="宋体" w:hAnsi="宋体" w:cs="宋体"/>
                <w:szCs w:val="21"/>
              </w:rPr>
              <w:t>□不予批准后再次申报项目</w:t>
            </w:r>
          </w:p>
          <w:p>
            <w:pPr>
              <w:keepNext w:val="0"/>
              <w:keepLines w:val="0"/>
              <w:suppressLineNumbers w:val="0"/>
              <w:spacing w:before="0" w:beforeAutospacing="0" w:after="0" w:afterAutospacing="0"/>
              <w:ind w:left="0" w:right="0"/>
              <w:jc w:val="left"/>
              <w:rPr>
                <w:rFonts w:ascii="宋体" w:hAnsi="宋体" w:cs="宋体"/>
                <w:szCs w:val="21"/>
              </w:rPr>
            </w:pPr>
            <w:r>
              <w:rPr>
                <w:rFonts w:hint="eastAsia" w:ascii="宋体" w:hAnsi="宋体" w:cs="宋体"/>
                <w:szCs w:val="21"/>
              </w:rPr>
              <w:sym w:font="Wingdings 2" w:char="00A3"/>
            </w:r>
            <w:r>
              <w:rPr>
                <w:rFonts w:hint="eastAsia" w:ascii="宋体" w:hAnsi="宋体" w:cs="宋体"/>
                <w:szCs w:val="21"/>
              </w:rPr>
              <w:t>超五年重新审核项目</w:t>
            </w:r>
          </w:p>
          <w:p>
            <w:pPr>
              <w:keepNext w:val="0"/>
              <w:keepLines w:val="0"/>
              <w:suppressLineNumbers w:val="0"/>
              <w:spacing w:before="0" w:beforeAutospacing="0" w:after="0" w:afterAutospacing="0"/>
              <w:ind w:left="0" w:right="0"/>
              <w:jc w:val="left"/>
              <w:rPr>
                <w:rFonts w:ascii="宋体" w:hAnsi="宋体" w:cs="宋体"/>
                <w:szCs w:val="21"/>
              </w:rPr>
            </w:pPr>
            <w:r>
              <w:rPr>
                <w:rFonts w:hint="eastAsia" w:ascii="宋体" w:hAnsi="宋体" w:cs="宋体"/>
                <w:szCs w:val="21"/>
              </w:rPr>
              <w:t>□重大变动重新报批项目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2051"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szCs w:val="21"/>
              </w:rPr>
            </w:pPr>
            <w:r>
              <w:rPr>
                <w:rFonts w:hint="eastAsia" w:ascii="宋体" w:hAnsi="宋体" w:cs="宋体"/>
                <w:szCs w:val="21"/>
              </w:rPr>
              <w:t>项目审批（核准</w:t>
            </w:r>
            <w:r>
              <w:rPr>
                <w:rFonts w:ascii="宋体" w:hAnsi="宋体" w:cs="宋体"/>
                <w:szCs w:val="21"/>
              </w:rPr>
              <w:t>/</w:t>
            </w:r>
          </w:p>
          <w:p>
            <w:pPr>
              <w:keepNext w:val="0"/>
              <w:keepLines w:val="0"/>
              <w:suppressLineNumbers w:val="0"/>
              <w:adjustRightInd w:val="0"/>
              <w:snapToGrid w:val="0"/>
              <w:spacing w:before="0" w:beforeAutospacing="0" w:after="0" w:afterAutospacing="0"/>
              <w:ind w:left="0" w:right="0"/>
              <w:jc w:val="center"/>
              <w:rPr>
                <w:rFonts w:ascii="宋体" w:hAnsi="宋体" w:cs="宋体"/>
                <w:szCs w:val="21"/>
              </w:rPr>
            </w:pPr>
            <w:r>
              <w:rPr>
                <w:rFonts w:hint="eastAsia" w:ascii="宋体" w:hAnsi="宋体" w:cs="宋体"/>
                <w:szCs w:val="21"/>
              </w:rPr>
              <w:t>备案）部门（选填）</w:t>
            </w:r>
          </w:p>
        </w:tc>
        <w:tc>
          <w:tcPr>
            <w:tcW w:w="1717"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Ansi="宋体"/>
                <w:szCs w:val="21"/>
              </w:rPr>
              <w:t>常州市武进区行政审批局</w:t>
            </w:r>
          </w:p>
        </w:tc>
        <w:tc>
          <w:tcPr>
            <w:tcW w:w="2225"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Ansi="宋体"/>
                <w:szCs w:val="21"/>
              </w:rPr>
              <w:t>项目审批（核准</w:t>
            </w:r>
            <w:r>
              <w:rPr>
                <w:szCs w:val="21"/>
              </w:rPr>
              <w:t>/</w:t>
            </w:r>
          </w:p>
          <w:p>
            <w:pPr>
              <w:keepNext w:val="0"/>
              <w:keepLines w:val="0"/>
              <w:suppressLineNumbers w:val="0"/>
              <w:adjustRightInd w:val="0"/>
              <w:snapToGrid w:val="0"/>
              <w:spacing w:before="0" w:beforeAutospacing="0" w:after="0" w:afterAutospacing="0"/>
              <w:ind w:left="0" w:right="0"/>
              <w:jc w:val="center"/>
              <w:rPr>
                <w:szCs w:val="21"/>
              </w:rPr>
            </w:pPr>
            <w:r>
              <w:rPr>
                <w:rFonts w:hAnsi="宋体"/>
                <w:szCs w:val="21"/>
              </w:rPr>
              <w:t>备案）文号（选填）</w:t>
            </w:r>
          </w:p>
        </w:tc>
        <w:tc>
          <w:tcPr>
            <w:tcW w:w="3058"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Ansi="宋体"/>
                <w:szCs w:val="21"/>
              </w:rPr>
              <w:t>武行审备〔</w:t>
            </w:r>
            <w:r>
              <w:rPr>
                <w:szCs w:val="21"/>
              </w:rPr>
              <w:t>202</w:t>
            </w:r>
            <w:r>
              <w:rPr>
                <w:rFonts w:hint="eastAsia"/>
                <w:szCs w:val="21"/>
              </w:rPr>
              <w:t>2</w:t>
            </w:r>
            <w:r>
              <w:rPr>
                <w:rFonts w:hAnsi="宋体"/>
                <w:szCs w:val="21"/>
              </w:rPr>
              <w:t>〕</w:t>
            </w:r>
            <w:r>
              <w:rPr>
                <w:rFonts w:hint="eastAsia"/>
                <w:szCs w:val="21"/>
              </w:rPr>
              <w:t>57</w:t>
            </w:r>
            <w:r>
              <w:rPr>
                <w:rFonts w:hAnsi="宋体"/>
                <w:szCs w:val="21"/>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051"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szCs w:val="21"/>
              </w:rPr>
            </w:pPr>
            <w:r>
              <w:rPr>
                <w:rFonts w:hint="eastAsia" w:ascii="宋体" w:hAnsi="宋体" w:cs="宋体"/>
                <w:szCs w:val="21"/>
              </w:rPr>
              <w:t>总投资（万元）</w:t>
            </w:r>
          </w:p>
        </w:tc>
        <w:tc>
          <w:tcPr>
            <w:tcW w:w="1717"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3</w:t>
            </w:r>
            <w:r>
              <w:rPr>
                <w:rFonts w:hint="eastAsia"/>
                <w:szCs w:val="21"/>
              </w:rPr>
              <w:t>05</w:t>
            </w:r>
            <w:r>
              <w:rPr>
                <w:szCs w:val="21"/>
              </w:rPr>
              <w:t>00</w:t>
            </w:r>
          </w:p>
        </w:tc>
        <w:tc>
          <w:tcPr>
            <w:tcW w:w="2225"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Ansi="宋体"/>
                <w:szCs w:val="21"/>
              </w:rPr>
              <w:t>环保投资（万元）</w:t>
            </w:r>
          </w:p>
        </w:tc>
        <w:tc>
          <w:tcPr>
            <w:tcW w:w="3058"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051"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szCs w:val="21"/>
              </w:rPr>
            </w:pPr>
            <w:r>
              <w:rPr>
                <w:rFonts w:hint="eastAsia" w:ascii="宋体" w:hAnsi="宋体" w:cs="宋体"/>
                <w:szCs w:val="21"/>
              </w:rPr>
              <w:t>环保投资占比（</w:t>
            </w:r>
            <w:r>
              <w:rPr>
                <w:rFonts w:ascii="宋体" w:hAnsi="宋体" w:cs="宋体"/>
                <w:szCs w:val="21"/>
              </w:rPr>
              <w:t>%</w:t>
            </w:r>
            <w:r>
              <w:rPr>
                <w:rFonts w:hint="eastAsia" w:ascii="宋体" w:hAnsi="宋体" w:cs="宋体"/>
                <w:szCs w:val="21"/>
              </w:rPr>
              <w:t>）</w:t>
            </w:r>
          </w:p>
        </w:tc>
        <w:tc>
          <w:tcPr>
            <w:tcW w:w="1717"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0.</w:t>
            </w:r>
            <w:r>
              <w:rPr>
                <w:rFonts w:hint="eastAsia"/>
                <w:szCs w:val="21"/>
              </w:rPr>
              <w:t>39</w:t>
            </w:r>
          </w:p>
        </w:tc>
        <w:tc>
          <w:tcPr>
            <w:tcW w:w="2225"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Ansi="宋体"/>
                <w:szCs w:val="21"/>
              </w:rPr>
              <w:t>施工工期</w:t>
            </w:r>
          </w:p>
        </w:tc>
        <w:tc>
          <w:tcPr>
            <w:tcW w:w="3058"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3</w:t>
            </w:r>
            <w:r>
              <w:rPr>
                <w:rFonts w:hAnsi="宋体"/>
                <w:szCs w:val="21"/>
              </w:rPr>
              <w:t>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051"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szCs w:val="21"/>
              </w:rPr>
            </w:pPr>
            <w:r>
              <w:rPr>
                <w:rFonts w:hint="eastAsia" w:ascii="宋体" w:hAnsi="宋体" w:cs="宋体"/>
                <w:szCs w:val="21"/>
              </w:rPr>
              <w:t>是否开工建设</w:t>
            </w:r>
          </w:p>
        </w:tc>
        <w:tc>
          <w:tcPr>
            <w:tcW w:w="1717" w:type="dxa"/>
            <w:vAlign w:val="center"/>
          </w:tcPr>
          <w:p>
            <w:pPr>
              <w:keepNext w:val="0"/>
              <w:keepLines w:val="0"/>
              <w:suppressLineNumbers w:val="0"/>
              <w:adjustRightInd w:val="0"/>
              <w:snapToGrid w:val="0"/>
              <w:spacing w:before="0" w:beforeAutospacing="0" w:after="0" w:afterAutospacing="0"/>
              <w:ind w:left="0" w:right="0"/>
              <w:rPr>
                <w:rFonts w:ascii="宋体" w:hAnsi="宋体" w:cs="宋体"/>
                <w:szCs w:val="21"/>
              </w:rPr>
            </w:pPr>
            <w:r>
              <w:rPr>
                <w:rFonts w:ascii="Wingdings 2" w:hAnsi="Wingdings 2" w:cs="宋体"/>
                <w:szCs w:val="21"/>
              </w:rPr>
              <w:t></w:t>
            </w:r>
            <w:r>
              <w:rPr>
                <w:rFonts w:hint="eastAsia" w:ascii="宋体" w:hAnsi="宋体" w:cs="宋体"/>
                <w:szCs w:val="21"/>
              </w:rPr>
              <w:t>否</w:t>
            </w:r>
          </w:p>
          <w:p>
            <w:pPr>
              <w:keepNext w:val="0"/>
              <w:keepLines w:val="0"/>
              <w:suppressLineNumbers w:val="0"/>
              <w:adjustRightInd w:val="0"/>
              <w:snapToGrid w:val="0"/>
              <w:spacing w:before="0" w:beforeAutospacing="0" w:after="0" w:afterAutospacing="0"/>
              <w:ind w:left="0" w:right="0"/>
              <w:rPr>
                <w:rFonts w:ascii="宋体" w:hAnsi="宋体" w:cs="宋体"/>
                <w:szCs w:val="21"/>
              </w:rPr>
            </w:pPr>
            <w:r>
              <w:rPr>
                <w:rFonts w:hint="eastAsia" w:ascii="宋体" w:hAnsi="宋体" w:cs="宋体"/>
                <w:szCs w:val="21"/>
              </w:rPr>
              <w:sym w:font="Wingdings 2" w:char="00A3"/>
            </w:r>
            <w:r>
              <w:rPr>
                <w:rFonts w:hint="eastAsia" w:ascii="宋体" w:hAnsi="宋体" w:cs="宋体"/>
                <w:szCs w:val="21"/>
              </w:rPr>
              <w:t>是：</w:t>
            </w:r>
            <w:r>
              <w:rPr>
                <w:rFonts w:hint="eastAsia" w:ascii="宋体" w:hAnsi="宋体" w:cs="宋体"/>
                <w:szCs w:val="21"/>
                <w:u w:val="single"/>
              </w:rPr>
              <w:t xml:space="preserve">             </w:t>
            </w:r>
          </w:p>
        </w:tc>
        <w:tc>
          <w:tcPr>
            <w:tcW w:w="2225"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spacing w:val="-6"/>
                <w:szCs w:val="21"/>
              </w:rPr>
            </w:pPr>
            <w:r>
              <w:rPr>
                <w:rFonts w:hint="eastAsia" w:ascii="宋体" w:hAnsi="宋体" w:cs="宋体"/>
                <w:spacing w:val="-6"/>
                <w:szCs w:val="21"/>
              </w:rPr>
              <w:t>用</w:t>
            </w:r>
            <w:r>
              <w:rPr>
                <w:rFonts w:hAnsi="宋体"/>
                <w:spacing w:val="-6"/>
                <w:szCs w:val="21"/>
              </w:rPr>
              <w:t>地面积（</w:t>
            </w:r>
            <w:r>
              <w:rPr>
                <w:spacing w:val="-6"/>
                <w:szCs w:val="21"/>
              </w:rPr>
              <w:t>m</w:t>
            </w:r>
            <w:r>
              <w:rPr>
                <w:spacing w:val="-6"/>
                <w:szCs w:val="21"/>
                <w:vertAlign w:val="superscript"/>
              </w:rPr>
              <w:t>2</w:t>
            </w:r>
            <w:r>
              <w:rPr>
                <w:rFonts w:hAnsi="宋体"/>
                <w:spacing w:val="-6"/>
                <w:szCs w:val="21"/>
              </w:rPr>
              <w:t>）</w:t>
            </w:r>
          </w:p>
        </w:tc>
        <w:tc>
          <w:tcPr>
            <w:tcW w:w="3058"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45</w:t>
            </w:r>
            <w:r>
              <w:rPr>
                <w:rFonts w:hint="eastAsia"/>
                <w:szCs w:val="21"/>
                <w:lang w:val="en-US" w:eastAsia="zh-CN"/>
              </w:rPr>
              <w:t>146.5</w:t>
            </w:r>
            <w:r>
              <w:rPr>
                <w:rFonts w:hint="eastAsia"/>
                <w:szCs w:val="21"/>
              </w:rPr>
              <w:t>（68亩）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 w:hRule="atLeast"/>
          <w:jc w:val="center"/>
        </w:trPr>
        <w:tc>
          <w:tcPr>
            <w:tcW w:w="2051" w:type="dxa"/>
            <w:gridSpan w:val="2"/>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ascii="宋体" w:hAnsi="宋体" w:cs="宋体"/>
                <w:kern w:val="0"/>
                <w:szCs w:val="21"/>
              </w:rPr>
            </w:pPr>
            <w:r>
              <w:rPr>
                <w:rFonts w:hint="eastAsia" w:ascii="宋体" w:hAnsi="宋体" w:cs="宋体"/>
                <w:kern w:val="0"/>
                <w:szCs w:val="21"/>
              </w:rPr>
              <w:t>专项评价设置情况</w:t>
            </w:r>
          </w:p>
        </w:tc>
        <w:tc>
          <w:tcPr>
            <w:tcW w:w="7000" w:type="dxa"/>
            <w:gridSpan w:val="3"/>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ascii="宋体" w:hAnsi="宋体" w:cs="宋体"/>
                <w:kern w:val="0"/>
                <w:szCs w:val="21"/>
              </w:rPr>
            </w:pPr>
            <w:r>
              <w:rPr>
                <w:rFonts w:hint="eastAsia" w:ascii="宋体" w:hAnsi="宋体" w:cs="宋体"/>
                <w:kern w:val="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2051" w:type="dxa"/>
            <w:gridSpan w:val="2"/>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ascii="宋体" w:hAnsi="宋体" w:cs="宋体"/>
                <w:kern w:val="0"/>
                <w:szCs w:val="21"/>
              </w:rPr>
            </w:pPr>
            <w:r>
              <w:rPr>
                <w:rFonts w:hint="eastAsia" w:ascii="宋体" w:hAnsi="宋体" w:cs="宋体"/>
                <w:szCs w:val="21"/>
              </w:rPr>
              <w:t>规划情况</w:t>
            </w:r>
          </w:p>
        </w:tc>
        <w:tc>
          <w:tcPr>
            <w:tcW w:w="7000" w:type="dxa"/>
            <w:gridSpan w:val="3"/>
            <w:vAlign w:val="center"/>
          </w:tcPr>
          <w:p>
            <w:pPr>
              <w:keepNext w:val="0"/>
              <w:keepLines w:val="0"/>
              <w:suppressLineNumbers w:val="0"/>
              <w:autoSpaceDE w:val="0"/>
              <w:autoSpaceDN w:val="0"/>
              <w:adjustRightInd w:val="0"/>
              <w:snapToGrid w:val="0"/>
              <w:spacing w:before="0" w:beforeAutospacing="0" w:after="0" w:afterAutospacing="0"/>
              <w:ind w:left="0" w:right="0"/>
              <w:jc w:val="left"/>
              <w:rPr>
                <w:kern w:val="0"/>
                <w:szCs w:val="21"/>
              </w:rPr>
            </w:pPr>
            <w:r>
              <w:rPr>
                <w:kern w:val="0"/>
                <w:szCs w:val="21"/>
              </w:rPr>
              <w:t>规划名称：常州市武进区洛阳镇总体规划（2016-2020年）</w:t>
            </w:r>
          </w:p>
          <w:p>
            <w:pPr>
              <w:keepNext w:val="0"/>
              <w:keepLines w:val="0"/>
              <w:suppressLineNumbers w:val="0"/>
              <w:autoSpaceDE w:val="0"/>
              <w:autoSpaceDN w:val="0"/>
              <w:adjustRightInd w:val="0"/>
              <w:snapToGrid w:val="0"/>
              <w:spacing w:before="0" w:beforeAutospacing="0" w:after="0" w:afterAutospacing="0"/>
              <w:ind w:left="0" w:right="0"/>
              <w:jc w:val="left"/>
              <w:rPr>
                <w:kern w:val="0"/>
                <w:szCs w:val="21"/>
              </w:rPr>
            </w:pPr>
            <w:r>
              <w:rPr>
                <w:kern w:val="0"/>
                <w:szCs w:val="21"/>
              </w:rPr>
              <w:t>规划审批机关：常州市人民政府</w:t>
            </w:r>
          </w:p>
          <w:p>
            <w:pPr>
              <w:keepNext w:val="0"/>
              <w:keepLines w:val="0"/>
              <w:suppressLineNumbers w:val="0"/>
              <w:adjustRightInd w:val="0"/>
              <w:snapToGrid w:val="0"/>
              <w:spacing w:before="0" w:beforeAutospacing="0" w:after="0" w:afterAutospacing="0"/>
              <w:ind w:left="0" w:right="0"/>
              <w:jc w:val="left"/>
              <w:rPr>
                <w:szCs w:val="21"/>
              </w:rPr>
            </w:pPr>
            <w:r>
              <w:rPr>
                <w:kern w:val="0"/>
                <w:szCs w:val="21"/>
              </w:rPr>
              <w:t>规划审批文件名称及文号：常政复【2016】58号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0" w:hRule="atLeast"/>
          <w:jc w:val="center"/>
        </w:trPr>
        <w:tc>
          <w:tcPr>
            <w:tcW w:w="2051" w:type="dxa"/>
            <w:gridSpan w:val="2"/>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szCs w:val="21"/>
              </w:rPr>
            </w:pPr>
            <w:r>
              <w:rPr>
                <w:rFonts w:hint="eastAsia" w:ascii="宋体" w:hAnsi="宋体" w:cs="宋体"/>
                <w:szCs w:val="21"/>
              </w:rPr>
              <w:t>规划环境影响</w:t>
            </w:r>
          </w:p>
          <w:p>
            <w:pPr>
              <w:keepNext w:val="0"/>
              <w:keepLines w:val="0"/>
              <w:suppressLineNumbers w:val="0"/>
              <w:adjustRightInd w:val="0"/>
              <w:snapToGrid w:val="0"/>
              <w:spacing w:before="0" w:beforeAutospacing="0" w:after="0" w:afterAutospacing="0"/>
              <w:ind w:left="0" w:right="0"/>
              <w:jc w:val="center"/>
              <w:rPr>
                <w:rFonts w:ascii="宋体" w:hAnsi="宋体" w:cs="宋体"/>
                <w:kern w:val="0"/>
                <w:szCs w:val="21"/>
              </w:rPr>
            </w:pPr>
            <w:r>
              <w:rPr>
                <w:rFonts w:hint="eastAsia" w:ascii="宋体" w:hAnsi="宋体" w:cs="宋体"/>
                <w:szCs w:val="21"/>
              </w:rPr>
              <w:t>评价情况</w:t>
            </w:r>
          </w:p>
        </w:tc>
        <w:tc>
          <w:tcPr>
            <w:tcW w:w="7000" w:type="dxa"/>
            <w:gridSpan w:val="3"/>
            <w:vAlign w:val="center"/>
          </w:tcPr>
          <w:p>
            <w:pPr>
              <w:keepNext w:val="0"/>
              <w:keepLines w:val="0"/>
              <w:suppressLineNumbers w:val="0"/>
              <w:adjustRightInd w:val="0"/>
              <w:snapToGrid w:val="0"/>
              <w:spacing w:before="0" w:beforeAutospacing="0" w:after="0" w:afterAutospacing="0"/>
              <w:ind w:left="0" w:right="0"/>
              <w:jc w:val="both"/>
            </w:pPr>
            <w:r>
              <w:t>规划名称：《武进区洛阳镇工业集中区规划环境影响报告书》</w:t>
            </w:r>
          </w:p>
          <w:p>
            <w:pPr>
              <w:keepNext w:val="0"/>
              <w:keepLines w:val="0"/>
              <w:suppressLineNumbers w:val="0"/>
              <w:adjustRightInd w:val="0"/>
              <w:snapToGrid w:val="0"/>
              <w:spacing w:before="0" w:beforeAutospacing="0" w:after="0" w:afterAutospacing="0"/>
              <w:ind w:left="0" w:right="0"/>
              <w:jc w:val="both"/>
            </w:pPr>
            <w:r>
              <w:t>规划审批机关：常州市武进区环境保护局</w:t>
            </w:r>
          </w:p>
          <w:p>
            <w:pPr>
              <w:keepNext w:val="0"/>
              <w:keepLines w:val="0"/>
              <w:suppressLineNumbers w:val="0"/>
              <w:adjustRightInd w:val="0"/>
              <w:snapToGrid w:val="0"/>
              <w:spacing w:before="0" w:beforeAutospacing="0" w:after="0" w:afterAutospacing="0"/>
              <w:ind w:left="0" w:right="0"/>
              <w:jc w:val="both"/>
              <w:rPr>
                <w:szCs w:val="21"/>
              </w:rPr>
            </w:pPr>
            <w:r>
              <w:t>审查文件名称及文号：《武进区环保局关于常州市武进区洛阳镇人民政府</w:t>
            </w:r>
            <w:r>
              <w:rPr>
                <w:rFonts w:hint="eastAsia"/>
                <w:lang w:eastAsia="zh-CN"/>
              </w:rPr>
              <w:t>“</w:t>
            </w:r>
            <w:r>
              <w:t>武进区洛阳工业集中区规划</w:t>
            </w:r>
            <w:r>
              <w:rPr>
                <w:rFonts w:hint="eastAsia"/>
                <w:lang w:eastAsia="zh-CN"/>
              </w:rPr>
              <w:t>”</w:t>
            </w:r>
            <w:r>
              <w:t>环境影响报告书的审查意见》（武环行审复[2014]275号）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051" w:type="dxa"/>
            <w:gridSpan w:val="2"/>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ascii="宋体" w:hAnsi="宋体" w:cs="宋体"/>
                <w:kern w:val="0"/>
                <w:szCs w:val="21"/>
              </w:rPr>
            </w:pPr>
            <w:r>
              <w:rPr>
                <w:rFonts w:hint="eastAsia" w:ascii="宋体" w:hAnsi="宋体" w:cs="宋体"/>
                <w:kern w:val="0"/>
                <w:szCs w:val="21"/>
              </w:rPr>
              <w:t>规划及规划环境影响评价符合性分析</w:t>
            </w:r>
          </w:p>
        </w:tc>
        <w:tc>
          <w:tcPr>
            <w:tcW w:w="7000" w:type="dxa"/>
            <w:gridSpan w:val="3"/>
            <w:vAlign w:val="center"/>
          </w:tcPr>
          <w:p>
            <w:pPr>
              <w:keepNext w:val="0"/>
              <w:keepLines w:val="0"/>
              <w:suppressLineNumbers w:val="0"/>
              <w:autoSpaceDE w:val="0"/>
              <w:autoSpaceDN w:val="0"/>
              <w:adjustRightInd w:val="0"/>
              <w:snapToGrid w:val="0"/>
              <w:spacing w:before="0" w:beforeAutospacing="0" w:after="0" w:afterAutospacing="0" w:line="360" w:lineRule="auto"/>
              <w:ind w:left="0" w:right="0" w:firstLine="422" w:firstLineChars="200"/>
              <w:rPr>
                <w:b/>
              </w:rPr>
            </w:pPr>
            <w:r>
              <w:rPr>
                <w:b/>
              </w:rPr>
              <w:t>一、与《常州市武进区洛阳镇总体规划》相符性分析</w:t>
            </w:r>
          </w:p>
          <w:p>
            <w:pPr>
              <w:keepNext w:val="0"/>
              <w:keepLines w:val="0"/>
              <w:suppressLineNumbers w:val="0"/>
              <w:autoSpaceDE w:val="0"/>
              <w:autoSpaceDN w:val="0"/>
              <w:adjustRightInd w:val="0"/>
              <w:snapToGrid w:val="0"/>
              <w:spacing w:before="0" w:beforeAutospacing="0" w:after="0" w:afterAutospacing="0" w:line="360" w:lineRule="auto"/>
              <w:ind w:left="0" w:right="0" w:firstLine="420" w:firstLineChars="200"/>
            </w:pPr>
            <w:r>
              <w:rPr>
                <w:rFonts w:hAnsi="宋体"/>
              </w:rPr>
              <w:t>（</w:t>
            </w:r>
            <w:r>
              <w:t>1</w:t>
            </w:r>
            <w:r>
              <w:rPr>
                <w:rFonts w:hAnsi="宋体"/>
              </w:rPr>
              <w:t>）</w:t>
            </w:r>
            <w:r>
              <w:t>规划面积和范围</w:t>
            </w:r>
          </w:p>
          <w:p>
            <w:pPr>
              <w:keepNext w:val="0"/>
              <w:keepLines w:val="0"/>
              <w:suppressLineNumbers w:val="0"/>
              <w:autoSpaceDE w:val="0"/>
              <w:autoSpaceDN w:val="0"/>
              <w:adjustRightInd w:val="0"/>
              <w:snapToGrid w:val="0"/>
              <w:spacing w:before="0" w:beforeAutospacing="0" w:after="0" w:afterAutospacing="0" w:line="360" w:lineRule="auto"/>
              <w:ind w:left="0" w:right="0" w:firstLine="420" w:firstLineChars="200"/>
            </w:pPr>
            <w:r>
              <w:t>规划范围分为洛阳镇域、洛阳镇区和戴溪片区三个层次，其中洛阳镇域规划范围即规划区范围。</w:t>
            </w:r>
          </w:p>
          <w:p>
            <w:pPr>
              <w:keepNext w:val="0"/>
              <w:keepLines w:val="0"/>
              <w:suppressLineNumbers w:val="0"/>
              <w:autoSpaceDE w:val="0"/>
              <w:autoSpaceDN w:val="0"/>
              <w:adjustRightInd w:val="0"/>
              <w:snapToGrid w:val="0"/>
              <w:spacing w:before="0" w:beforeAutospacing="0" w:after="0" w:afterAutospacing="0" w:line="360" w:lineRule="auto"/>
              <w:ind w:left="0" w:right="0" w:firstLine="420" w:firstLineChars="200"/>
            </w:pPr>
            <w:r>
              <w:rPr>
                <w:rFonts w:hAnsi="宋体"/>
              </w:rPr>
              <w:t>①</w:t>
            </w:r>
            <w:r>
              <w:t>规划区范围（洛阳镇域规划范围）洛阳镇行政辖区范围，总用地面积55.77平方公里。</w:t>
            </w:r>
          </w:p>
          <w:p>
            <w:pPr>
              <w:keepNext w:val="0"/>
              <w:keepLines w:val="0"/>
              <w:suppressLineNumbers w:val="0"/>
              <w:autoSpaceDE w:val="0"/>
              <w:autoSpaceDN w:val="0"/>
              <w:adjustRightInd w:val="0"/>
              <w:snapToGrid w:val="0"/>
              <w:spacing w:before="0" w:beforeAutospacing="0" w:after="0" w:afterAutospacing="0" w:line="360" w:lineRule="auto"/>
              <w:ind w:left="0" w:right="0" w:firstLine="420" w:firstLineChars="200"/>
            </w:pPr>
            <w:r>
              <w:rPr>
                <w:rFonts w:hAnsi="宋体"/>
              </w:rPr>
              <w:t>②</w:t>
            </w:r>
            <w:r>
              <w:t>洛阳镇区规划范围东至横洛东路，南至洛西河、阳湖路，西至232省道，北至洛阳镇域北边界，总用地面积13.55平方公里。</w:t>
            </w:r>
          </w:p>
          <w:p>
            <w:pPr>
              <w:keepNext w:val="0"/>
              <w:keepLines w:val="0"/>
              <w:suppressLineNumbers w:val="0"/>
              <w:autoSpaceDE w:val="0"/>
              <w:autoSpaceDN w:val="0"/>
              <w:adjustRightInd w:val="0"/>
              <w:snapToGrid w:val="0"/>
              <w:spacing w:before="0" w:beforeAutospacing="0" w:after="0" w:afterAutospacing="0" w:line="360" w:lineRule="auto"/>
              <w:ind w:left="0" w:right="0" w:firstLine="420" w:firstLineChars="200"/>
            </w:pPr>
            <w:r>
              <w:rPr>
                <w:rFonts w:hAnsi="宋体"/>
              </w:rPr>
              <w:t>③</w:t>
            </w:r>
            <w:r>
              <w:t>戴溪片区规划范围东至岑村路，南至戴溪路，西至戴溪小学及规划河流，北至潘家头自然村，总用地面积1.08平方公里。本项目位于洛阳镇域（即规划区）范围。</w:t>
            </w:r>
          </w:p>
          <w:p>
            <w:pPr>
              <w:keepNext w:val="0"/>
              <w:keepLines w:val="0"/>
              <w:suppressLineNumbers w:val="0"/>
              <w:autoSpaceDE w:val="0"/>
              <w:autoSpaceDN w:val="0"/>
              <w:adjustRightInd w:val="0"/>
              <w:snapToGrid w:val="0"/>
              <w:spacing w:before="0" w:beforeAutospacing="0" w:after="0" w:afterAutospacing="0" w:line="360" w:lineRule="auto"/>
              <w:ind w:left="0" w:right="0" w:firstLine="420" w:firstLineChars="200"/>
            </w:pPr>
            <w:r>
              <w:t>（2）产业定位和布局总体布局：“两心两轴两区”的布局结构；</w:t>
            </w:r>
          </w:p>
          <w:p>
            <w:pPr>
              <w:keepNext w:val="0"/>
              <w:keepLines w:val="0"/>
              <w:suppressLineNumbers w:val="0"/>
              <w:autoSpaceDE w:val="0"/>
              <w:autoSpaceDN w:val="0"/>
              <w:adjustRightInd w:val="0"/>
              <w:snapToGrid w:val="0"/>
              <w:spacing w:before="0" w:beforeAutospacing="0" w:after="0" w:afterAutospacing="0" w:line="360" w:lineRule="auto"/>
              <w:ind w:left="0" w:right="0" w:firstLine="420" w:firstLineChars="200"/>
            </w:pPr>
            <w:r>
              <w:t>两心：生活服务中心、工业服务中心；</w:t>
            </w:r>
          </w:p>
          <w:p>
            <w:pPr>
              <w:keepNext w:val="0"/>
              <w:keepLines w:val="0"/>
              <w:suppressLineNumbers w:val="0"/>
              <w:autoSpaceDE w:val="0"/>
              <w:autoSpaceDN w:val="0"/>
              <w:adjustRightInd w:val="0"/>
              <w:snapToGrid w:val="0"/>
              <w:spacing w:before="0" w:beforeAutospacing="0" w:after="0" w:afterAutospacing="0" w:line="360" w:lineRule="auto"/>
              <w:ind w:left="0" w:right="0" w:firstLine="420" w:firstLineChars="200"/>
            </w:pPr>
            <w:r>
              <w:t>两轴：武南河发展轴（横轴）、武进港发展轴（纵轴）；</w:t>
            </w:r>
          </w:p>
          <w:p>
            <w:pPr>
              <w:keepNext w:val="0"/>
              <w:keepLines w:val="0"/>
              <w:suppressLineNumbers w:val="0"/>
              <w:autoSpaceDE w:val="0"/>
              <w:autoSpaceDN w:val="0"/>
              <w:adjustRightInd w:val="0"/>
              <w:snapToGrid w:val="0"/>
              <w:spacing w:before="0" w:beforeAutospacing="0" w:after="0" w:afterAutospacing="0" w:line="360" w:lineRule="auto"/>
              <w:ind w:left="0" w:right="0" w:firstLine="420" w:firstLineChars="200"/>
            </w:pPr>
            <w:r>
              <w:t>两区：生活区（武进港以东）、工业区（武进港以西）。</w:t>
            </w:r>
          </w:p>
          <w:p>
            <w:pPr>
              <w:keepNext w:val="0"/>
              <w:keepLines w:val="0"/>
              <w:suppressLineNumbers w:val="0"/>
              <w:autoSpaceDE w:val="0"/>
              <w:autoSpaceDN w:val="0"/>
              <w:adjustRightInd w:val="0"/>
              <w:snapToGrid w:val="0"/>
              <w:spacing w:before="0" w:beforeAutospacing="0" w:after="0" w:afterAutospacing="0" w:line="360" w:lineRule="auto"/>
              <w:ind w:left="0" w:right="0" w:firstLine="420" w:firstLineChars="200"/>
            </w:pPr>
            <w:r>
              <w:t>产业定位：以电机电器制造业为主导，发展现代农业、电机制造、商贸旅游双向融合的多元产业。</w:t>
            </w:r>
          </w:p>
          <w:p>
            <w:pPr>
              <w:keepNext w:val="0"/>
              <w:keepLines w:val="0"/>
              <w:suppressLineNumbers w:val="0"/>
              <w:autoSpaceDE w:val="0"/>
              <w:autoSpaceDN w:val="0"/>
              <w:adjustRightInd w:val="0"/>
              <w:snapToGrid w:val="0"/>
              <w:spacing w:before="0" w:beforeAutospacing="0" w:after="0" w:afterAutospacing="0" w:line="360" w:lineRule="auto"/>
              <w:ind w:left="0" w:right="0" w:firstLine="422" w:firstLineChars="200"/>
              <w:rPr>
                <w:b/>
              </w:rPr>
            </w:pPr>
            <w:r>
              <w:rPr>
                <w:b/>
              </w:rPr>
              <w:t>本项目主要从事</w:t>
            </w:r>
            <w:r>
              <w:rPr>
                <w:rFonts w:hAnsi="宋体"/>
                <w:b/>
                <w:szCs w:val="21"/>
              </w:rPr>
              <w:t>电机铁芯</w:t>
            </w:r>
            <w:r>
              <w:rPr>
                <w:rFonts w:hint="eastAsia"/>
                <w:b/>
                <w:szCs w:val="21"/>
              </w:rPr>
              <w:t>和</w:t>
            </w:r>
            <w:r>
              <w:rPr>
                <w:rFonts w:hAnsi="宋体"/>
                <w:b/>
                <w:szCs w:val="21"/>
              </w:rPr>
              <w:t>电机机壳</w:t>
            </w:r>
            <w:r>
              <w:rPr>
                <w:b/>
              </w:rPr>
              <w:t>制造，</w:t>
            </w:r>
            <w:r>
              <w:rPr>
                <w:rFonts w:hint="eastAsia"/>
                <w:b/>
              </w:rPr>
              <w:t>属于电机电器制造业</w:t>
            </w:r>
            <w:r>
              <w:rPr>
                <w:b/>
              </w:rPr>
              <w:t>，符合洛阳镇产业定位。</w:t>
            </w:r>
          </w:p>
          <w:p>
            <w:pPr>
              <w:keepNext w:val="0"/>
              <w:keepLines w:val="0"/>
              <w:suppressLineNumbers w:val="0"/>
              <w:autoSpaceDE w:val="0"/>
              <w:autoSpaceDN w:val="0"/>
              <w:adjustRightInd w:val="0"/>
              <w:snapToGrid w:val="0"/>
              <w:spacing w:before="0" w:beforeAutospacing="0" w:after="0" w:afterAutospacing="0" w:line="360" w:lineRule="auto"/>
              <w:ind w:left="0" w:right="0" w:firstLine="422" w:firstLineChars="200"/>
              <w:rPr>
                <w:b/>
              </w:rPr>
            </w:pPr>
            <w:r>
              <w:rPr>
                <w:b/>
              </w:rPr>
              <w:t>本项目位于</w:t>
            </w:r>
            <w:r>
              <w:rPr>
                <w:rFonts w:hAnsi="宋体"/>
                <w:b/>
                <w:szCs w:val="21"/>
              </w:rPr>
              <w:t>江苏省常州市武进区洛阳镇新科西路</w:t>
            </w:r>
            <w:r>
              <w:rPr>
                <w:b/>
                <w:szCs w:val="21"/>
              </w:rPr>
              <w:t>21</w:t>
            </w:r>
            <w:r>
              <w:rPr>
                <w:rFonts w:hAnsi="宋体"/>
                <w:b/>
                <w:szCs w:val="21"/>
              </w:rPr>
              <w:t>号</w:t>
            </w:r>
            <w:r>
              <w:rPr>
                <w:b/>
              </w:rPr>
              <w:t>，根据</w:t>
            </w:r>
            <w:r>
              <w:rPr>
                <w:rFonts w:hint="eastAsia"/>
                <w:b/>
              </w:rPr>
              <w:t>常州市武进区洛阳镇控制性详细规划图（见附图6）</w:t>
            </w:r>
            <w:r>
              <w:rPr>
                <w:b/>
              </w:rPr>
              <w:t>及不动产权证（苏（202</w:t>
            </w:r>
            <w:r>
              <w:rPr>
                <w:rFonts w:hint="eastAsia"/>
                <w:b/>
              </w:rPr>
              <w:t>1</w:t>
            </w:r>
            <w:r>
              <w:rPr>
                <w:b/>
              </w:rPr>
              <w:t>）</w:t>
            </w:r>
            <w:r>
              <w:rPr>
                <w:rFonts w:hint="eastAsia"/>
                <w:b/>
              </w:rPr>
              <w:t>武进区</w:t>
            </w:r>
            <w:r>
              <w:rPr>
                <w:b/>
              </w:rPr>
              <w:t>不动产权第</w:t>
            </w:r>
            <w:r>
              <w:rPr>
                <w:rFonts w:hint="eastAsia"/>
                <w:b/>
              </w:rPr>
              <w:t>0000728</w:t>
            </w:r>
            <w:r>
              <w:rPr>
                <w:b/>
              </w:rPr>
              <w:t>号），本项目所在用地为工业用地，与规划相符合。</w:t>
            </w:r>
          </w:p>
          <w:p>
            <w:pPr>
              <w:keepNext w:val="0"/>
              <w:keepLines w:val="0"/>
              <w:suppressLineNumbers w:val="0"/>
              <w:autoSpaceDE w:val="0"/>
              <w:autoSpaceDN w:val="0"/>
              <w:adjustRightInd w:val="0"/>
              <w:snapToGrid w:val="0"/>
              <w:spacing w:before="0" w:beforeAutospacing="0" w:after="0" w:afterAutospacing="0" w:line="360" w:lineRule="auto"/>
              <w:ind w:left="0" w:right="0" w:firstLine="422" w:firstLineChars="200"/>
              <w:rPr>
                <w:b/>
              </w:rPr>
            </w:pPr>
          </w:p>
          <w:p>
            <w:pPr>
              <w:keepNext w:val="0"/>
              <w:keepLines w:val="0"/>
              <w:suppressLineNumbers w:val="0"/>
              <w:autoSpaceDE w:val="0"/>
              <w:autoSpaceDN w:val="0"/>
              <w:adjustRightInd w:val="0"/>
              <w:snapToGrid w:val="0"/>
              <w:spacing w:before="0" w:beforeAutospacing="0" w:after="0" w:afterAutospacing="0" w:line="360" w:lineRule="auto"/>
              <w:ind w:left="0" w:right="0" w:firstLine="422" w:firstLineChars="200"/>
              <w:rPr>
                <w:b/>
              </w:rPr>
            </w:pPr>
          </w:p>
          <w:p>
            <w:pPr>
              <w:keepNext w:val="0"/>
              <w:keepLines w:val="0"/>
              <w:suppressLineNumbers w:val="0"/>
              <w:autoSpaceDE w:val="0"/>
              <w:autoSpaceDN w:val="0"/>
              <w:adjustRightInd w:val="0"/>
              <w:snapToGrid w:val="0"/>
              <w:spacing w:before="0" w:beforeAutospacing="0" w:after="0" w:afterAutospacing="0" w:line="360" w:lineRule="auto"/>
              <w:ind w:left="0" w:right="0" w:firstLine="422" w:firstLineChars="200"/>
              <w:rPr>
                <w:b/>
              </w:rPr>
            </w:pPr>
          </w:p>
          <w:p>
            <w:pPr>
              <w:keepNext w:val="0"/>
              <w:keepLines w:val="0"/>
              <w:suppressLineNumbers w:val="0"/>
              <w:autoSpaceDE w:val="0"/>
              <w:autoSpaceDN w:val="0"/>
              <w:adjustRightInd w:val="0"/>
              <w:snapToGrid w:val="0"/>
              <w:spacing w:before="0" w:beforeAutospacing="0" w:after="0" w:afterAutospacing="0" w:line="360" w:lineRule="auto"/>
              <w:ind w:left="0" w:right="0" w:firstLine="422" w:firstLineChars="200"/>
              <w:rPr>
                <w:b/>
              </w:rPr>
            </w:pPr>
          </w:p>
          <w:p>
            <w:pPr>
              <w:keepNext w:val="0"/>
              <w:keepLines w:val="0"/>
              <w:suppressLineNumbers w:val="0"/>
              <w:autoSpaceDE w:val="0"/>
              <w:autoSpaceDN w:val="0"/>
              <w:adjustRightInd w:val="0"/>
              <w:snapToGrid w:val="0"/>
              <w:spacing w:before="0" w:beforeAutospacing="0" w:after="0" w:afterAutospacing="0" w:line="360" w:lineRule="auto"/>
              <w:ind w:left="0" w:right="0" w:firstLine="422" w:firstLineChars="200"/>
              <w:rPr>
                <w:b/>
              </w:rPr>
            </w:pPr>
          </w:p>
          <w:p>
            <w:pPr>
              <w:keepNext w:val="0"/>
              <w:keepLines w:val="0"/>
              <w:suppressLineNumbers w:val="0"/>
              <w:autoSpaceDE w:val="0"/>
              <w:autoSpaceDN w:val="0"/>
              <w:adjustRightInd w:val="0"/>
              <w:snapToGrid w:val="0"/>
              <w:spacing w:before="0" w:beforeAutospacing="0" w:after="0" w:afterAutospacing="0" w:line="360" w:lineRule="auto"/>
              <w:ind w:left="0" w:right="0" w:firstLine="422" w:firstLineChars="200"/>
              <w:rPr>
                <w:b/>
              </w:rPr>
            </w:pPr>
          </w:p>
          <w:p>
            <w:pPr>
              <w:keepNext w:val="0"/>
              <w:keepLines w:val="0"/>
              <w:suppressLineNumbers w:val="0"/>
              <w:autoSpaceDE w:val="0"/>
              <w:autoSpaceDN w:val="0"/>
              <w:adjustRightInd w:val="0"/>
              <w:snapToGrid w:val="0"/>
              <w:spacing w:before="0" w:beforeAutospacing="0" w:after="0" w:afterAutospacing="0" w:line="360" w:lineRule="auto"/>
              <w:ind w:left="0" w:right="0" w:firstLine="422" w:firstLineChars="200"/>
              <w:rPr>
                <w:b/>
              </w:rPr>
            </w:pPr>
          </w:p>
          <w:p>
            <w:pPr>
              <w:keepNext w:val="0"/>
              <w:keepLines w:val="0"/>
              <w:suppressLineNumbers w:val="0"/>
              <w:autoSpaceDE w:val="0"/>
              <w:autoSpaceDN w:val="0"/>
              <w:adjustRightInd w:val="0"/>
              <w:snapToGrid w:val="0"/>
              <w:spacing w:before="0" w:beforeAutospacing="0" w:after="0" w:afterAutospacing="0" w:line="360" w:lineRule="auto"/>
              <w:ind w:left="0" w:right="0" w:firstLine="422" w:firstLineChars="200"/>
              <w:rPr>
                <w:b/>
              </w:rPr>
            </w:pPr>
          </w:p>
          <w:p>
            <w:pPr>
              <w:keepNext w:val="0"/>
              <w:keepLines w:val="0"/>
              <w:suppressLineNumbers w:val="0"/>
              <w:autoSpaceDE w:val="0"/>
              <w:autoSpaceDN w:val="0"/>
              <w:adjustRightInd w:val="0"/>
              <w:snapToGrid w:val="0"/>
              <w:spacing w:before="0" w:beforeAutospacing="0" w:after="0" w:afterAutospacing="0" w:line="360" w:lineRule="auto"/>
              <w:ind w:left="0" w:right="0" w:firstLine="422" w:firstLineChars="200"/>
              <w:rPr>
                <w:b/>
              </w:rPr>
            </w:pPr>
          </w:p>
          <w:p>
            <w:pPr>
              <w:pStyle w:val="27"/>
              <w:keepNext w:val="0"/>
              <w:keepLines w:val="0"/>
              <w:suppressLineNumbers w:val="0"/>
            </w:pPr>
          </w:p>
          <w:p>
            <w:pPr>
              <w:keepNext w:val="0"/>
              <w:keepLines w:val="0"/>
              <w:suppressLineNumbers w:val="0"/>
              <w:autoSpaceDE w:val="0"/>
              <w:autoSpaceDN w:val="0"/>
              <w:adjustRightInd w:val="0"/>
              <w:snapToGrid w:val="0"/>
              <w:spacing w:before="0" w:beforeAutospacing="0" w:after="0" w:afterAutospacing="0" w:line="360" w:lineRule="auto"/>
              <w:ind w:left="0" w:right="0" w:firstLine="422" w:firstLineChars="200"/>
              <w:rPr>
                <w:b/>
                <w:sz w:val="21"/>
                <w:szCs w:val="21"/>
              </w:rPr>
            </w:pPr>
            <w:r>
              <w:rPr>
                <w:b/>
                <w:sz w:val="21"/>
                <w:szCs w:val="21"/>
              </w:rPr>
              <w:t>二、与《</w:t>
            </w:r>
            <w:r>
              <w:rPr>
                <w:rFonts w:hint="eastAsia"/>
                <w:b/>
                <w:sz w:val="21"/>
                <w:szCs w:val="21"/>
              </w:rPr>
              <w:t>武进区环保局关于常州市武进区洛阳镇人民政府“武进区洛阳工业集中区规划”环境影响报告书的</w:t>
            </w:r>
            <w:r>
              <w:rPr>
                <w:b/>
                <w:sz w:val="21"/>
                <w:szCs w:val="21"/>
              </w:rPr>
              <w:t>审查意见》相符性分析</w:t>
            </w:r>
          </w:p>
          <w:p>
            <w:pPr>
              <w:pStyle w:val="27"/>
              <w:keepNext w:val="0"/>
              <w:keepLines w:val="0"/>
              <w:suppressLineNumbers w:val="0"/>
              <w:spacing w:before="0" w:beforeAutospacing="0" w:after="0" w:afterAutospacing="0" w:line="240" w:lineRule="auto"/>
              <w:ind w:left="0" w:leftChars="0" w:right="0" w:firstLine="0" w:firstLineChars="0"/>
              <w:jc w:val="center"/>
              <w:rPr>
                <w:rFonts w:ascii="Times New Roman" w:hAnsi="Times New Roman" w:eastAsia="宋体"/>
                <w:b/>
                <w:bCs/>
                <w:sz w:val="21"/>
                <w:szCs w:val="21"/>
              </w:rPr>
            </w:pPr>
            <w:r>
              <w:rPr>
                <w:rFonts w:ascii="Times New Roman" w:eastAsia="宋体"/>
                <w:b/>
                <w:bCs/>
                <w:sz w:val="21"/>
                <w:szCs w:val="21"/>
              </w:rPr>
              <w:t>表</w:t>
            </w:r>
            <w:r>
              <w:rPr>
                <w:rFonts w:ascii="Times New Roman" w:hAnsi="Times New Roman" w:eastAsia="宋体"/>
                <w:b/>
                <w:bCs/>
                <w:sz w:val="21"/>
                <w:szCs w:val="21"/>
              </w:rPr>
              <w:t>1-1</w:t>
            </w:r>
            <w:r>
              <w:rPr>
                <w:rFonts w:ascii="Times New Roman" w:eastAsia="宋体"/>
                <w:b/>
                <w:bCs/>
                <w:sz w:val="21"/>
                <w:szCs w:val="21"/>
              </w:rPr>
              <w:t>本项目与规划环评审查意见的相符性分析</w:t>
            </w:r>
          </w:p>
          <w:tbl>
            <w:tblPr>
              <w:tblStyle w:val="21"/>
              <w:tblW w:w="6819"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967"/>
              <w:gridCol w:w="3047"/>
              <w:gridCol w:w="80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2967" w:type="dxa"/>
                  <w:vAlign w:val="center"/>
                </w:tcPr>
                <w:p>
                  <w:pPr>
                    <w:pStyle w:val="27"/>
                    <w:keepNext w:val="0"/>
                    <w:keepLines w:val="0"/>
                    <w:suppressLineNumbers w:val="0"/>
                    <w:spacing w:line="240" w:lineRule="auto"/>
                    <w:ind w:left="0" w:leftChars="0" w:right="0" w:firstLine="0" w:firstLineChars="0"/>
                    <w:jc w:val="center"/>
                    <w:rPr>
                      <w:rFonts w:ascii="Times New Roman" w:hAnsi="Times New Roman" w:eastAsia="宋体"/>
                      <w:b/>
                      <w:sz w:val="21"/>
                      <w:szCs w:val="21"/>
                    </w:rPr>
                  </w:pPr>
                  <w:r>
                    <w:rPr>
                      <w:rFonts w:ascii="Times New Roman" w:hAnsi="Times New Roman" w:eastAsia="宋体"/>
                      <w:b/>
                      <w:sz w:val="21"/>
                      <w:szCs w:val="21"/>
                    </w:rPr>
                    <w:t>审查意见要求</w:t>
                  </w:r>
                </w:p>
              </w:tc>
              <w:tc>
                <w:tcPr>
                  <w:tcW w:w="3047" w:type="dxa"/>
                  <w:vAlign w:val="center"/>
                </w:tcPr>
                <w:p>
                  <w:pPr>
                    <w:pStyle w:val="27"/>
                    <w:keepNext w:val="0"/>
                    <w:keepLines w:val="0"/>
                    <w:suppressLineNumbers w:val="0"/>
                    <w:spacing w:line="240" w:lineRule="auto"/>
                    <w:ind w:left="0" w:leftChars="0" w:right="0" w:firstLine="0" w:firstLineChars="0"/>
                    <w:jc w:val="center"/>
                    <w:rPr>
                      <w:rFonts w:ascii="Times New Roman" w:hAnsi="Times New Roman" w:eastAsia="宋体"/>
                      <w:b/>
                      <w:sz w:val="21"/>
                      <w:szCs w:val="21"/>
                    </w:rPr>
                  </w:pPr>
                  <w:r>
                    <w:rPr>
                      <w:rFonts w:ascii="Times New Roman" w:hAnsi="Times New Roman" w:eastAsia="宋体"/>
                      <w:b/>
                      <w:sz w:val="21"/>
                      <w:szCs w:val="21"/>
                    </w:rPr>
                    <w:t>本项目情况</w:t>
                  </w:r>
                </w:p>
              </w:tc>
              <w:tc>
                <w:tcPr>
                  <w:tcW w:w="805" w:type="dxa"/>
                  <w:vAlign w:val="center"/>
                </w:tcPr>
                <w:p>
                  <w:pPr>
                    <w:pStyle w:val="27"/>
                    <w:keepNext w:val="0"/>
                    <w:keepLines w:val="0"/>
                    <w:suppressLineNumbers w:val="0"/>
                    <w:spacing w:before="0" w:beforeAutospacing="0" w:after="0" w:afterAutospacing="0" w:line="240" w:lineRule="auto"/>
                    <w:ind w:left="0" w:leftChars="0" w:right="0" w:firstLine="0" w:firstLineChars="0"/>
                    <w:jc w:val="center"/>
                    <w:rPr>
                      <w:rFonts w:ascii="Times New Roman" w:hAnsi="Times New Roman" w:eastAsia="宋体"/>
                      <w:b/>
                      <w:sz w:val="21"/>
                      <w:szCs w:val="21"/>
                    </w:rPr>
                  </w:pPr>
                  <w:r>
                    <w:rPr>
                      <w:rFonts w:ascii="Times New Roman" w:hAnsi="Times New Roman" w:eastAsia="宋体"/>
                      <w:b/>
                      <w:sz w:val="21"/>
                      <w:szCs w:val="21"/>
                    </w:rPr>
                    <w:t>是否</w:t>
                  </w:r>
                </w:p>
                <w:p>
                  <w:pPr>
                    <w:pStyle w:val="27"/>
                    <w:keepNext w:val="0"/>
                    <w:keepLines w:val="0"/>
                    <w:suppressLineNumbers w:val="0"/>
                    <w:spacing w:before="0" w:beforeAutospacing="0" w:after="0" w:afterAutospacing="0" w:line="240" w:lineRule="auto"/>
                    <w:ind w:left="0" w:leftChars="0" w:right="0" w:firstLine="0" w:firstLineChars="0"/>
                    <w:jc w:val="center"/>
                    <w:rPr>
                      <w:rFonts w:ascii="Times New Roman" w:hAnsi="Times New Roman" w:eastAsia="宋体"/>
                      <w:b/>
                      <w:sz w:val="21"/>
                      <w:szCs w:val="21"/>
                    </w:rPr>
                  </w:pPr>
                  <w:r>
                    <w:rPr>
                      <w:rFonts w:ascii="Times New Roman" w:hAnsi="Times New Roman" w:eastAsia="宋体"/>
                      <w:b/>
                      <w:sz w:val="21"/>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57" w:hRule="atLeast"/>
              </w:trPr>
              <w:tc>
                <w:tcPr>
                  <w:tcW w:w="2967" w:type="dxa"/>
                  <w:vAlign w:val="center"/>
                </w:tcPr>
                <w:p>
                  <w:pPr>
                    <w:pStyle w:val="27"/>
                    <w:keepNext w:val="0"/>
                    <w:keepLines w:val="0"/>
                    <w:suppressLineNumbers w:val="0"/>
                    <w:spacing w:before="0" w:beforeAutospacing="0" w:after="0" w:afterAutospacing="0" w:line="240" w:lineRule="auto"/>
                    <w:ind w:left="0" w:leftChars="0" w:right="0" w:firstLine="0" w:firstLineChars="0"/>
                    <w:jc w:val="center"/>
                    <w:rPr>
                      <w:rFonts w:ascii="Times New Roman" w:hAnsi="Times New Roman" w:eastAsia="宋体"/>
                      <w:sz w:val="21"/>
                      <w:szCs w:val="21"/>
                    </w:rPr>
                  </w:pPr>
                  <w:r>
                    <w:rPr>
                      <w:rFonts w:hint="eastAsia" w:ascii="Times New Roman" w:hAnsi="Times New Roman" w:eastAsia="宋体"/>
                      <w:sz w:val="21"/>
                      <w:szCs w:val="21"/>
                    </w:rPr>
                    <w:t>规划范围为：东至洛阳北路和武进港、南至洛西河、西至232省道、北至洛阳镇界，规划用地面积为767.49ha；产业定位为重点发展电子信息产业，并行引进机械加工、轻工、服装纺织等行业。</w:t>
                  </w:r>
                </w:p>
              </w:tc>
              <w:tc>
                <w:tcPr>
                  <w:tcW w:w="3047" w:type="dxa"/>
                  <w:vAlign w:val="center"/>
                </w:tcPr>
                <w:p>
                  <w:pPr>
                    <w:keepNext w:val="0"/>
                    <w:keepLines w:val="0"/>
                    <w:suppressLineNumbers w:val="0"/>
                    <w:autoSpaceDE w:val="0"/>
                    <w:autoSpaceDN w:val="0"/>
                    <w:adjustRightInd w:val="0"/>
                    <w:snapToGrid w:val="0"/>
                    <w:spacing w:before="0" w:beforeAutospacing="0" w:after="0" w:afterAutospacing="0"/>
                    <w:ind w:left="0" w:right="0"/>
                    <w:jc w:val="center"/>
                    <w:rPr>
                      <w:b/>
                      <w:szCs w:val="21"/>
                    </w:rPr>
                  </w:pPr>
                  <w:r>
                    <w:t>本项目位于</w:t>
                  </w:r>
                  <w:r>
                    <w:rPr>
                      <w:rFonts w:hAnsi="宋体"/>
                      <w:szCs w:val="21"/>
                    </w:rPr>
                    <w:t>江苏省常州市武进区洛阳镇新科西路</w:t>
                  </w:r>
                  <w:r>
                    <w:rPr>
                      <w:szCs w:val="21"/>
                    </w:rPr>
                    <w:t>21</w:t>
                  </w:r>
                  <w:r>
                    <w:rPr>
                      <w:rFonts w:hAnsi="宋体"/>
                      <w:szCs w:val="21"/>
                    </w:rPr>
                    <w:t>号</w:t>
                  </w:r>
                  <w:r>
                    <w:t>属于武进区洛阳工业集中区规划范围内</w:t>
                  </w:r>
                  <w:r>
                    <w:rPr>
                      <w:rFonts w:hint="eastAsia"/>
                    </w:rPr>
                    <w:t>；</w:t>
                  </w:r>
                  <w:r>
                    <w:t>本项目为</w:t>
                  </w:r>
                  <w:r>
                    <w:rPr>
                      <w:rFonts w:hAnsi="宋体"/>
                      <w:szCs w:val="21"/>
                    </w:rPr>
                    <w:t>电机铁芯</w:t>
                  </w:r>
                  <w:r>
                    <w:rPr>
                      <w:rFonts w:hint="eastAsia"/>
                      <w:szCs w:val="21"/>
                    </w:rPr>
                    <w:t>和</w:t>
                  </w:r>
                  <w:r>
                    <w:rPr>
                      <w:rFonts w:hAnsi="宋体"/>
                      <w:szCs w:val="21"/>
                    </w:rPr>
                    <w:t>电机机壳</w:t>
                  </w:r>
                  <w:r>
                    <w:t>制造，属于</w:t>
                  </w:r>
                  <w:r>
                    <w:rPr>
                      <w:rFonts w:hint="eastAsia"/>
                      <w:lang w:eastAsia="zh-CN"/>
                    </w:rPr>
                    <w:t>机械加工</w:t>
                  </w:r>
                  <w:r>
                    <w:t>行业，与洛阳镇工业集中区产业定位相符。</w:t>
                  </w:r>
                </w:p>
              </w:tc>
              <w:tc>
                <w:tcPr>
                  <w:tcW w:w="805" w:type="dxa"/>
                  <w:vAlign w:val="center"/>
                </w:tcPr>
                <w:p>
                  <w:pPr>
                    <w:pStyle w:val="27"/>
                    <w:keepNext w:val="0"/>
                    <w:keepLines w:val="0"/>
                    <w:suppressLineNumbers w:val="0"/>
                    <w:spacing w:before="0" w:beforeAutospacing="0" w:after="0" w:afterAutospacing="0" w:line="240" w:lineRule="auto"/>
                    <w:ind w:left="0" w:leftChars="0" w:right="0" w:firstLine="0" w:firstLineChars="0"/>
                    <w:jc w:val="center"/>
                    <w:rPr>
                      <w:rFonts w:hint="eastAsia" w:ascii="Times New Roman" w:hAnsi="Times New Roman" w:eastAsia="宋体"/>
                      <w:b/>
                      <w:sz w:val="21"/>
                      <w:szCs w:val="21"/>
                      <w:lang w:eastAsia="zh-CN"/>
                    </w:rPr>
                  </w:pPr>
                  <w:r>
                    <w:rPr>
                      <w:rFonts w:hint="eastAsia" w:ascii="Times New Roman" w:hAnsi="Times New Roman" w:eastAsia="宋体"/>
                      <w:b w:val="0"/>
                      <w:bCs/>
                      <w:sz w:val="21"/>
                      <w:szCs w:val="21"/>
                      <w:lang w:eastAsia="zh-CN"/>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31" w:hRule="atLeast"/>
              </w:trPr>
              <w:tc>
                <w:tcPr>
                  <w:tcW w:w="2967" w:type="dxa"/>
                  <w:vAlign w:val="center"/>
                </w:tcPr>
                <w:p>
                  <w:pPr>
                    <w:pStyle w:val="27"/>
                    <w:keepNext w:val="0"/>
                    <w:keepLines w:val="0"/>
                    <w:suppressLineNumbers w:val="0"/>
                    <w:spacing w:line="240" w:lineRule="auto"/>
                    <w:ind w:left="0" w:leftChars="0" w:right="0" w:firstLine="0" w:firstLineChars="0"/>
                    <w:jc w:val="center"/>
                    <w:rPr>
                      <w:rFonts w:ascii="Times New Roman" w:hAnsi="Times New Roman" w:eastAsia="宋体"/>
                      <w:sz w:val="21"/>
                      <w:szCs w:val="21"/>
                    </w:rPr>
                  </w:pPr>
                  <w:r>
                    <w:rPr>
                      <w:rFonts w:ascii="Times New Roman" w:hAnsi="Times New Roman" w:eastAsia="宋体"/>
                      <w:sz w:val="21"/>
                      <w:szCs w:val="21"/>
                    </w:rPr>
                    <w:t>推行循环经济理念和清洁生产原则，走新型工业化道路，逐步淘汰工业集中区内不符合产业政策、产业导向和准入条件的高耗能、污染严重的企业。落实报告书提出的现有企业升级换代、“以新带老”、“增产减污”等相关要求。</w:t>
                  </w:r>
                </w:p>
              </w:tc>
              <w:tc>
                <w:tcPr>
                  <w:tcW w:w="3047" w:type="dxa"/>
                  <w:vAlign w:val="center"/>
                </w:tcPr>
                <w:p>
                  <w:pPr>
                    <w:pStyle w:val="27"/>
                    <w:keepNext w:val="0"/>
                    <w:keepLines w:val="0"/>
                    <w:suppressLineNumbers w:val="0"/>
                    <w:spacing w:line="240" w:lineRule="auto"/>
                    <w:ind w:left="0" w:leftChars="0" w:right="0" w:firstLine="0" w:firstLineChars="0"/>
                    <w:jc w:val="center"/>
                    <w:rPr>
                      <w:rFonts w:ascii="Times New Roman" w:hAnsi="Times New Roman" w:eastAsia="宋体"/>
                      <w:sz w:val="21"/>
                      <w:szCs w:val="21"/>
                    </w:rPr>
                  </w:pPr>
                  <w:r>
                    <w:rPr>
                      <w:rFonts w:ascii="Times New Roman" w:hAnsi="Times New Roman" w:eastAsia="宋体"/>
                      <w:sz w:val="21"/>
                      <w:szCs w:val="21"/>
                    </w:rPr>
                    <w:t>本项目为电机铁芯</w:t>
                  </w:r>
                  <w:r>
                    <w:rPr>
                      <w:rFonts w:hint="eastAsia" w:ascii="Times New Roman" w:hAnsi="Times New Roman" w:eastAsia="宋体"/>
                      <w:sz w:val="21"/>
                      <w:szCs w:val="21"/>
                    </w:rPr>
                    <w:t>和</w:t>
                  </w:r>
                  <w:r>
                    <w:rPr>
                      <w:rFonts w:ascii="Times New Roman" w:hAnsi="Times New Roman" w:eastAsia="宋体"/>
                      <w:sz w:val="21"/>
                      <w:szCs w:val="21"/>
                    </w:rPr>
                    <w:t>电机机壳制造，不属于集中区不符合产业政策、产业导向和准入条件的企业。项目使用</w:t>
                  </w:r>
                  <w:r>
                    <w:rPr>
                      <w:rFonts w:hint="eastAsia" w:ascii="Times New Roman" w:hAnsi="Times New Roman" w:eastAsia="宋体"/>
                      <w:sz w:val="21"/>
                      <w:szCs w:val="21"/>
                    </w:rPr>
                    <w:t>水、</w:t>
                  </w:r>
                  <w:r>
                    <w:rPr>
                      <w:rFonts w:ascii="Times New Roman" w:hAnsi="Times New Roman" w:eastAsia="宋体"/>
                      <w:sz w:val="21"/>
                      <w:szCs w:val="21"/>
                    </w:rPr>
                    <w:t>电能，符合清洁生产原则。</w:t>
                  </w:r>
                </w:p>
              </w:tc>
              <w:tc>
                <w:tcPr>
                  <w:tcW w:w="805" w:type="dxa"/>
                  <w:vAlign w:val="center"/>
                </w:tcPr>
                <w:p>
                  <w:pPr>
                    <w:pStyle w:val="27"/>
                    <w:keepNext w:val="0"/>
                    <w:keepLines w:val="0"/>
                    <w:suppressLineNumbers w:val="0"/>
                    <w:spacing w:line="240" w:lineRule="auto"/>
                    <w:ind w:left="0" w:leftChars="0" w:right="0" w:firstLine="0" w:firstLineChars="0"/>
                    <w:jc w:val="center"/>
                    <w:rPr>
                      <w:rFonts w:ascii="Times New Roman" w:hAnsi="Times New Roman" w:eastAsia="宋体"/>
                      <w:sz w:val="21"/>
                      <w:szCs w:val="21"/>
                    </w:rPr>
                  </w:pPr>
                  <w:r>
                    <w:rPr>
                      <w:rFonts w:ascii="Times New Roman" w:hAnsi="Times New Roman" w:eastAsia="宋体"/>
                      <w:sz w:val="21"/>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02" w:hRule="atLeast"/>
              </w:trPr>
              <w:tc>
                <w:tcPr>
                  <w:tcW w:w="2967" w:type="dxa"/>
                  <w:vAlign w:val="center"/>
                </w:tcPr>
                <w:p>
                  <w:pPr>
                    <w:pStyle w:val="27"/>
                    <w:keepNext w:val="0"/>
                    <w:keepLines w:val="0"/>
                    <w:suppressLineNumbers w:val="0"/>
                    <w:spacing w:line="240" w:lineRule="auto"/>
                    <w:ind w:left="0" w:leftChars="0" w:right="0" w:firstLine="0" w:firstLineChars="0"/>
                    <w:jc w:val="center"/>
                    <w:rPr>
                      <w:rFonts w:ascii="Times New Roman" w:hAnsi="Times New Roman" w:eastAsia="宋体"/>
                      <w:sz w:val="21"/>
                      <w:szCs w:val="21"/>
                    </w:rPr>
                  </w:pPr>
                  <w:r>
                    <w:rPr>
                      <w:rFonts w:ascii="Times New Roman" w:hAnsi="Times New Roman" w:eastAsia="宋体"/>
                      <w:sz w:val="21"/>
                      <w:szCs w:val="21"/>
                    </w:rPr>
                    <w:t>加快环保基础设施建设，确保污染物达标排放。按“雨污分流、清污分流、中水回用”的原则建设给排水管网，初期雨水接入污水管网，所有工业废水和生活污水统一送入武南污水管网，接入武南污水处理厂集中处理。加快集中区供气（热）管网建设。集中区采用</w:t>
                  </w:r>
                  <w:r>
                    <w:rPr>
                      <w:rFonts w:hint="eastAsia" w:ascii="Times New Roman" w:hAnsi="Times New Roman" w:eastAsia="宋体"/>
                      <w:sz w:val="21"/>
                      <w:szCs w:val="21"/>
                      <w:lang w:eastAsia="zh-CN"/>
                    </w:rPr>
                    <w:t>天然气</w:t>
                  </w:r>
                  <w:r>
                    <w:rPr>
                      <w:rFonts w:ascii="Times New Roman" w:hAnsi="Times New Roman" w:eastAsia="宋体"/>
                      <w:sz w:val="21"/>
                      <w:szCs w:val="21"/>
                    </w:rPr>
                    <w:t>等清洁能源，禁止新、扩、改建燃煤、燃重油锅炉；入区企业生产过程中产生的废气须经处理达标排放，并须采取有效措施严格控制工艺废气无组织排放。加强固废的综合利用，加强企业内部的危废管理，建立危废的产生、收集、临时堆放、外运、处置及最终去向的详细台账。生活垃圾由环卫部门统一处理。</w:t>
                  </w:r>
                </w:p>
              </w:tc>
              <w:tc>
                <w:tcPr>
                  <w:tcW w:w="3047" w:type="dxa"/>
                  <w:vAlign w:val="center"/>
                </w:tcPr>
                <w:p>
                  <w:pPr>
                    <w:pStyle w:val="27"/>
                    <w:keepNext w:val="0"/>
                    <w:keepLines w:val="0"/>
                    <w:suppressLineNumbers w:val="0"/>
                    <w:spacing w:before="0" w:beforeAutospacing="0" w:after="0" w:afterAutospacing="0" w:line="240" w:lineRule="auto"/>
                    <w:ind w:left="0" w:leftChars="0" w:right="0" w:firstLine="0" w:firstLineChars="0"/>
                    <w:jc w:val="center"/>
                    <w:rPr>
                      <w:rFonts w:ascii="Times New Roman" w:hAnsi="Times New Roman" w:eastAsia="宋体"/>
                      <w:sz w:val="21"/>
                      <w:szCs w:val="21"/>
                    </w:rPr>
                  </w:pPr>
                  <w:r>
                    <w:rPr>
                      <w:rFonts w:ascii="Times New Roman" w:hAnsi="Times New Roman" w:eastAsia="宋体"/>
                      <w:sz w:val="21"/>
                      <w:szCs w:val="21"/>
                    </w:rPr>
                    <w:t>本项目厂区实施雨污分流，</w:t>
                  </w:r>
                  <w:r>
                    <w:rPr>
                      <w:rFonts w:hint="eastAsia" w:ascii="Times New Roman" w:hAnsi="Times New Roman" w:eastAsia="宋体"/>
                      <w:sz w:val="21"/>
                      <w:szCs w:val="21"/>
                    </w:rPr>
                    <w:t>食堂废水经隔油池处理后与</w:t>
                  </w:r>
                  <w:r>
                    <w:rPr>
                      <w:rFonts w:ascii="Times New Roman" w:hAnsi="Times New Roman" w:eastAsia="宋体"/>
                      <w:sz w:val="21"/>
                      <w:szCs w:val="21"/>
                    </w:rPr>
                    <w:t>生活污水接入武南污水处理厂处理。</w:t>
                  </w:r>
                  <w:r>
                    <w:rPr>
                      <w:rFonts w:ascii="Times New Roman" w:hAnsi="Times New Roman" w:eastAsia="宋体"/>
                      <w:sz w:val="21"/>
                      <w:szCs w:val="21"/>
                    </w:rPr>
                    <w:cr/>
                  </w:r>
                  <w:r>
                    <w:rPr>
                      <w:rFonts w:ascii="Times New Roman" w:hAnsi="Times New Roman" w:eastAsia="宋体"/>
                      <w:sz w:val="21"/>
                      <w:szCs w:val="21"/>
                    </w:rPr>
                    <w:t>本项目产生的有机废气经两级活性炭吸附装置处理后由15m高排气筒（</w:t>
                  </w:r>
                  <w:r>
                    <w:rPr>
                      <w:rFonts w:hint="eastAsia" w:ascii="Times New Roman" w:hAnsi="Times New Roman" w:eastAsia="宋体"/>
                      <w:sz w:val="21"/>
                      <w:szCs w:val="21"/>
                    </w:rPr>
                    <w:t>FQ-1</w:t>
                  </w:r>
                  <w:r>
                    <w:rPr>
                      <w:rFonts w:ascii="Times New Roman" w:hAnsi="Times New Roman" w:eastAsia="宋体"/>
                      <w:sz w:val="21"/>
                      <w:szCs w:val="21"/>
                    </w:rPr>
                    <w:t>）达标排放。</w:t>
                  </w:r>
                </w:p>
                <w:p>
                  <w:pPr>
                    <w:pStyle w:val="27"/>
                    <w:keepNext w:val="0"/>
                    <w:keepLines w:val="0"/>
                    <w:suppressLineNumbers w:val="0"/>
                    <w:spacing w:before="0" w:beforeAutospacing="0" w:after="0" w:afterAutospacing="0" w:line="240" w:lineRule="auto"/>
                    <w:ind w:left="0" w:leftChars="0" w:right="0" w:firstLine="0" w:firstLineChars="0"/>
                    <w:jc w:val="center"/>
                    <w:rPr>
                      <w:rFonts w:hint="eastAsia" w:ascii="Times New Roman" w:hAnsi="Times New Roman" w:eastAsia="宋体"/>
                      <w:sz w:val="21"/>
                      <w:szCs w:val="21"/>
                      <w:lang w:eastAsia="zh-CN"/>
                    </w:rPr>
                  </w:pPr>
                  <w:r>
                    <w:rPr>
                      <w:rFonts w:ascii="Times New Roman" w:hAnsi="Times New Roman" w:eastAsia="宋体"/>
                      <w:sz w:val="21"/>
                      <w:szCs w:val="21"/>
                    </w:rPr>
                    <w:t>本项目一般固废、危险固废及生活垃圾分类堆放。一般工业固废暂存于一般固废堆场，外售综合利用；危险固废暂存于危废仓库，委托有资质单位处理；生活垃圾由环卫部门统一清运。</w:t>
                  </w:r>
                </w:p>
              </w:tc>
              <w:tc>
                <w:tcPr>
                  <w:tcW w:w="805" w:type="dxa"/>
                  <w:vAlign w:val="center"/>
                </w:tcPr>
                <w:p>
                  <w:pPr>
                    <w:pStyle w:val="27"/>
                    <w:keepNext w:val="0"/>
                    <w:keepLines w:val="0"/>
                    <w:suppressLineNumbers w:val="0"/>
                    <w:spacing w:line="240" w:lineRule="auto"/>
                    <w:ind w:left="0" w:leftChars="0" w:right="0" w:firstLine="0" w:firstLineChars="0"/>
                    <w:jc w:val="center"/>
                    <w:rPr>
                      <w:rFonts w:ascii="Times New Roman" w:hAnsi="Times New Roman" w:eastAsia="宋体"/>
                      <w:sz w:val="21"/>
                      <w:szCs w:val="21"/>
                    </w:rPr>
                  </w:pPr>
                  <w:r>
                    <w:rPr>
                      <w:rFonts w:ascii="Times New Roman" w:hAnsi="Times New Roman" w:eastAsia="宋体"/>
                      <w:sz w:val="21"/>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2967" w:type="dxa"/>
                  <w:vAlign w:val="center"/>
                </w:tcPr>
                <w:p>
                  <w:pPr>
                    <w:pStyle w:val="27"/>
                    <w:keepNext w:val="0"/>
                    <w:keepLines w:val="0"/>
                    <w:suppressLineNumbers w:val="0"/>
                    <w:spacing w:line="240" w:lineRule="auto"/>
                    <w:ind w:left="0" w:leftChars="0" w:right="0" w:firstLine="0" w:firstLineChars="0"/>
                    <w:jc w:val="center"/>
                    <w:rPr>
                      <w:rFonts w:ascii="Times New Roman" w:hAnsi="Times New Roman" w:eastAsia="宋体"/>
                      <w:sz w:val="21"/>
                      <w:szCs w:val="21"/>
                    </w:rPr>
                  </w:pPr>
                  <w:r>
                    <w:rPr>
                      <w:rFonts w:ascii="Times New Roman" w:hAnsi="Times New Roman" w:eastAsia="宋体"/>
                      <w:sz w:val="21"/>
                      <w:szCs w:val="21"/>
                    </w:rPr>
                    <w:t>落实事故风险防范措施，制定配套应急预案。在工业集中区基础设施建设和企业运营管理中须落实事故防范对策措施和应急预案。</w:t>
                  </w:r>
                </w:p>
              </w:tc>
              <w:tc>
                <w:tcPr>
                  <w:tcW w:w="3047" w:type="dxa"/>
                  <w:vAlign w:val="center"/>
                </w:tcPr>
                <w:p>
                  <w:pPr>
                    <w:pStyle w:val="27"/>
                    <w:keepNext w:val="0"/>
                    <w:keepLines w:val="0"/>
                    <w:suppressLineNumbers w:val="0"/>
                    <w:spacing w:line="240" w:lineRule="auto"/>
                    <w:ind w:left="0" w:leftChars="0" w:right="0" w:firstLine="0" w:firstLineChars="0"/>
                    <w:jc w:val="center"/>
                    <w:rPr>
                      <w:rFonts w:ascii="Times New Roman" w:hAnsi="Times New Roman" w:eastAsia="宋体"/>
                      <w:sz w:val="21"/>
                      <w:szCs w:val="21"/>
                    </w:rPr>
                  </w:pPr>
                  <w:r>
                    <w:rPr>
                      <w:rFonts w:ascii="Times New Roman" w:hAnsi="Times New Roman" w:eastAsia="宋体"/>
                      <w:sz w:val="21"/>
                      <w:szCs w:val="21"/>
                    </w:rPr>
                    <w:t>本项目建成后将加强风险防范措施，并积极与区域应急预案联动。</w:t>
                  </w:r>
                </w:p>
              </w:tc>
              <w:tc>
                <w:tcPr>
                  <w:tcW w:w="805" w:type="dxa"/>
                  <w:vAlign w:val="center"/>
                </w:tcPr>
                <w:p>
                  <w:pPr>
                    <w:pStyle w:val="27"/>
                    <w:keepNext w:val="0"/>
                    <w:keepLines w:val="0"/>
                    <w:suppressLineNumbers w:val="0"/>
                    <w:spacing w:line="240" w:lineRule="auto"/>
                    <w:ind w:left="0" w:leftChars="0" w:right="0" w:firstLine="0" w:firstLineChars="0"/>
                    <w:jc w:val="center"/>
                    <w:rPr>
                      <w:rFonts w:ascii="Times New Roman" w:hAnsi="Times New Roman" w:eastAsia="宋体"/>
                      <w:sz w:val="21"/>
                      <w:szCs w:val="21"/>
                    </w:rPr>
                  </w:pPr>
                  <w:r>
                    <w:rPr>
                      <w:rFonts w:ascii="Times New Roman" w:hAnsi="Times New Roman" w:eastAsia="宋体"/>
                      <w:sz w:val="21"/>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57" w:hRule="atLeast"/>
              </w:trPr>
              <w:tc>
                <w:tcPr>
                  <w:tcW w:w="2967" w:type="dxa"/>
                  <w:vAlign w:val="center"/>
                </w:tcPr>
                <w:p>
                  <w:pPr>
                    <w:pStyle w:val="27"/>
                    <w:keepNext w:val="0"/>
                    <w:keepLines w:val="0"/>
                    <w:suppressLineNumbers w:val="0"/>
                    <w:spacing w:line="240" w:lineRule="auto"/>
                    <w:ind w:left="0" w:leftChars="0" w:right="0" w:firstLine="0" w:firstLineChars="0"/>
                    <w:jc w:val="center"/>
                    <w:rPr>
                      <w:rFonts w:ascii="Times New Roman" w:hAnsi="Times New Roman" w:eastAsia="宋体"/>
                      <w:sz w:val="21"/>
                      <w:szCs w:val="21"/>
                    </w:rPr>
                  </w:pPr>
                  <w:r>
                    <w:rPr>
                      <w:rFonts w:ascii="Times New Roman" w:hAnsi="Times New Roman" w:eastAsia="宋体"/>
                      <w:sz w:val="21"/>
                      <w:szCs w:val="21"/>
                    </w:rPr>
                    <w:t>加强工业集中区环境监督制度，建立跟踪监测制度。须落实报告书提出的环境监测计划，对工业集中区内外环境实施跟踪监控。入区企业须按《江苏省排污口设置及规范化整治管理办法》的规定设置各类排污口和</w:t>
                  </w:r>
                  <w:r>
                    <w:rPr>
                      <w:rFonts w:hint="eastAsia" w:ascii="Times New Roman" w:hAnsi="Times New Roman" w:eastAsia="宋体"/>
                      <w:sz w:val="21"/>
                      <w:szCs w:val="21"/>
                      <w:lang w:eastAsia="zh-CN"/>
                    </w:rPr>
                    <w:t>标识</w:t>
                  </w:r>
                  <w:r>
                    <w:rPr>
                      <w:rFonts w:ascii="Times New Roman" w:hAnsi="Times New Roman" w:eastAsia="宋体"/>
                      <w:sz w:val="21"/>
                      <w:szCs w:val="21"/>
                    </w:rPr>
                    <w:t>。</w:t>
                  </w:r>
                </w:p>
              </w:tc>
              <w:tc>
                <w:tcPr>
                  <w:tcW w:w="3047" w:type="dxa"/>
                  <w:vAlign w:val="center"/>
                </w:tcPr>
                <w:p>
                  <w:pPr>
                    <w:pStyle w:val="27"/>
                    <w:keepNext w:val="0"/>
                    <w:keepLines w:val="0"/>
                    <w:suppressLineNumbers w:val="0"/>
                    <w:spacing w:line="240" w:lineRule="auto"/>
                    <w:ind w:left="0" w:leftChars="0" w:right="0" w:firstLine="0" w:firstLineChars="0"/>
                    <w:jc w:val="center"/>
                    <w:rPr>
                      <w:rFonts w:ascii="Times New Roman" w:hAnsi="Times New Roman" w:eastAsia="宋体"/>
                      <w:sz w:val="21"/>
                      <w:szCs w:val="21"/>
                    </w:rPr>
                  </w:pPr>
                  <w:r>
                    <w:rPr>
                      <w:rFonts w:ascii="Times New Roman" w:hAnsi="Times New Roman" w:eastAsia="宋体"/>
                      <w:sz w:val="21"/>
                      <w:szCs w:val="21"/>
                    </w:rPr>
                    <w:t>本项目按照《江苏省排污口设置及规范化整治管理办法》的规定，厂内共设置1个污水接管口和1个雨水排放口。</w:t>
                  </w:r>
                </w:p>
              </w:tc>
              <w:tc>
                <w:tcPr>
                  <w:tcW w:w="805" w:type="dxa"/>
                  <w:vAlign w:val="center"/>
                </w:tcPr>
                <w:p>
                  <w:pPr>
                    <w:pStyle w:val="27"/>
                    <w:keepNext w:val="0"/>
                    <w:keepLines w:val="0"/>
                    <w:suppressLineNumbers w:val="0"/>
                    <w:spacing w:line="240" w:lineRule="auto"/>
                    <w:ind w:left="0" w:leftChars="0" w:right="0" w:firstLine="0" w:firstLineChars="0"/>
                    <w:jc w:val="center"/>
                    <w:rPr>
                      <w:rFonts w:ascii="Times New Roman" w:hAnsi="Times New Roman" w:eastAsia="宋体"/>
                      <w:sz w:val="21"/>
                      <w:szCs w:val="21"/>
                    </w:rPr>
                  </w:pPr>
                  <w:r>
                    <w:rPr>
                      <w:rFonts w:ascii="Times New Roman" w:hAnsi="Times New Roman" w:eastAsia="宋体"/>
                      <w:sz w:val="21"/>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33" w:hRule="atLeast"/>
              </w:trPr>
              <w:tc>
                <w:tcPr>
                  <w:tcW w:w="2967" w:type="dxa"/>
                  <w:vAlign w:val="center"/>
                </w:tcPr>
                <w:p>
                  <w:pPr>
                    <w:pStyle w:val="27"/>
                    <w:keepNext w:val="0"/>
                    <w:keepLines w:val="0"/>
                    <w:suppressLineNumbers w:val="0"/>
                    <w:spacing w:line="240" w:lineRule="auto"/>
                    <w:ind w:left="0" w:leftChars="0" w:right="0" w:firstLine="0" w:firstLineChars="0"/>
                    <w:jc w:val="center"/>
                    <w:rPr>
                      <w:rFonts w:ascii="Times New Roman" w:hAnsi="Times New Roman" w:eastAsia="宋体"/>
                      <w:sz w:val="21"/>
                      <w:szCs w:val="21"/>
                    </w:rPr>
                  </w:pPr>
                  <w:r>
                    <w:rPr>
                      <w:rFonts w:ascii="Times New Roman" w:hAnsi="Times New Roman" w:eastAsia="宋体"/>
                      <w:sz w:val="21"/>
                      <w:szCs w:val="21"/>
                    </w:rPr>
                    <w:t>合理规划集中区布局，妥善安排居民拆迁安置。集中区内居民搬迁和安置工作应根据集中区发展，按计划及时完成。集中区工业用地与市政公用设施用地之间、集中区边界与洛阳镇区边界之间，各设置30米空间防护距离。</w:t>
                  </w:r>
                </w:p>
              </w:tc>
              <w:tc>
                <w:tcPr>
                  <w:tcW w:w="3047" w:type="dxa"/>
                  <w:vAlign w:val="center"/>
                </w:tcPr>
                <w:p>
                  <w:pPr>
                    <w:pStyle w:val="27"/>
                    <w:keepNext w:val="0"/>
                    <w:keepLines w:val="0"/>
                    <w:suppressLineNumbers w:val="0"/>
                    <w:spacing w:line="240" w:lineRule="auto"/>
                    <w:ind w:left="0" w:leftChars="0" w:right="0" w:firstLine="0" w:firstLineChars="0"/>
                    <w:jc w:val="center"/>
                    <w:rPr>
                      <w:rFonts w:ascii="Times New Roman" w:hAnsi="Times New Roman" w:eastAsia="宋体"/>
                      <w:sz w:val="21"/>
                      <w:szCs w:val="21"/>
                    </w:rPr>
                  </w:pPr>
                  <w:r>
                    <w:rPr>
                      <w:rFonts w:ascii="Times New Roman" w:hAnsi="Times New Roman" w:eastAsia="宋体"/>
                      <w:sz w:val="21"/>
                      <w:szCs w:val="21"/>
                    </w:rPr>
                    <w:t>本项目布局合理，以</w:t>
                  </w:r>
                  <w:r>
                    <w:rPr>
                      <w:rFonts w:hint="eastAsia" w:asciiTheme="minorEastAsia" w:hAnsiTheme="minorEastAsia" w:eastAsiaTheme="minorEastAsia"/>
                      <w:sz w:val="21"/>
                      <w:szCs w:val="21"/>
                    </w:rPr>
                    <w:t>涂</w:t>
                  </w:r>
                  <w:r>
                    <w:rPr>
                      <w:rFonts w:hint="eastAsia" w:asciiTheme="minorEastAsia" w:hAnsiTheme="minorEastAsia" w:eastAsiaTheme="minorEastAsia"/>
                      <w:sz w:val="21"/>
                      <w:szCs w:val="21"/>
                      <w:lang w:eastAsia="zh-CN"/>
                    </w:rPr>
                    <w:t>敷</w:t>
                  </w:r>
                  <w:r>
                    <w:rPr>
                      <w:rFonts w:hint="eastAsia" w:asciiTheme="minorEastAsia" w:hAnsiTheme="minorEastAsia" w:eastAsiaTheme="minorEastAsia"/>
                      <w:sz w:val="21"/>
                      <w:szCs w:val="21"/>
                    </w:rPr>
                    <w:t>注塑车间</w:t>
                  </w:r>
                  <w:r>
                    <w:rPr>
                      <w:rFonts w:ascii="Times New Roman" w:hAnsi="Times New Roman" w:eastAsia="宋体"/>
                      <w:sz w:val="21"/>
                      <w:szCs w:val="21"/>
                    </w:rPr>
                    <w:t>为</w:t>
                  </w:r>
                  <w:r>
                    <w:rPr>
                      <w:rFonts w:hint="eastAsia" w:ascii="Times New Roman" w:hAnsi="Times New Roman" w:eastAsia="宋体"/>
                      <w:sz w:val="21"/>
                      <w:szCs w:val="21"/>
                    </w:rPr>
                    <w:t>边</w:t>
                  </w:r>
                  <w:r>
                    <w:rPr>
                      <w:rFonts w:ascii="Times New Roman" w:hAnsi="Times New Roman" w:eastAsia="宋体"/>
                      <w:sz w:val="21"/>
                      <w:szCs w:val="21"/>
                    </w:rPr>
                    <w:t>界设置</w:t>
                  </w:r>
                  <w:r>
                    <w:rPr>
                      <w:rFonts w:hint="eastAsia" w:ascii="Times New Roman" w:hAnsi="Times New Roman" w:eastAsia="宋体"/>
                      <w:sz w:val="21"/>
                      <w:szCs w:val="21"/>
                    </w:rPr>
                    <w:t>100</w:t>
                  </w:r>
                  <w:r>
                    <w:rPr>
                      <w:rFonts w:ascii="Times New Roman" w:hAnsi="Times New Roman" w:eastAsia="宋体"/>
                      <w:sz w:val="21"/>
                      <w:szCs w:val="21"/>
                    </w:rPr>
                    <w:t>m的卫生防护距离，卫生防护距离包络线内暂无敏感目标，今后也不得建设环境敏感点。</w:t>
                  </w:r>
                </w:p>
              </w:tc>
              <w:tc>
                <w:tcPr>
                  <w:tcW w:w="805" w:type="dxa"/>
                  <w:vAlign w:val="center"/>
                </w:tcPr>
                <w:p>
                  <w:pPr>
                    <w:pStyle w:val="27"/>
                    <w:keepNext w:val="0"/>
                    <w:keepLines w:val="0"/>
                    <w:suppressLineNumbers w:val="0"/>
                    <w:spacing w:line="240" w:lineRule="auto"/>
                    <w:ind w:left="0" w:leftChars="0" w:right="0" w:firstLine="0" w:firstLineChars="0"/>
                    <w:jc w:val="center"/>
                    <w:rPr>
                      <w:rFonts w:ascii="Times New Roman" w:hAnsi="Times New Roman" w:eastAsia="宋体"/>
                      <w:sz w:val="21"/>
                      <w:szCs w:val="21"/>
                    </w:rPr>
                  </w:pPr>
                  <w:r>
                    <w:rPr>
                      <w:rFonts w:ascii="Times New Roman" w:hAnsi="Times New Roman" w:eastAsia="宋体"/>
                      <w:sz w:val="21"/>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61" w:hRule="atLeast"/>
              </w:trPr>
              <w:tc>
                <w:tcPr>
                  <w:tcW w:w="2967" w:type="dxa"/>
                  <w:vAlign w:val="center"/>
                </w:tcPr>
                <w:p>
                  <w:pPr>
                    <w:pStyle w:val="27"/>
                    <w:keepNext w:val="0"/>
                    <w:keepLines w:val="0"/>
                    <w:suppressLineNumbers w:val="0"/>
                    <w:spacing w:line="240" w:lineRule="auto"/>
                    <w:ind w:left="0" w:leftChars="0" w:right="0" w:firstLine="0" w:firstLineChars="0"/>
                    <w:jc w:val="center"/>
                    <w:rPr>
                      <w:rFonts w:ascii="Times New Roman" w:hAnsi="Times New Roman" w:eastAsia="宋体"/>
                      <w:sz w:val="21"/>
                      <w:szCs w:val="21"/>
                    </w:rPr>
                  </w:pPr>
                  <w:r>
                    <w:rPr>
                      <w:rFonts w:ascii="Times New Roman" w:hAnsi="Times New Roman" w:eastAsia="宋体"/>
                      <w:sz w:val="21"/>
                      <w:szCs w:val="21"/>
                    </w:rPr>
                    <w:t>工业集中区实行污染物排放总量控制。各类污染物排放总量指标纳入武进区总量指标内，其中水污染物总量指标纳入武南污水处理厂指标计划中。非常规污染物排放总量控制指标可根据环境要求和入区企业实际情况向我局核准。</w:t>
                  </w:r>
                </w:p>
              </w:tc>
              <w:tc>
                <w:tcPr>
                  <w:tcW w:w="3047" w:type="dxa"/>
                  <w:vAlign w:val="center"/>
                </w:tcPr>
                <w:p>
                  <w:pPr>
                    <w:pStyle w:val="27"/>
                    <w:keepNext w:val="0"/>
                    <w:keepLines w:val="0"/>
                    <w:suppressLineNumbers w:val="0"/>
                    <w:spacing w:line="240" w:lineRule="auto"/>
                    <w:ind w:left="0" w:leftChars="0" w:right="0" w:firstLine="0" w:firstLineChars="0"/>
                    <w:jc w:val="center"/>
                    <w:rPr>
                      <w:rFonts w:ascii="Times New Roman" w:hAnsi="Times New Roman" w:eastAsia="宋体"/>
                      <w:sz w:val="21"/>
                      <w:szCs w:val="21"/>
                    </w:rPr>
                  </w:pPr>
                  <w:r>
                    <w:rPr>
                      <w:rFonts w:ascii="Times New Roman" w:hAnsi="Times New Roman" w:eastAsia="宋体"/>
                      <w:sz w:val="21"/>
                      <w:szCs w:val="21"/>
                    </w:rPr>
                    <w:t>本项目水污染物排放总量在武南污水处理厂已批总量内平衡；大气污染物排放指标在</w:t>
                  </w:r>
                  <w:r>
                    <w:rPr>
                      <w:rFonts w:hint="eastAsia" w:ascii="Times New Roman" w:hAnsi="Times New Roman" w:eastAsia="宋体"/>
                      <w:sz w:val="21"/>
                      <w:szCs w:val="21"/>
                      <w:lang w:eastAsia="zh-CN"/>
                    </w:rPr>
                    <w:t>武进区</w:t>
                  </w:r>
                  <w:r>
                    <w:rPr>
                      <w:rFonts w:ascii="Times New Roman" w:hAnsi="Times New Roman" w:eastAsia="宋体"/>
                      <w:sz w:val="21"/>
                      <w:szCs w:val="21"/>
                    </w:rPr>
                    <w:t>内进行平衡。</w:t>
                  </w:r>
                </w:p>
              </w:tc>
              <w:tc>
                <w:tcPr>
                  <w:tcW w:w="805" w:type="dxa"/>
                  <w:vAlign w:val="center"/>
                </w:tcPr>
                <w:p>
                  <w:pPr>
                    <w:pStyle w:val="27"/>
                    <w:keepNext w:val="0"/>
                    <w:keepLines w:val="0"/>
                    <w:suppressLineNumbers w:val="0"/>
                    <w:spacing w:line="240" w:lineRule="auto"/>
                    <w:ind w:left="0" w:leftChars="0" w:right="0" w:firstLine="0" w:firstLineChars="0"/>
                    <w:jc w:val="center"/>
                    <w:rPr>
                      <w:rFonts w:ascii="Times New Roman" w:hAnsi="Times New Roman" w:eastAsia="宋体"/>
                      <w:sz w:val="21"/>
                      <w:szCs w:val="21"/>
                    </w:rPr>
                  </w:pPr>
                  <w:r>
                    <w:rPr>
                      <w:rFonts w:ascii="Times New Roman" w:hAnsi="Times New Roman" w:eastAsia="宋体"/>
                      <w:sz w:val="21"/>
                      <w:szCs w:val="21"/>
                    </w:rPr>
                    <w:t>相符</w:t>
                  </w:r>
                </w:p>
              </w:tc>
            </w:tr>
          </w:tbl>
          <w:p>
            <w:pPr>
              <w:pStyle w:val="27"/>
              <w:keepNext w:val="0"/>
              <w:keepLines w:val="0"/>
              <w:suppressLineNumbers w:val="0"/>
              <w:ind w:left="-84" w:firstLine="560"/>
              <w:rPr>
                <w:rFonts w:eastAsiaTheme="minorEastAsia"/>
              </w:rPr>
            </w:pPr>
          </w:p>
          <w:p>
            <w:pPr>
              <w:pStyle w:val="27"/>
              <w:keepNext w:val="0"/>
              <w:keepLines w:val="0"/>
              <w:suppressLineNumbers w:val="0"/>
              <w:ind w:left="-84" w:firstLine="560"/>
              <w:rPr>
                <w:rFonts w:eastAsiaTheme="minorEastAsia"/>
              </w:rPr>
            </w:pPr>
          </w:p>
          <w:p>
            <w:pPr>
              <w:pStyle w:val="27"/>
              <w:keepNext w:val="0"/>
              <w:keepLines w:val="0"/>
              <w:suppressLineNumbers w:val="0"/>
              <w:ind w:left="-84" w:firstLine="560"/>
              <w:rPr>
                <w:rFonts w:eastAsiaTheme="minorEastAsia"/>
              </w:rPr>
            </w:pPr>
          </w:p>
          <w:p>
            <w:pPr>
              <w:pStyle w:val="27"/>
              <w:keepNext w:val="0"/>
              <w:keepLines w:val="0"/>
              <w:suppressLineNumbers w:val="0"/>
              <w:ind w:left="-84" w:firstLine="560"/>
              <w:rPr>
                <w:rFonts w:eastAsiaTheme="minorEastAsia"/>
              </w:rPr>
            </w:pPr>
          </w:p>
          <w:p>
            <w:pPr>
              <w:pStyle w:val="27"/>
              <w:keepNext w:val="0"/>
              <w:keepLines w:val="0"/>
              <w:suppressLineNumbers w:val="0"/>
              <w:ind w:left="-84" w:firstLine="560"/>
              <w:rPr>
                <w:rFonts w:eastAsiaTheme="minorEastAsia"/>
              </w:rPr>
            </w:pPr>
          </w:p>
          <w:p>
            <w:pPr>
              <w:pStyle w:val="27"/>
              <w:keepNext w:val="0"/>
              <w:keepLines w:val="0"/>
              <w:suppressLineNumbers w:val="0"/>
              <w:ind w:left="-84" w:firstLine="560"/>
              <w:rPr>
                <w:rFonts w:eastAsiaTheme="minorEastAsia"/>
              </w:rPr>
            </w:pPr>
          </w:p>
          <w:p>
            <w:pPr>
              <w:pStyle w:val="27"/>
              <w:keepNext w:val="0"/>
              <w:keepLines w:val="0"/>
              <w:suppressLineNumbers w:val="0"/>
              <w:ind w:left="-84" w:firstLine="560"/>
              <w:rPr>
                <w:rFonts w:eastAsiaTheme="minorEastAsia"/>
              </w:rPr>
            </w:pPr>
          </w:p>
          <w:p>
            <w:pPr>
              <w:pStyle w:val="27"/>
              <w:keepNext w:val="0"/>
              <w:keepLines w:val="0"/>
              <w:suppressLineNumbers w:val="0"/>
              <w:ind w:left="-84" w:firstLine="560"/>
              <w:rPr>
                <w:rFonts w:hint="eastAsia" w:eastAsiaTheme="minorEastAsia"/>
              </w:rPr>
            </w:pPr>
          </w:p>
          <w:p>
            <w:pPr>
              <w:pStyle w:val="27"/>
              <w:keepNext w:val="0"/>
              <w:keepLines w:val="0"/>
              <w:suppressLineNumbers w:val="0"/>
              <w:ind w:left="-84" w:firstLine="560"/>
              <w:rPr>
                <w:rFonts w:hint="eastAsia" w:eastAsiaTheme="minorEastAsia"/>
              </w:rPr>
            </w:pPr>
          </w:p>
          <w:p>
            <w:pPr>
              <w:pStyle w:val="27"/>
              <w:keepNext w:val="0"/>
              <w:keepLines w:val="0"/>
              <w:suppressLineNumbers w:val="0"/>
              <w:ind w:left="-84" w:firstLine="560"/>
              <w:rPr>
                <w:rFonts w:eastAsiaTheme="minorEastAsia"/>
              </w:rPr>
            </w:pPr>
          </w:p>
          <w:p>
            <w:pPr>
              <w:pStyle w:val="27"/>
              <w:keepNext w:val="0"/>
              <w:keepLines w:val="0"/>
              <w:suppressLineNumbers w:val="0"/>
              <w:ind w:left="0" w:leftChars="0" w:firstLine="383" w:firstLineChars="137"/>
              <w:rPr>
                <w:rFonts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570" w:type="dxa"/>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ascii="宋体" w:hAnsi="宋体" w:cs="宋体"/>
                <w:kern w:val="0"/>
                <w:szCs w:val="21"/>
              </w:rPr>
            </w:pPr>
            <w:r>
              <w:rPr>
                <w:rFonts w:hint="eastAsia" w:ascii="宋体" w:hAnsi="宋体" w:cs="宋体"/>
                <w:kern w:val="0"/>
                <w:szCs w:val="21"/>
              </w:rPr>
              <w:t>其他符合性分析</w:t>
            </w:r>
          </w:p>
        </w:tc>
        <w:tc>
          <w:tcPr>
            <w:tcW w:w="8481" w:type="dxa"/>
            <w:gridSpan w:val="4"/>
            <w:vAlign w:val="center"/>
          </w:tcPr>
          <w:p>
            <w:pPr>
              <w:keepNext w:val="0"/>
              <w:keepLines w:val="0"/>
              <w:suppressLineNumbers w:val="0"/>
              <w:autoSpaceDE w:val="0"/>
              <w:autoSpaceDN w:val="0"/>
              <w:snapToGrid w:val="0"/>
              <w:spacing w:before="0" w:beforeAutospacing="0" w:after="0" w:afterAutospacing="0" w:line="360" w:lineRule="auto"/>
              <w:ind w:left="0" w:right="0" w:firstLine="482" w:firstLineChars="200"/>
              <w:rPr>
                <w:b/>
                <w:bCs/>
                <w:sz w:val="24"/>
              </w:rPr>
            </w:pPr>
            <w:r>
              <w:rPr>
                <w:rFonts w:hint="eastAsia"/>
                <w:b/>
                <w:bCs/>
                <w:sz w:val="24"/>
              </w:rPr>
              <w:t>1</w:t>
            </w:r>
            <w:r>
              <w:rPr>
                <w:rFonts w:hAnsi="宋体"/>
                <w:b/>
                <w:bCs/>
                <w:sz w:val="24"/>
              </w:rPr>
              <w:t>、</w:t>
            </w:r>
            <w:r>
              <w:rPr>
                <w:b/>
                <w:bCs/>
                <w:sz w:val="24"/>
              </w:rPr>
              <w:t>“</w:t>
            </w:r>
            <w:r>
              <w:rPr>
                <w:rFonts w:hAnsi="宋体"/>
                <w:b/>
                <w:bCs/>
                <w:sz w:val="24"/>
              </w:rPr>
              <w:t>三线一单</w:t>
            </w:r>
            <w:r>
              <w:rPr>
                <w:b/>
                <w:bCs/>
                <w:sz w:val="24"/>
              </w:rPr>
              <w:t>”</w:t>
            </w:r>
            <w:r>
              <w:rPr>
                <w:rFonts w:hAnsi="宋体"/>
                <w:b/>
                <w:bCs/>
                <w:sz w:val="24"/>
              </w:rPr>
              <w:t>控制要求相符性分析</w:t>
            </w:r>
          </w:p>
          <w:p>
            <w:pPr>
              <w:keepNext w:val="0"/>
              <w:keepLines w:val="0"/>
              <w:suppressLineNumbers w:val="0"/>
              <w:autoSpaceDE w:val="0"/>
              <w:autoSpaceDN w:val="0"/>
              <w:adjustRightInd w:val="0"/>
              <w:snapToGrid w:val="0"/>
              <w:spacing w:before="0" w:beforeAutospacing="0" w:after="0" w:afterAutospacing="0" w:line="360" w:lineRule="auto"/>
              <w:ind w:left="0" w:right="0" w:firstLine="482" w:firstLineChars="200"/>
              <w:rPr>
                <w:b/>
                <w:sz w:val="24"/>
                <w:lang w:val="zh-CN"/>
              </w:rPr>
            </w:pPr>
            <w:r>
              <w:rPr>
                <w:rFonts w:hint="eastAsia" w:hAnsi="宋体"/>
                <w:b/>
                <w:sz w:val="24"/>
              </w:rPr>
              <w:t>（1）</w:t>
            </w:r>
            <w:r>
              <w:rPr>
                <w:rFonts w:hAnsi="宋体"/>
                <w:b/>
                <w:sz w:val="24"/>
              </w:rPr>
              <w:t>根据《关于以改善环境质量为核心加强环境影响评价管理的通知》（环环评</w:t>
            </w:r>
            <w:r>
              <w:rPr>
                <w:b/>
                <w:sz w:val="24"/>
              </w:rPr>
              <w:t>[2016]150</w:t>
            </w:r>
            <w:r>
              <w:rPr>
                <w:rFonts w:hAnsi="宋体"/>
                <w:b/>
                <w:sz w:val="24"/>
              </w:rPr>
              <w:t>号文），本项目与</w:t>
            </w:r>
            <w:r>
              <w:rPr>
                <w:b/>
                <w:sz w:val="24"/>
              </w:rPr>
              <w:t>“</w:t>
            </w:r>
            <w:r>
              <w:rPr>
                <w:rFonts w:hAnsi="宋体"/>
                <w:b/>
                <w:sz w:val="24"/>
              </w:rPr>
              <w:t>三线一单</w:t>
            </w:r>
            <w:r>
              <w:rPr>
                <w:b/>
                <w:sz w:val="24"/>
              </w:rPr>
              <w:t>”</w:t>
            </w:r>
            <w:r>
              <w:rPr>
                <w:rFonts w:hAnsi="宋体"/>
                <w:b/>
                <w:sz w:val="24"/>
              </w:rPr>
              <w:t>相符性分析主要体现在以下四个方面：</w:t>
            </w:r>
          </w:p>
          <w:p>
            <w:pPr>
              <w:keepNext w:val="0"/>
              <w:keepLines w:val="0"/>
              <w:widowControl/>
              <w:suppressLineNumbers w:val="0"/>
              <w:spacing w:before="0" w:beforeAutospacing="0" w:after="0" w:afterAutospacing="0"/>
              <w:ind w:left="0" w:right="0"/>
              <w:jc w:val="center"/>
            </w:pPr>
            <w:r>
              <w:rPr>
                <w:b/>
                <w:bCs/>
                <w:kern w:val="0"/>
                <w:sz w:val="24"/>
              </w:rPr>
              <w:t>表1-2  “三线一单”符合性分析情况一览表</w:t>
            </w:r>
          </w:p>
          <w:tbl>
            <w:tblPr>
              <w:tblStyle w:val="21"/>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57"/>
              <w:gridCol w:w="685"/>
              <w:gridCol w:w="6502"/>
              <w:gridCol w:w="53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06" w:hRule="atLeast"/>
              </w:trPr>
              <w:tc>
                <w:tcPr>
                  <w:tcW w:w="457" w:type="dxa"/>
                  <w:vAlign w:val="center"/>
                </w:tcPr>
                <w:p>
                  <w:pPr>
                    <w:keepNext w:val="0"/>
                    <w:keepLines w:val="0"/>
                    <w:suppressLineNumbers w:val="0"/>
                    <w:autoSpaceDE w:val="0"/>
                    <w:autoSpaceDN w:val="0"/>
                    <w:snapToGrid w:val="0"/>
                    <w:spacing w:before="0" w:beforeAutospacing="0" w:after="0" w:afterAutospacing="0"/>
                    <w:ind w:left="0" w:right="0"/>
                    <w:jc w:val="center"/>
                    <w:rPr>
                      <w:b/>
                      <w:bCs/>
                      <w:szCs w:val="21"/>
                    </w:rPr>
                  </w:pPr>
                  <w:r>
                    <w:rPr>
                      <w:b/>
                      <w:bCs/>
                      <w:szCs w:val="21"/>
                    </w:rPr>
                    <w:t>序号</w:t>
                  </w:r>
                </w:p>
              </w:tc>
              <w:tc>
                <w:tcPr>
                  <w:tcW w:w="685" w:type="dxa"/>
                  <w:vAlign w:val="center"/>
                </w:tcPr>
                <w:p>
                  <w:pPr>
                    <w:keepNext w:val="0"/>
                    <w:keepLines w:val="0"/>
                    <w:suppressLineNumbers w:val="0"/>
                    <w:autoSpaceDE w:val="0"/>
                    <w:autoSpaceDN w:val="0"/>
                    <w:snapToGrid w:val="0"/>
                    <w:spacing w:before="0" w:beforeAutospacing="0" w:after="0" w:afterAutospacing="0"/>
                    <w:ind w:left="0" w:right="0"/>
                    <w:jc w:val="center"/>
                    <w:rPr>
                      <w:b/>
                      <w:bCs/>
                      <w:szCs w:val="21"/>
                    </w:rPr>
                  </w:pPr>
                  <w:r>
                    <w:rPr>
                      <w:b/>
                      <w:bCs/>
                      <w:szCs w:val="21"/>
                    </w:rPr>
                    <w:t>判断类型</w:t>
                  </w:r>
                </w:p>
              </w:tc>
              <w:tc>
                <w:tcPr>
                  <w:tcW w:w="6502" w:type="dxa"/>
                  <w:vAlign w:val="center"/>
                </w:tcPr>
                <w:p>
                  <w:pPr>
                    <w:keepNext w:val="0"/>
                    <w:keepLines w:val="0"/>
                    <w:suppressLineNumbers w:val="0"/>
                    <w:autoSpaceDE w:val="0"/>
                    <w:autoSpaceDN w:val="0"/>
                    <w:snapToGrid w:val="0"/>
                    <w:spacing w:before="0" w:beforeAutospacing="0" w:after="0" w:afterAutospacing="0"/>
                    <w:ind w:left="0" w:right="0"/>
                    <w:jc w:val="center"/>
                    <w:rPr>
                      <w:b/>
                      <w:bCs/>
                      <w:szCs w:val="21"/>
                    </w:rPr>
                  </w:pPr>
                  <w:r>
                    <w:rPr>
                      <w:b/>
                      <w:bCs/>
                      <w:szCs w:val="21"/>
                    </w:rPr>
                    <w:t>对照分析</w:t>
                  </w:r>
                </w:p>
              </w:tc>
              <w:tc>
                <w:tcPr>
                  <w:tcW w:w="534" w:type="dxa"/>
                  <w:vAlign w:val="center"/>
                </w:tcPr>
                <w:p>
                  <w:pPr>
                    <w:keepNext w:val="0"/>
                    <w:keepLines w:val="0"/>
                    <w:suppressLineNumbers w:val="0"/>
                    <w:autoSpaceDE w:val="0"/>
                    <w:autoSpaceDN w:val="0"/>
                    <w:snapToGrid w:val="0"/>
                    <w:spacing w:before="0" w:beforeAutospacing="0" w:after="0" w:afterAutospacing="0"/>
                    <w:ind w:left="0" w:right="0"/>
                    <w:jc w:val="center"/>
                    <w:rPr>
                      <w:b/>
                      <w:bCs/>
                      <w:szCs w:val="21"/>
                    </w:rPr>
                  </w:pPr>
                  <w:r>
                    <w:rPr>
                      <w:b/>
                      <w:bCs/>
                      <w:szCs w:val="21"/>
                    </w:rPr>
                    <w:t>是否相符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32" w:hRule="atLeast"/>
              </w:trPr>
              <w:tc>
                <w:tcPr>
                  <w:tcW w:w="457" w:type="dxa"/>
                  <w:vAlign w:val="center"/>
                </w:tcPr>
                <w:p>
                  <w:pPr>
                    <w:keepNext w:val="0"/>
                    <w:keepLines w:val="0"/>
                    <w:suppressLineNumbers w:val="0"/>
                    <w:autoSpaceDE w:val="0"/>
                    <w:autoSpaceDN w:val="0"/>
                    <w:snapToGrid w:val="0"/>
                    <w:spacing w:before="0" w:beforeAutospacing="0" w:after="0" w:afterAutospacing="0"/>
                    <w:ind w:left="0" w:right="0"/>
                    <w:jc w:val="center"/>
                    <w:rPr>
                      <w:szCs w:val="21"/>
                    </w:rPr>
                  </w:pPr>
                  <w:r>
                    <w:rPr>
                      <w:szCs w:val="21"/>
                    </w:rPr>
                    <w:t>1</w:t>
                  </w:r>
                </w:p>
              </w:tc>
              <w:tc>
                <w:tcPr>
                  <w:tcW w:w="685" w:type="dxa"/>
                  <w:vAlign w:val="center"/>
                </w:tcPr>
                <w:p>
                  <w:pPr>
                    <w:keepNext w:val="0"/>
                    <w:keepLines w:val="0"/>
                    <w:suppressLineNumbers w:val="0"/>
                    <w:autoSpaceDE w:val="0"/>
                    <w:autoSpaceDN w:val="0"/>
                    <w:snapToGrid w:val="0"/>
                    <w:spacing w:before="0" w:beforeAutospacing="0" w:after="0" w:afterAutospacing="0"/>
                    <w:ind w:left="0" w:right="0"/>
                    <w:jc w:val="center"/>
                    <w:rPr>
                      <w:szCs w:val="21"/>
                    </w:rPr>
                  </w:pPr>
                  <w:r>
                    <w:rPr>
                      <w:szCs w:val="21"/>
                    </w:rPr>
                    <w:t>生态红线</w:t>
                  </w:r>
                </w:p>
              </w:tc>
              <w:tc>
                <w:tcPr>
                  <w:tcW w:w="6502" w:type="dxa"/>
                  <w:vAlign w:val="center"/>
                </w:tcPr>
                <w:p>
                  <w:pPr>
                    <w:keepNext w:val="0"/>
                    <w:keepLines w:val="0"/>
                    <w:suppressLineNumbers w:val="0"/>
                    <w:autoSpaceDE w:val="0"/>
                    <w:autoSpaceDN w:val="0"/>
                    <w:snapToGrid w:val="0"/>
                    <w:spacing w:before="0" w:beforeAutospacing="0" w:after="0" w:afterAutospacing="0"/>
                    <w:ind w:left="0" w:right="0" w:firstLine="420" w:firstLineChars="200"/>
                    <w:jc w:val="left"/>
                    <w:rPr>
                      <w:szCs w:val="21"/>
                    </w:rPr>
                  </w:pPr>
                  <w:r>
                    <w:rPr>
                      <w:szCs w:val="21"/>
                    </w:rPr>
                    <w:t>根据《省政府关于印发江苏省生态空间管控区域规划的通知》（苏政发[2020]1号）、《省政府关于印发江苏省国家级生态保护红线规划的通知》（苏政发[2018]74号）文件，距离本项目最近的国家级生态保护红线区域为</w:t>
                  </w:r>
                  <w:r>
                    <w:rPr>
                      <w:rFonts w:hint="eastAsia"/>
                      <w:szCs w:val="21"/>
                    </w:rPr>
                    <w:t>太湖</w:t>
                  </w:r>
                  <w:r>
                    <w:rPr>
                      <w:szCs w:val="21"/>
                    </w:rPr>
                    <w:t>重要湿地（武进区），位于项目</w:t>
                  </w:r>
                  <w:r>
                    <w:rPr>
                      <w:rFonts w:hint="eastAsia"/>
                      <w:szCs w:val="21"/>
                    </w:rPr>
                    <w:t>西</w:t>
                  </w:r>
                  <w:r>
                    <w:rPr>
                      <w:szCs w:val="21"/>
                    </w:rPr>
                    <w:t>南侧</w:t>
                  </w:r>
                  <w:r>
                    <w:rPr>
                      <w:rFonts w:hint="eastAsia"/>
                      <w:szCs w:val="21"/>
                      <w:lang w:val="en-US" w:eastAsia="zh-CN"/>
                    </w:rPr>
                    <w:t>86</w:t>
                  </w:r>
                  <w:r>
                    <w:rPr>
                      <w:rFonts w:hint="eastAsia"/>
                      <w:szCs w:val="21"/>
                    </w:rPr>
                    <w:t>0</w:t>
                  </w:r>
                  <w:r>
                    <w:rPr>
                      <w:szCs w:val="21"/>
                    </w:rPr>
                    <w:t>0m处；</w:t>
                  </w:r>
                  <w:r>
                    <w:rPr>
                      <w:rFonts w:hAnsi="宋体"/>
                      <w:szCs w:val="21"/>
                    </w:rPr>
                    <w:t>距离本项目最近的</w:t>
                  </w:r>
                  <w:r>
                    <w:rPr>
                      <w:szCs w:val="21"/>
                    </w:rPr>
                    <w:t>江苏省生态空间管控区域为宋剑湖湿地公园，位于项目</w:t>
                  </w:r>
                  <w:r>
                    <w:rPr>
                      <w:rFonts w:hint="eastAsia"/>
                      <w:szCs w:val="21"/>
                    </w:rPr>
                    <w:t>西北</w:t>
                  </w:r>
                  <w:r>
                    <w:rPr>
                      <w:szCs w:val="21"/>
                    </w:rPr>
                    <w:t>侧</w:t>
                  </w:r>
                  <w:r>
                    <w:rPr>
                      <w:rFonts w:hint="eastAsia"/>
                      <w:szCs w:val="21"/>
                      <w:lang w:val="en-US" w:eastAsia="zh-CN"/>
                    </w:rPr>
                    <w:t>45</w:t>
                  </w:r>
                  <w:r>
                    <w:rPr>
                      <w:rFonts w:hint="eastAsia"/>
                      <w:szCs w:val="21"/>
                    </w:rPr>
                    <w:t>0</w:t>
                  </w:r>
                  <w:r>
                    <w:rPr>
                      <w:szCs w:val="21"/>
                    </w:rPr>
                    <w:t>0m处。因此本项目不在文件中所列的国家级生态保护红线范围及生态空间管控区域范围内，符合《省政府关于印发江苏省生态空间管控区域规划的通知》（苏政发[2020]1号）、《省政府关于印发江苏省国家级生态保护红线规划的通知》（苏政发[2018]74号）文件要求。</w:t>
                  </w:r>
                </w:p>
              </w:tc>
              <w:tc>
                <w:tcPr>
                  <w:tcW w:w="534" w:type="dxa"/>
                  <w:vAlign w:val="center"/>
                </w:tcPr>
                <w:p>
                  <w:pPr>
                    <w:keepNext w:val="0"/>
                    <w:keepLines w:val="0"/>
                    <w:suppressLineNumbers w:val="0"/>
                    <w:autoSpaceDE w:val="0"/>
                    <w:autoSpaceDN w:val="0"/>
                    <w:snapToGrid w:val="0"/>
                    <w:spacing w:before="0" w:beforeAutospacing="0" w:after="0" w:afterAutospacing="0"/>
                    <w:ind w:left="0" w:right="0"/>
                    <w:jc w:val="center"/>
                    <w:rPr>
                      <w:szCs w:val="21"/>
                    </w:rPr>
                  </w:pPr>
                  <w:r>
                    <w:rPr>
                      <w:szCs w:val="21"/>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39" w:hRule="atLeast"/>
              </w:trPr>
              <w:tc>
                <w:tcPr>
                  <w:tcW w:w="457" w:type="dxa"/>
                  <w:vAlign w:val="center"/>
                </w:tcPr>
                <w:p>
                  <w:pPr>
                    <w:keepNext w:val="0"/>
                    <w:keepLines w:val="0"/>
                    <w:suppressLineNumbers w:val="0"/>
                    <w:autoSpaceDE w:val="0"/>
                    <w:autoSpaceDN w:val="0"/>
                    <w:snapToGrid w:val="0"/>
                    <w:spacing w:before="0" w:beforeAutospacing="0" w:after="0" w:afterAutospacing="0"/>
                    <w:ind w:left="0" w:right="0"/>
                    <w:jc w:val="center"/>
                    <w:rPr>
                      <w:szCs w:val="21"/>
                    </w:rPr>
                  </w:pPr>
                  <w:r>
                    <w:rPr>
                      <w:szCs w:val="21"/>
                    </w:rPr>
                    <w:t>2</w:t>
                  </w:r>
                </w:p>
              </w:tc>
              <w:tc>
                <w:tcPr>
                  <w:tcW w:w="685" w:type="dxa"/>
                  <w:vAlign w:val="center"/>
                </w:tcPr>
                <w:p>
                  <w:pPr>
                    <w:keepNext w:val="0"/>
                    <w:keepLines w:val="0"/>
                    <w:suppressLineNumbers w:val="0"/>
                    <w:autoSpaceDE w:val="0"/>
                    <w:autoSpaceDN w:val="0"/>
                    <w:snapToGrid w:val="0"/>
                    <w:spacing w:before="0" w:beforeAutospacing="0" w:after="0" w:afterAutospacing="0"/>
                    <w:ind w:left="0" w:right="0"/>
                    <w:jc w:val="center"/>
                    <w:rPr>
                      <w:szCs w:val="21"/>
                    </w:rPr>
                  </w:pPr>
                  <w:r>
                    <w:rPr>
                      <w:szCs w:val="21"/>
                    </w:rPr>
                    <w:t>环境质量底线</w:t>
                  </w:r>
                </w:p>
              </w:tc>
              <w:tc>
                <w:tcPr>
                  <w:tcW w:w="6502" w:type="dxa"/>
                  <w:vAlign w:val="center"/>
                </w:tcPr>
                <w:p>
                  <w:pPr>
                    <w:keepNext w:val="0"/>
                    <w:keepLines w:val="0"/>
                    <w:suppressLineNumbers w:val="0"/>
                    <w:autoSpaceDE w:val="0"/>
                    <w:autoSpaceDN w:val="0"/>
                    <w:snapToGrid w:val="0"/>
                    <w:spacing w:before="0" w:beforeAutospacing="0" w:after="0" w:afterAutospacing="0"/>
                    <w:ind w:left="0" w:right="0" w:firstLine="420" w:firstLineChars="200"/>
                    <w:jc w:val="left"/>
                    <w:rPr>
                      <w:szCs w:val="21"/>
                    </w:rPr>
                  </w:pPr>
                  <w:r>
                    <w:rPr>
                      <w:sz w:val="21"/>
                      <w:szCs w:val="21"/>
                    </w:rPr>
                    <w:t>根据《202</w:t>
                  </w:r>
                  <w:r>
                    <w:rPr>
                      <w:rFonts w:hint="eastAsia"/>
                      <w:sz w:val="21"/>
                      <w:szCs w:val="21"/>
                      <w:lang w:val="en-US" w:eastAsia="zh-CN"/>
                    </w:rPr>
                    <w:t>1</w:t>
                  </w:r>
                  <w:r>
                    <w:rPr>
                      <w:sz w:val="21"/>
                      <w:szCs w:val="21"/>
                    </w:rPr>
                    <w:t>常州市生态环境状况公报》，202</w:t>
                  </w:r>
                  <w:r>
                    <w:rPr>
                      <w:rFonts w:hint="eastAsia"/>
                      <w:sz w:val="21"/>
                      <w:szCs w:val="21"/>
                      <w:lang w:val="en-US" w:eastAsia="zh-CN"/>
                    </w:rPr>
                    <w:t>1</w:t>
                  </w:r>
                  <w:r>
                    <w:rPr>
                      <w:sz w:val="21"/>
                      <w:szCs w:val="21"/>
                    </w:rPr>
                    <w:t>年常州市环境空气中SO</w:t>
                  </w:r>
                  <w:r>
                    <w:rPr>
                      <w:sz w:val="21"/>
                      <w:szCs w:val="21"/>
                      <w:vertAlign w:val="subscript"/>
                    </w:rPr>
                    <w:t>2</w:t>
                  </w:r>
                  <w:r>
                    <w:rPr>
                      <w:sz w:val="21"/>
                      <w:szCs w:val="21"/>
                    </w:rPr>
                    <w:t>年均值与日均值、NO</w:t>
                  </w:r>
                  <w:r>
                    <w:rPr>
                      <w:sz w:val="21"/>
                      <w:szCs w:val="21"/>
                      <w:vertAlign w:val="subscript"/>
                    </w:rPr>
                    <w:t>2</w:t>
                  </w:r>
                  <w:r>
                    <w:rPr>
                      <w:sz w:val="21"/>
                      <w:szCs w:val="21"/>
                    </w:rPr>
                    <w:t>年均值、PM</w:t>
                  </w:r>
                  <w:r>
                    <w:rPr>
                      <w:sz w:val="21"/>
                      <w:szCs w:val="21"/>
                      <w:vertAlign w:val="subscript"/>
                    </w:rPr>
                    <w:t>10</w:t>
                  </w:r>
                  <w:r>
                    <w:rPr>
                      <w:sz w:val="21"/>
                      <w:szCs w:val="21"/>
                    </w:rPr>
                    <w:t>年均值</w:t>
                  </w:r>
                  <w:r>
                    <w:rPr>
                      <w:rFonts w:hint="eastAsia"/>
                      <w:sz w:val="21"/>
                      <w:szCs w:val="21"/>
                      <w:lang w:eastAsia="zh-CN"/>
                    </w:rPr>
                    <w:t>、</w:t>
                  </w:r>
                  <w:r>
                    <w:rPr>
                      <w:sz w:val="21"/>
                      <w:szCs w:val="21"/>
                    </w:rPr>
                    <w:t>PM</w:t>
                  </w:r>
                  <w:r>
                    <w:rPr>
                      <w:rFonts w:hint="eastAsia"/>
                      <w:sz w:val="21"/>
                      <w:szCs w:val="21"/>
                      <w:vertAlign w:val="subscript"/>
                      <w:lang w:val="en-US" w:eastAsia="zh-CN"/>
                    </w:rPr>
                    <w:t>2.5</w:t>
                  </w:r>
                  <w:r>
                    <w:rPr>
                      <w:sz w:val="21"/>
                      <w:szCs w:val="21"/>
                    </w:rPr>
                    <w:t>年均值和CO日均值均达到环境空气质量二级标准；NO</w:t>
                  </w:r>
                  <w:r>
                    <w:rPr>
                      <w:sz w:val="21"/>
                      <w:szCs w:val="21"/>
                      <w:vertAlign w:val="subscript"/>
                    </w:rPr>
                    <w:t>2</w:t>
                  </w:r>
                  <w:r>
                    <w:rPr>
                      <w:sz w:val="21"/>
                      <w:szCs w:val="21"/>
                    </w:rPr>
                    <w:t>日均值、PM</w:t>
                  </w:r>
                  <w:r>
                    <w:rPr>
                      <w:sz w:val="21"/>
                      <w:szCs w:val="21"/>
                      <w:vertAlign w:val="subscript"/>
                    </w:rPr>
                    <w:t>10</w:t>
                  </w:r>
                  <w:r>
                    <w:rPr>
                      <w:sz w:val="21"/>
                      <w:szCs w:val="21"/>
                    </w:rPr>
                    <w:t>日均值、PM</w:t>
                  </w:r>
                  <w:r>
                    <w:rPr>
                      <w:sz w:val="21"/>
                      <w:szCs w:val="21"/>
                      <w:vertAlign w:val="subscript"/>
                    </w:rPr>
                    <w:t>2.5</w:t>
                  </w:r>
                  <w:r>
                    <w:rPr>
                      <w:sz w:val="21"/>
                      <w:szCs w:val="21"/>
                    </w:rPr>
                    <w:t>日均值、臭氧日最大8小时滑动平均值第90百分位数浓度均超过环境空气质量二级标准，因此判定为</w:t>
                  </w:r>
                  <w:r>
                    <w:rPr>
                      <w:rFonts w:hint="eastAsia"/>
                      <w:sz w:val="21"/>
                      <w:szCs w:val="21"/>
                      <w:lang w:eastAsia="zh-CN"/>
                    </w:rPr>
                    <w:t>非</w:t>
                  </w:r>
                  <w:r>
                    <w:rPr>
                      <w:sz w:val="21"/>
                      <w:szCs w:val="21"/>
                    </w:rPr>
                    <w:t>达标区</w:t>
                  </w:r>
                  <w:r>
                    <w:rPr>
                      <w:color w:val="0000FF"/>
                      <w:sz w:val="21"/>
                      <w:szCs w:val="21"/>
                    </w:rPr>
                    <w:t>。</w:t>
                  </w:r>
                  <w:r>
                    <w:rPr>
                      <w:szCs w:val="21"/>
                    </w:rPr>
                    <w:t>根据《市大气办关于印发常州市提升大气环境质量强化管控方案的通知》（常大气办[2018]3号）</w:t>
                  </w:r>
                  <w:r>
                    <w:rPr>
                      <w:rFonts w:hint="eastAsia"/>
                      <w:szCs w:val="21"/>
                    </w:rPr>
                    <w:t>、</w:t>
                  </w:r>
                  <w:r>
                    <w:rPr>
                      <w:szCs w:val="21"/>
                    </w:rPr>
                    <w:t>《2021年常州市深入打好污染防治攻坚战工作方案》（常政发[2021]21号）等文件采取措施后，常州市的大气空气质量将得到一定改善。根据现状监测结果可知，项目所在区域地表水、大气能够满足相应功能区划要求。本项目生活污水接管进</w:t>
                  </w:r>
                  <w:r>
                    <w:rPr>
                      <w:rFonts w:hint="eastAsia"/>
                      <w:szCs w:val="21"/>
                    </w:rPr>
                    <w:t>武南</w:t>
                  </w:r>
                  <w:r>
                    <w:rPr>
                      <w:szCs w:val="21"/>
                    </w:rPr>
                    <w:t>污水处理厂集中处理，对高噪声设备采取减震隔声措施，固废均规范处置。因此，本项目建成后不会突破项目所在地的环境质量底线。</w:t>
                  </w:r>
                </w:p>
              </w:tc>
              <w:tc>
                <w:tcPr>
                  <w:tcW w:w="534" w:type="dxa"/>
                  <w:vAlign w:val="center"/>
                </w:tcPr>
                <w:p>
                  <w:pPr>
                    <w:keepNext w:val="0"/>
                    <w:keepLines w:val="0"/>
                    <w:suppressLineNumbers w:val="0"/>
                    <w:autoSpaceDE w:val="0"/>
                    <w:autoSpaceDN w:val="0"/>
                    <w:snapToGrid w:val="0"/>
                    <w:spacing w:before="0" w:beforeAutospacing="0" w:after="0" w:afterAutospacing="0"/>
                    <w:ind w:left="0" w:right="0"/>
                    <w:jc w:val="center"/>
                    <w:rPr>
                      <w:szCs w:val="21"/>
                    </w:rPr>
                  </w:pPr>
                  <w:r>
                    <w:rPr>
                      <w:szCs w:val="21"/>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6" w:hRule="atLeast"/>
              </w:trPr>
              <w:tc>
                <w:tcPr>
                  <w:tcW w:w="457" w:type="dxa"/>
                  <w:vAlign w:val="center"/>
                </w:tcPr>
                <w:p>
                  <w:pPr>
                    <w:keepNext w:val="0"/>
                    <w:keepLines w:val="0"/>
                    <w:suppressLineNumbers w:val="0"/>
                    <w:autoSpaceDE w:val="0"/>
                    <w:autoSpaceDN w:val="0"/>
                    <w:snapToGrid w:val="0"/>
                    <w:spacing w:before="0" w:beforeAutospacing="0" w:after="0" w:afterAutospacing="0"/>
                    <w:ind w:left="0" w:right="0"/>
                    <w:jc w:val="center"/>
                    <w:rPr>
                      <w:szCs w:val="21"/>
                    </w:rPr>
                  </w:pPr>
                  <w:r>
                    <w:rPr>
                      <w:szCs w:val="21"/>
                    </w:rPr>
                    <w:t>3</w:t>
                  </w:r>
                </w:p>
              </w:tc>
              <w:tc>
                <w:tcPr>
                  <w:tcW w:w="685" w:type="dxa"/>
                  <w:vAlign w:val="center"/>
                </w:tcPr>
                <w:p>
                  <w:pPr>
                    <w:keepNext w:val="0"/>
                    <w:keepLines w:val="0"/>
                    <w:suppressLineNumbers w:val="0"/>
                    <w:autoSpaceDE w:val="0"/>
                    <w:autoSpaceDN w:val="0"/>
                    <w:snapToGrid w:val="0"/>
                    <w:spacing w:before="0" w:beforeAutospacing="0" w:after="0" w:afterAutospacing="0"/>
                    <w:ind w:left="0" w:right="0"/>
                    <w:jc w:val="center"/>
                    <w:rPr>
                      <w:szCs w:val="21"/>
                    </w:rPr>
                  </w:pPr>
                  <w:r>
                    <w:rPr>
                      <w:szCs w:val="21"/>
                    </w:rPr>
                    <w:t>资源利用上线</w:t>
                  </w:r>
                </w:p>
              </w:tc>
              <w:tc>
                <w:tcPr>
                  <w:tcW w:w="6502" w:type="dxa"/>
                  <w:vAlign w:val="center"/>
                </w:tcPr>
                <w:p>
                  <w:pPr>
                    <w:keepNext w:val="0"/>
                    <w:keepLines w:val="0"/>
                    <w:suppressLineNumbers w:val="0"/>
                    <w:autoSpaceDE w:val="0"/>
                    <w:autoSpaceDN w:val="0"/>
                    <w:snapToGrid w:val="0"/>
                    <w:spacing w:before="0" w:beforeAutospacing="0" w:after="0" w:afterAutospacing="0"/>
                    <w:ind w:left="0" w:right="0" w:firstLine="420" w:firstLineChars="200"/>
                    <w:jc w:val="left"/>
                    <w:rPr>
                      <w:szCs w:val="21"/>
                    </w:rPr>
                  </w:pPr>
                  <w:r>
                    <w:rPr>
                      <w:szCs w:val="21"/>
                    </w:rPr>
                    <w:t>本项目不属于</w:t>
                  </w:r>
                  <w:r>
                    <w:rPr>
                      <w:rFonts w:hint="eastAsia"/>
                      <w:szCs w:val="21"/>
                    </w:rPr>
                    <w:t>“</w:t>
                  </w:r>
                  <w:r>
                    <w:rPr>
                      <w:szCs w:val="21"/>
                    </w:rPr>
                    <w:t>两高一资</w:t>
                  </w:r>
                  <w:r>
                    <w:rPr>
                      <w:rFonts w:hint="eastAsia"/>
                      <w:szCs w:val="21"/>
                    </w:rPr>
                    <w:t>”</w:t>
                  </w:r>
                  <w:r>
                    <w:rPr>
                      <w:szCs w:val="21"/>
                    </w:rPr>
                    <w:t>型企业，所使用的能源主要为水、电能；本项目所在地水资源丰富，电力资源由当地电网公司输送，企业将采取有效的节水、节电措施，切实提高投入产出比，降低能耗，不会突破资源利用上线。符合资源利用上线相关要求。</w:t>
                  </w:r>
                </w:p>
              </w:tc>
              <w:tc>
                <w:tcPr>
                  <w:tcW w:w="534" w:type="dxa"/>
                  <w:vAlign w:val="center"/>
                </w:tcPr>
                <w:p>
                  <w:pPr>
                    <w:keepNext w:val="0"/>
                    <w:keepLines w:val="0"/>
                    <w:suppressLineNumbers w:val="0"/>
                    <w:autoSpaceDE w:val="0"/>
                    <w:autoSpaceDN w:val="0"/>
                    <w:snapToGrid w:val="0"/>
                    <w:spacing w:before="0" w:beforeAutospacing="0" w:after="0" w:afterAutospacing="0"/>
                    <w:ind w:left="0" w:right="0"/>
                    <w:jc w:val="center"/>
                    <w:rPr>
                      <w:szCs w:val="21"/>
                    </w:rPr>
                  </w:pPr>
                  <w:r>
                    <w:rPr>
                      <w:szCs w:val="21"/>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85" w:hRule="atLeast"/>
              </w:trPr>
              <w:tc>
                <w:tcPr>
                  <w:tcW w:w="457" w:type="dxa"/>
                  <w:vAlign w:val="center"/>
                </w:tcPr>
                <w:p>
                  <w:pPr>
                    <w:keepNext w:val="0"/>
                    <w:keepLines w:val="0"/>
                    <w:suppressLineNumbers w:val="0"/>
                    <w:autoSpaceDE w:val="0"/>
                    <w:autoSpaceDN w:val="0"/>
                    <w:snapToGrid w:val="0"/>
                    <w:spacing w:before="0" w:beforeAutospacing="0" w:after="0" w:afterAutospacing="0"/>
                    <w:ind w:left="0" w:right="0"/>
                    <w:jc w:val="center"/>
                    <w:rPr>
                      <w:szCs w:val="21"/>
                    </w:rPr>
                  </w:pPr>
                  <w:r>
                    <w:rPr>
                      <w:szCs w:val="21"/>
                    </w:rPr>
                    <w:t>4</w:t>
                  </w:r>
                </w:p>
              </w:tc>
              <w:tc>
                <w:tcPr>
                  <w:tcW w:w="685" w:type="dxa"/>
                  <w:vAlign w:val="center"/>
                </w:tcPr>
                <w:p>
                  <w:pPr>
                    <w:keepNext w:val="0"/>
                    <w:keepLines w:val="0"/>
                    <w:suppressLineNumbers w:val="0"/>
                    <w:autoSpaceDE w:val="0"/>
                    <w:autoSpaceDN w:val="0"/>
                    <w:snapToGrid w:val="0"/>
                    <w:spacing w:before="0" w:beforeAutospacing="0" w:after="0" w:afterAutospacing="0"/>
                    <w:ind w:left="0" w:right="0"/>
                    <w:jc w:val="center"/>
                    <w:rPr>
                      <w:szCs w:val="21"/>
                    </w:rPr>
                  </w:pPr>
                  <w:r>
                    <w:rPr>
                      <w:szCs w:val="21"/>
                    </w:rPr>
                    <w:t>环境准入负面清单</w:t>
                  </w:r>
                </w:p>
              </w:tc>
              <w:tc>
                <w:tcPr>
                  <w:tcW w:w="6502" w:type="dxa"/>
                  <w:vAlign w:val="center"/>
                </w:tcPr>
                <w:p>
                  <w:pPr>
                    <w:keepNext w:val="0"/>
                    <w:keepLines w:val="0"/>
                    <w:suppressLineNumbers w:val="0"/>
                    <w:autoSpaceDE w:val="0"/>
                    <w:autoSpaceDN w:val="0"/>
                    <w:snapToGrid w:val="0"/>
                    <w:spacing w:before="0" w:beforeAutospacing="0" w:after="0" w:afterAutospacing="0"/>
                    <w:ind w:left="0" w:right="0" w:firstLine="420" w:firstLineChars="200"/>
                    <w:jc w:val="left"/>
                    <w:rPr>
                      <w:szCs w:val="21"/>
                    </w:rPr>
                  </w:pPr>
                  <w:r>
                    <w:rPr>
                      <w:szCs w:val="21"/>
                    </w:rPr>
                    <w:t>经对照《市场准入负面清单（202</w:t>
                  </w:r>
                  <w:r>
                    <w:rPr>
                      <w:rFonts w:hint="eastAsia"/>
                      <w:szCs w:val="21"/>
                    </w:rPr>
                    <w:t>2</w:t>
                  </w:r>
                  <w:r>
                    <w:rPr>
                      <w:szCs w:val="21"/>
                    </w:rPr>
                    <w:t>年版）》，本项目不属于负面清单中禁止事项</w:t>
                  </w:r>
                  <w:r>
                    <w:rPr>
                      <w:rFonts w:hint="eastAsia"/>
                      <w:szCs w:val="21"/>
                    </w:rPr>
                    <w:t>；</w:t>
                  </w:r>
                  <w:r>
                    <w:rPr>
                      <w:szCs w:val="21"/>
                    </w:rPr>
                    <w:t>本项目也不属于《长江经济带发展负面清单指南（试行，2022年版）》中禁止建设类项目</w:t>
                  </w:r>
                  <w:r>
                    <w:rPr>
                      <w:rFonts w:hint="eastAsia"/>
                      <w:szCs w:val="21"/>
                    </w:rPr>
                    <w:t>；</w:t>
                  </w:r>
                  <w:r>
                    <w:rPr>
                      <w:szCs w:val="21"/>
                    </w:rPr>
                    <w:t>本项目不属于《环境保护综合目录（2021年版）》中所列举的“高污染、高环境风险”产业。因此本项目符合环境准入负面清单相关要求。</w:t>
                  </w:r>
                </w:p>
              </w:tc>
              <w:tc>
                <w:tcPr>
                  <w:tcW w:w="534" w:type="dxa"/>
                  <w:vAlign w:val="center"/>
                </w:tcPr>
                <w:p>
                  <w:pPr>
                    <w:keepNext w:val="0"/>
                    <w:keepLines w:val="0"/>
                    <w:suppressLineNumbers w:val="0"/>
                    <w:autoSpaceDE w:val="0"/>
                    <w:autoSpaceDN w:val="0"/>
                    <w:snapToGrid w:val="0"/>
                    <w:spacing w:before="0" w:beforeAutospacing="0" w:after="0" w:afterAutospacing="0"/>
                    <w:ind w:left="0" w:right="0"/>
                    <w:jc w:val="center"/>
                    <w:rPr>
                      <w:szCs w:val="21"/>
                    </w:rPr>
                  </w:pPr>
                  <w:r>
                    <w:rPr>
                      <w:szCs w:val="21"/>
                    </w:rPr>
                    <w:t>是</w:t>
                  </w:r>
                </w:p>
              </w:tc>
            </w:tr>
          </w:tbl>
          <w:p>
            <w:pPr>
              <w:keepNext w:val="0"/>
              <w:keepLines w:val="0"/>
              <w:suppressLineNumbers w:val="0"/>
              <w:autoSpaceDE w:val="0"/>
              <w:autoSpaceDN w:val="0"/>
              <w:adjustRightInd w:val="0"/>
              <w:snapToGrid w:val="0"/>
              <w:spacing w:before="0" w:beforeAutospacing="0" w:after="0" w:afterAutospacing="0" w:line="360" w:lineRule="auto"/>
              <w:ind w:left="0" w:right="0" w:firstLine="482" w:firstLineChars="200"/>
              <w:rPr>
                <w:b/>
                <w:bCs/>
                <w:sz w:val="24"/>
              </w:rPr>
            </w:pPr>
            <w:r>
              <w:rPr>
                <w:rFonts w:hint="eastAsia"/>
                <w:b/>
                <w:bCs/>
                <w:sz w:val="24"/>
              </w:rPr>
              <w:t>（</w:t>
            </w:r>
            <w:r>
              <w:rPr>
                <w:b/>
                <w:bCs/>
                <w:sz w:val="24"/>
              </w:rPr>
              <w:t>2</w:t>
            </w:r>
            <w:r>
              <w:rPr>
                <w:rFonts w:hAnsi="宋体"/>
                <w:b/>
                <w:bCs/>
                <w:sz w:val="24"/>
              </w:rPr>
              <w:t>）与《江苏省政府关于印发江苏省</w:t>
            </w:r>
            <w:r>
              <w:rPr>
                <w:b/>
                <w:bCs/>
                <w:sz w:val="24"/>
              </w:rPr>
              <w:t>“</w:t>
            </w:r>
            <w:r>
              <w:rPr>
                <w:rFonts w:hAnsi="宋体"/>
                <w:b/>
                <w:bCs/>
                <w:sz w:val="24"/>
              </w:rPr>
              <w:t>三线一单</w:t>
            </w:r>
            <w:r>
              <w:rPr>
                <w:b/>
                <w:bCs/>
                <w:sz w:val="24"/>
              </w:rPr>
              <w:t>”</w:t>
            </w:r>
            <w:r>
              <w:rPr>
                <w:rFonts w:hAnsi="宋体"/>
                <w:b/>
                <w:bCs/>
                <w:sz w:val="24"/>
              </w:rPr>
              <w:t>生态环境分区管控方案的通知》（苏政发</w:t>
            </w:r>
            <w:r>
              <w:rPr>
                <w:b/>
                <w:bCs/>
                <w:sz w:val="24"/>
              </w:rPr>
              <w:t>[2020]49</w:t>
            </w:r>
            <w:r>
              <w:rPr>
                <w:rFonts w:hAnsi="宋体"/>
                <w:b/>
                <w:bCs/>
                <w:sz w:val="24"/>
              </w:rPr>
              <w:t>号）相符性分析</w:t>
            </w:r>
          </w:p>
          <w:p>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rPr>
                <w:sz w:val="24"/>
              </w:rPr>
            </w:pPr>
            <w:r>
              <w:rPr>
                <w:rFonts w:hAnsi="宋体"/>
                <w:sz w:val="24"/>
              </w:rPr>
              <w:t>本项目位于江苏省常州市武进区洛阳镇新科西路21号，</w:t>
            </w:r>
            <w:r>
              <w:rPr>
                <w:sz w:val="24"/>
              </w:rPr>
              <w:t>所在地位于长江流域及太湖流域</w:t>
            </w:r>
            <w:r>
              <w:rPr>
                <w:rFonts w:hint="eastAsia"/>
                <w:sz w:val="24"/>
              </w:rPr>
              <w:t>，</w:t>
            </w:r>
            <w:r>
              <w:rPr>
                <w:rFonts w:hAnsi="宋体"/>
                <w:sz w:val="24"/>
              </w:rPr>
              <w:t>对照《江苏省政府关于印发江苏省</w:t>
            </w:r>
            <w:r>
              <w:rPr>
                <w:sz w:val="24"/>
              </w:rPr>
              <w:t>“</w:t>
            </w:r>
            <w:r>
              <w:rPr>
                <w:rFonts w:hAnsi="宋体"/>
                <w:sz w:val="24"/>
              </w:rPr>
              <w:t>三线一单</w:t>
            </w:r>
            <w:r>
              <w:rPr>
                <w:sz w:val="24"/>
              </w:rPr>
              <w:t>”</w:t>
            </w:r>
            <w:r>
              <w:rPr>
                <w:rFonts w:hAnsi="宋体"/>
                <w:sz w:val="24"/>
              </w:rPr>
              <w:t>生态环境分区管控方案的通知》（苏政发</w:t>
            </w:r>
            <w:r>
              <w:rPr>
                <w:sz w:val="24"/>
              </w:rPr>
              <w:t>[2020]49</w:t>
            </w:r>
            <w:r>
              <w:rPr>
                <w:rFonts w:hAnsi="宋体"/>
                <w:sz w:val="24"/>
              </w:rPr>
              <w:t>号）可知，项目位于重点管控单元，其重点管控要求与本项目的相符性分析见下表。</w:t>
            </w:r>
          </w:p>
          <w:p>
            <w:pPr>
              <w:keepNext w:val="0"/>
              <w:keepLines w:val="0"/>
              <w:suppressLineNumbers w:val="0"/>
              <w:autoSpaceDE w:val="0"/>
              <w:autoSpaceDN w:val="0"/>
              <w:snapToGrid w:val="0"/>
              <w:spacing w:before="0" w:beforeAutospacing="0" w:after="0" w:afterAutospacing="0"/>
              <w:ind w:left="0" w:right="0" w:firstLine="361" w:firstLineChars="150"/>
              <w:jc w:val="center"/>
              <w:rPr>
                <w:b/>
                <w:bCs/>
                <w:sz w:val="24"/>
              </w:rPr>
            </w:pPr>
            <w:r>
              <w:rPr>
                <w:rFonts w:hAnsi="宋体"/>
                <w:b/>
                <w:bCs/>
                <w:sz w:val="24"/>
              </w:rPr>
              <w:t>表</w:t>
            </w:r>
            <w:r>
              <w:rPr>
                <w:b/>
                <w:bCs/>
                <w:sz w:val="24"/>
              </w:rPr>
              <w:t>1-</w:t>
            </w:r>
            <w:r>
              <w:rPr>
                <w:rFonts w:hint="eastAsia"/>
                <w:b/>
                <w:bCs/>
                <w:sz w:val="24"/>
              </w:rPr>
              <w:t>3</w:t>
            </w:r>
            <w:r>
              <w:rPr>
                <w:b/>
                <w:bCs/>
                <w:sz w:val="24"/>
              </w:rPr>
              <w:t xml:space="preserve"> </w:t>
            </w:r>
            <w:r>
              <w:rPr>
                <w:rFonts w:hAnsi="宋体"/>
                <w:b/>
                <w:bCs/>
                <w:sz w:val="24"/>
              </w:rPr>
              <w:t>项目与苏政发</w:t>
            </w:r>
            <w:r>
              <w:rPr>
                <w:b/>
                <w:bCs/>
                <w:sz w:val="24"/>
              </w:rPr>
              <w:t>[2020]49</w:t>
            </w:r>
            <w:r>
              <w:rPr>
                <w:rFonts w:hAnsi="宋体"/>
                <w:b/>
                <w:bCs/>
                <w:sz w:val="24"/>
              </w:rPr>
              <w:t>号相符性分析</w:t>
            </w:r>
          </w:p>
          <w:tbl>
            <w:tblPr>
              <w:tblStyle w:val="21"/>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06"/>
              <w:gridCol w:w="4936"/>
              <w:gridCol w:w="264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426" w:type="pct"/>
                  <w:vAlign w:val="center"/>
                </w:tcPr>
                <w:p>
                  <w:pPr>
                    <w:keepNext w:val="0"/>
                    <w:keepLines w:val="0"/>
                    <w:suppressLineNumbers w:val="0"/>
                    <w:autoSpaceDE w:val="0"/>
                    <w:autoSpaceDN w:val="0"/>
                    <w:snapToGrid w:val="0"/>
                    <w:spacing w:before="0" w:beforeAutospacing="0" w:after="0" w:afterAutospacing="0"/>
                    <w:ind w:left="0" w:right="0"/>
                    <w:jc w:val="center"/>
                    <w:rPr>
                      <w:b/>
                      <w:bCs/>
                      <w:szCs w:val="21"/>
                    </w:rPr>
                  </w:pPr>
                  <w:r>
                    <w:rPr>
                      <w:rFonts w:hAnsi="宋体"/>
                      <w:b/>
                      <w:bCs/>
                      <w:szCs w:val="21"/>
                    </w:rPr>
                    <w:t>管控类别</w:t>
                  </w:r>
                </w:p>
              </w:tc>
              <w:tc>
                <w:tcPr>
                  <w:tcW w:w="2977" w:type="pct"/>
                  <w:vAlign w:val="center"/>
                </w:tcPr>
                <w:p>
                  <w:pPr>
                    <w:keepNext w:val="0"/>
                    <w:keepLines w:val="0"/>
                    <w:suppressLineNumbers w:val="0"/>
                    <w:autoSpaceDE w:val="0"/>
                    <w:autoSpaceDN w:val="0"/>
                    <w:snapToGrid w:val="0"/>
                    <w:spacing w:before="0" w:beforeAutospacing="0" w:after="0" w:afterAutospacing="0"/>
                    <w:ind w:left="0" w:right="0"/>
                    <w:jc w:val="center"/>
                    <w:rPr>
                      <w:b/>
                      <w:bCs/>
                      <w:szCs w:val="21"/>
                    </w:rPr>
                  </w:pPr>
                  <w:r>
                    <w:rPr>
                      <w:rFonts w:hAnsi="宋体"/>
                      <w:b/>
                      <w:bCs/>
                      <w:szCs w:val="21"/>
                    </w:rPr>
                    <w:t>对照简析</w:t>
                  </w:r>
                </w:p>
              </w:tc>
              <w:tc>
                <w:tcPr>
                  <w:tcW w:w="1596" w:type="pct"/>
                  <w:vAlign w:val="center"/>
                </w:tcPr>
                <w:p>
                  <w:pPr>
                    <w:keepNext w:val="0"/>
                    <w:keepLines w:val="0"/>
                    <w:suppressLineNumbers w:val="0"/>
                    <w:autoSpaceDE w:val="0"/>
                    <w:autoSpaceDN w:val="0"/>
                    <w:snapToGrid w:val="0"/>
                    <w:spacing w:before="0" w:beforeAutospacing="0" w:after="0" w:afterAutospacing="0"/>
                    <w:ind w:left="0" w:right="0"/>
                    <w:jc w:val="center"/>
                    <w:rPr>
                      <w:b/>
                      <w:bCs/>
                      <w:szCs w:val="21"/>
                    </w:rPr>
                  </w:pPr>
                  <w:r>
                    <w:rPr>
                      <w:rFonts w:hAnsi="宋体"/>
                      <w:b/>
                      <w:bCs/>
                      <w:szCs w:val="21"/>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5000" w:type="pct"/>
                  <w:gridSpan w:val="3"/>
                  <w:vAlign w:val="center"/>
                </w:tcPr>
                <w:p>
                  <w:pPr>
                    <w:keepNext w:val="0"/>
                    <w:keepLines w:val="0"/>
                    <w:suppressLineNumbers w:val="0"/>
                    <w:autoSpaceDE w:val="0"/>
                    <w:autoSpaceDN w:val="0"/>
                    <w:snapToGrid w:val="0"/>
                    <w:spacing w:before="0" w:beforeAutospacing="0" w:after="0" w:afterAutospacing="0"/>
                    <w:ind w:left="0" w:right="0"/>
                    <w:jc w:val="center"/>
                    <w:rPr>
                      <w:b/>
                      <w:bCs/>
                      <w:szCs w:val="21"/>
                    </w:rPr>
                  </w:pPr>
                  <w:r>
                    <w:rPr>
                      <w:rFonts w:hAnsi="宋体"/>
                      <w:b/>
                      <w:bCs/>
                      <w:szCs w:val="21"/>
                    </w:rPr>
                    <w:t>长江流域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88" w:hRule="atLeast"/>
                <w:jc w:val="center"/>
              </w:trPr>
              <w:tc>
                <w:tcPr>
                  <w:tcW w:w="426" w:type="pct"/>
                  <w:vMerge w:val="restart"/>
                  <w:vAlign w:val="center"/>
                </w:tcPr>
                <w:p>
                  <w:pPr>
                    <w:keepNext w:val="0"/>
                    <w:keepLines w:val="0"/>
                    <w:suppressLineNumbers w:val="0"/>
                    <w:autoSpaceDE w:val="0"/>
                    <w:autoSpaceDN w:val="0"/>
                    <w:snapToGrid w:val="0"/>
                    <w:spacing w:before="0" w:beforeAutospacing="0" w:after="0" w:afterAutospacing="0"/>
                    <w:ind w:left="0" w:right="0"/>
                    <w:jc w:val="center"/>
                    <w:rPr>
                      <w:szCs w:val="21"/>
                    </w:rPr>
                  </w:pPr>
                  <w:r>
                    <w:rPr>
                      <w:rFonts w:hAnsi="宋体"/>
                      <w:szCs w:val="21"/>
                    </w:rPr>
                    <w:t>空间布局约束</w:t>
                  </w:r>
                </w:p>
              </w:tc>
              <w:tc>
                <w:tcPr>
                  <w:tcW w:w="2977" w:type="pct"/>
                  <w:vAlign w:val="center"/>
                </w:tcPr>
                <w:p>
                  <w:pPr>
                    <w:keepNext w:val="0"/>
                    <w:keepLines w:val="0"/>
                    <w:suppressLineNumbers w:val="0"/>
                    <w:autoSpaceDE w:val="0"/>
                    <w:autoSpaceDN w:val="0"/>
                    <w:snapToGrid w:val="0"/>
                    <w:spacing w:before="0" w:beforeAutospacing="0" w:after="0" w:afterAutospacing="0"/>
                    <w:ind w:left="0" w:right="0" w:firstLine="420" w:firstLineChars="200"/>
                    <w:rPr>
                      <w:szCs w:val="21"/>
                    </w:rPr>
                  </w:pPr>
                  <w:r>
                    <w:rPr>
                      <w:rFonts w:hAnsi="宋体"/>
                      <w:szCs w:val="21"/>
                    </w:rPr>
                    <w:t>加强生态空间保护，禁止在国家确定的生态保护红线和永久基本农田范围内，投资建设除国家重大战略资源勘查项目、生态保护修复和地质灾害治理项目、重大基础设施项目、军事国防项目以及农民基本生产生活等必要的民生项目以外的项目。</w:t>
                  </w:r>
                </w:p>
              </w:tc>
              <w:tc>
                <w:tcPr>
                  <w:tcW w:w="1596" w:type="pct"/>
                  <w:vAlign w:val="center"/>
                </w:tcPr>
                <w:p>
                  <w:pPr>
                    <w:keepNext w:val="0"/>
                    <w:keepLines w:val="0"/>
                    <w:suppressLineNumbers w:val="0"/>
                    <w:autoSpaceDE w:val="0"/>
                    <w:autoSpaceDN w:val="0"/>
                    <w:snapToGrid w:val="0"/>
                    <w:spacing w:before="0" w:beforeAutospacing="0" w:after="0" w:afterAutospacing="0"/>
                    <w:ind w:left="0" w:right="0" w:firstLine="420" w:firstLineChars="200"/>
                    <w:rPr>
                      <w:szCs w:val="21"/>
                    </w:rPr>
                  </w:pPr>
                  <w:r>
                    <w:rPr>
                      <w:rFonts w:hAnsi="宋体"/>
                      <w:szCs w:val="21"/>
                    </w:rPr>
                    <w:t>本项目不在国家确定的生态保护红线和永久基本农田范围内。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99" w:hRule="atLeast"/>
                <w:jc w:val="center"/>
              </w:trPr>
              <w:tc>
                <w:tcPr>
                  <w:tcW w:w="426" w:type="pct"/>
                  <w:vMerge w:val="continue"/>
                  <w:vAlign w:val="center"/>
                </w:tcPr>
                <w:p>
                  <w:pPr>
                    <w:keepNext w:val="0"/>
                    <w:keepLines w:val="0"/>
                    <w:suppressLineNumbers w:val="0"/>
                    <w:autoSpaceDE w:val="0"/>
                    <w:autoSpaceDN w:val="0"/>
                    <w:snapToGrid w:val="0"/>
                    <w:spacing w:before="0" w:beforeAutospacing="0" w:after="0" w:afterAutospacing="0"/>
                    <w:ind w:left="0" w:right="0"/>
                    <w:jc w:val="center"/>
                    <w:rPr>
                      <w:szCs w:val="21"/>
                    </w:rPr>
                  </w:pPr>
                </w:p>
              </w:tc>
              <w:tc>
                <w:tcPr>
                  <w:tcW w:w="2977" w:type="pct"/>
                  <w:vAlign w:val="center"/>
                </w:tcPr>
                <w:p>
                  <w:pPr>
                    <w:keepNext w:val="0"/>
                    <w:keepLines w:val="0"/>
                    <w:suppressLineNumbers w:val="0"/>
                    <w:autoSpaceDE w:val="0"/>
                    <w:autoSpaceDN w:val="0"/>
                    <w:snapToGrid w:val="0"/>
                    <w:spacing w:before="0" w:beforeAutospacing="0" w:after="0" w:afterAutospacing="0"/>
                    <w:ind w:left="0" w:right="0" w:firstLine="420" w:firstLineChars="200"/>
                    <w:rPr>
                      <w:szCs w:val="21"/>
                    </w:rPr>
                  </w:pPr>
                  <w:r>
                    <w:rPr>
                      <w:rFonts w:hAnsi="宋体"/>
                      <w:szCs w:val="21"/>
                    </w:rPr>
                    <w:t>禁止在沿江地区新建或扩建化学工业园区，禁止新建或扩建以大宗进口油气资源为原料的石油加工、石油化工、基础有机无机化工、煤化工项目；禁止在长江干流和主要支流岸线</w:t>
                  </w:r>
                  <w:r>
                    <w:rPr>
                      <w:szCs w:val="21"/>
                    </w:rPr>
                    <w:t>1</w:t>
                  </w:r>
                  <w:r>
                    <w:rPr>
                      <w:rFonts w:hAnsi="宋体"/>
                      <w:szCs w:val="21"/>
                    </w:rPr>
                    <w:t>公里范围内新建危化品码头。</w:t>
                  </w:r>
                </w:p>
              </w:tc>
              <w:tc>
                <w:tcPr>
                  <w:tcW w:w="1596" w:type="pct"/>
                  <w:vAlign w:val="center"/>
                </w:tcPr>
                <w:p>
                  <w:pPr>
                    <w:keepNext w:val="0"/>
                    <w:keepLines w:val="0"/>
                    <w:suppressLineNumbers w:val="0"/>
                    <w:autoSpaceDE w:val="0"/>
                    <w:autoSpaceDN w:val="0"/>
                    <w:snapToGrid w:val="0"/>
                    <w:spacing w:before="0" w:beforeAutospacing="0" w:after="0" w:afterAutospacing="0"/>
                    <w:ind w:left="0" w:right="0" w:firstLine="420" w:firstLineChars="200"/>
                    <w:rPr>
                      <w:szCs w:val="21"/>
                    </w:rPr>
                  </w:pPr>
                  <w:r>
                    <w:rPr>
                      <w:rFonts w:hAnsi="宋体"/>
                      <w:szCs w:val="21"/>
                    </w:rPr>
                    <w:t>本项目不属于上述禁止建设的项目，不在长江干流和主要支流岸线</w:t>
                  </w:r>
                  <w:r>
                    <w:rPr>
                      <w:szCs w:val="21"/>
                    </w:rPr>
                    <w:t>1</w:t>
                  </w:r>
                  <w:r>
                    <w:rPr>
                      <w:rFonts w:hAnsi="宋体"/>
                      <w:szCs w:val="21"/>
                    </w:rPr>
                    <w:t>公里范围内。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72" w:hRule="atLeast"/>
                <w:jc w:val="center"/>
              </w:trPr>
              <w:tc>
                <w:tcPr>
                  <w:tcW w:w="426" w:type="pct"/>
                  <w:vMerge w:val="continue"/>
                  <w:vAlign w:val="center"/>
                </w:tcPr>
                <w:p>
                  <w:pPr>
                    <w:keepNext w:val="0"/>
                    <w:keepLines w:val="0"/>
                    <w:suppressLineNumbers w:val="0"/>
                    <w:autoSpaceDE w:val="0"/>
                    <w:autoSpaceDN w:val="0"/>
                    <w:snapToGrid w:val="0"/>
                    <w:spacing w:before="0" w:beforeAutospacing="0" w:after="0" w:afterAutospacing="0"/>
                    <w:ind w:left="0" w:right="0"/>
                    <w:jc w:val="center"/>
                    <w:rPr>
                      <w:szCs w:val="21"/>
                    </w:rPr>
                  </w:pPr>
                </w:p>
              </w:tc>
              <w:tc>
                <w:tcPr>
                  <w:tcW w:w="2977" w:type="pct"/>
                  <w:vAlign w:val="center"/>
                </w:tcPr>
                <w:p>
                  <w:pPr>
                    <w:keepNext w:val="0"/>
                    <w:keepLines w:val="0"/>
                    <w:suppressLineNumbers w:val="0"/>
                    <w:autoSpaceDE w:val="0"/>
                    <w:autoSpaceDN w:val="0"/>
                    <w:snapToGrid w:val="0"/>
                    <w:spacing w:before="0" w:beforeAutospacing="0" w:after="0" w:afterAutospacing="0"/>
                    <w:ind w:left="0" w:right="0" w:firstLine="420" w:firstLineChars="200"/>
                    <w:rPr>
                      <w:szCs w:val="21"/>
                    </w:rPr>
                  </w:pPr>
                  <w:r>
                    <w:rPr>
                      <w:rFonts w:hAnsi="宋体"/>
                      <w:szCs w:val="21"/>
                    </w:rPr>
                    <w:t>强化港口布局优化，禁止建设不符合国家港口布局规划和《江苏省沿江沿海港口布局规划（</w:t>
                  </w:r>
                  <w:r>
                    <w:rPr>
                      <w:szCs w:val="21"/>
                    </w:rPr>
                    <w:t>2015-2030</w:t>
                  </w:r>
                  <w:r>
                    <w:rPr>
                      <w:rFonts w:hAnsi="宋体"/>
                      <w:szCs w:val="21"/>
                    </w:rPr>
                    <w:t>年）》《江苏省内河港口布局规划（</w:t>
                  </w:r>
                  <w:r>
                    <w:rPr>
                      <w:szCs w:val="21"/>
                    </w:rPr>
                    <w:t>2017-2035</w:t>
                  </w:r>
                  <w:r>
                    <w:rPr>
                      <w:rFonts w:hAnsi="宋体"/>
                      <w:szCs w:val="21"/>
                    </w:rPr>
                    <w:t>年）》的码头项目，禁止建设未纳入《长江干线过江通道布局规划》的过江干线通道项目。</w:t>
                  </w:r>
                </w:p>
              </w:tc>
              <w:tc>
                <w:tcPr>
                  <w:tcW w:w="1596" w:type="pct"/>
                  <w:vAlign w:val="center"/>
                </w:tcPr>
                <w:p>
                  <w:pPr>
                    <w:keepNext w:val="0"/>
                    <w:keepLines w:val="0"/>
                    <w:suppressLineNumbers w:val="0"/>
                    <w:autoSpaceDE w:val="0"/>
                    <w:autoSpaceDN w:val="0"/>
                    <w:snapToGrid w:val="0"/>
                    <w:spacing w:before="0" w:beforeAutospacing="0" w:after="0" w:afterAutospacing="0"/>
                    <w:ind w:left="0" w:right="0" w:firstLine="420" w:firstLineChars="200"/>
                    <w:rPr>
                      <w:rFonts w:hint="eastAsia" w:eastAsia="宋体"/>
                      <w:szCs w:val="21"/>
                      <w:lang w:eastAsia="zh-CN"/>
                    </w:rPr>
                  </w:pPr>
                  <w:r>
                    <w:rPr>
                      <w:rFonts w:hAnsi="宋体"/>
                      <w:szCs w:val="21"/>
                    </w:rPr>
                    <w:t>本项目不属于码头项目和过江干线通道项目</w:t>
                  </w:r>
                  <w:r>
                    <w:rPr>
                      <w:rFonts w:hint="eastAsia" w:hAnsi="宋体"/>
                      <w:szCs w:val="21"/>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426" w:type="pct"/>
                  <w:vMerge w:val="restart"/>
                  <w:vAlign w:val="center"/>
                </w:tcPr>
                <w:p>
                  <w:pPr>
                    <w:keepNext w:val="0"/>
                    <w:keepLines w:val="0"/>
                    <w:suppressLineNumbers w:val="0"/>
                    <w:autoSpaceDE w:val="0"/>
                    <w:autoSpaceDN w:val="0"/>
                    <w:snapToGrid w:val="0"/>
                    <w:spacing w:before="0" w:beforeAutospacing="0" w:after="0" w:afterAutospacing="0"/>
                    <w:ind w:left="0" w:right="0"/>
                    <w:jc w:val="center"/>
                    <w:rPr>
                      <w:szCs w:val="21"/>
                    </w:rPr>
                  </w:pPr>
                  <w:r>
                    <w:rPr>
                      <w:rFonts w:hAnsi="宋体"/>
                      <w:szCs w:val="21"/>
                    </w:rPr>
                    <w:t>污染物排放管控</w:t>
                  </w:r>
                </w:p>
              </w:tc>
              <w:tc>
                <w:tcPr>
                  <w:tcW w:w="2977" w:type="pct"/>
                  <w:vAlign w:val="center"/>
                </w:tcPr>
                <w:p>
                  <w:pPr>
                    <w:keepNext w:val="0"/>
                    <w:keepLines w:val="0"/>
                    <w:suppressLineNumbers w:val="0"/>
                    <w:autoSpaceDE w:val="0"/>
                    <w:autoSpaceDN w:val="0"/>
                    <w:snapToGrid w:val="0"/>
                    <w:spacing w:before="0" w:beforeAutospacing="0" w:after="0" w:afterAutospacing="0"/>
                    <w:ind w:left="0" w:right="0" w:firstLine="420" w:firstLineChars="200"/>
                    <w:rPr>
                      <w:szCs w:val="21"/>
                    </w:rPr>
                  </w:pPr>
                  <w:r>
                    <w:rPr>
                      <w:rFonts w:hAnsi="宋体"/>
                      <w:szCs w:val="21"/>
                    </w:rPr>
                    <w:t>根据《江苏省长江水污染防治条例》实施污染物总量控制制度。</w:t>
                  </w:r>
                </w:p>
              </w:tc>
              <w:tc>
                <w:tcPr>
                  <w:tcW w:w="1596" w:type="pct"/>
                  <w:vMerge w:val="restart"/>
                  <w:vAlign w:val="center"/>
                </w:tcPr>
                <w:p>
                  <w:pPr>
                    <w:keepNext w:val="0"/>
                    <w:keepLines w:val="0"/>
                    <w:suppressLineNumbers w:val="0"/>
                    <w:autoSpaceDE w:val="0"/>
                    <w:autoSpaceDN w:val="0"/>
                    <w:snapToGrid w:val="0"/>
                    <w:spacing w:before="0" w:beforeAutospacing="0" w:after="0" w:afterAutospacing="0"/>
                    <w:ind w:left="0" w:right="0" w:firstLine="420" w:firstLineChars="200"/>
                    <w:rPr>
                      <w:szCs w:val="21"/>
                    </w:rPr>
                  </w:pPr>
                  <w:r>
                    <w:rPr>
                      <w:szCs w:val="21"/>
                    </w:rPr>
                    <w:t>本项目</w:t>
                  </w:r>
                  <w:r>
                    <w:rPr>
                      <w:rFonts w:hint="eastAsia"/>
                      <w:szCs w:val="21"/>
                    </w:rPr>
                    <w:t>食堂废水经隔油池处理后与</w:t>
                  </w:r>
                  <w:r>
                    <w:rPr>
                      <w:szCs w:val="21"/>
                    </w:rPr>
                    <w:t>生活污水</w:t>
                  </w:r>
                  <w:r>
                    <w:rPr>
                      <w:rFonts w:hAnsi="宋体"/>
                      <w:szCs w:val="21"/>
                    </w:rPr>
                    <w:t>接管进武南污水处理厂，</w:t>
                  </w:r>
                  <w:r>
                    <w:rPr>
                      <w:rFonts w:hint="eastAsia"/>
                    </w:rPr>
                    <w:t>总量在武南污水处理厂内平衡。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426" w:type="pct"/>
                  <w:vMerge w:val="continue"/>
                  <w:vAlign w:val="center"/>
                </w:tcPr>
                <w:p>
                  <w:pPr>
                    <w:keepNext w:val="0"/>
                    <w:keepLines w:val="0"/>
                    <w:suppressLineNumbers w:val="0"/>
                    <w:autoSpaceDE w:val="0"/>
                    <w:autoSpaceDN w:val="0"/>
                    <w:snapToGrid w:val="0"/>
                    <w:spacing w:before="0" w:beforeAutospacing="0" w:after="0" w:afterAutospacing="0"/>
                    <w:ind w:left="0" w:right="0"/>
                    <w:jc w:val="center"/>
                    <w:rPr>
                      <w:szCs w:val="21"/>
                    </w:rPr>
                  </w:pPr>
                </w:p>
              </w:tc>
              <w:tc>
                <w:tcPr>
                  <w:tcW w:w="2977" w:type="pct"/>
                  <w:vAlign w:val="center"/>
                </w:tcPr>
                <w:p>
                  <w:pPr>
                    <w:keepNext w:val="0"/>
                    <w:keepLines w:val="0"/>
                    <w:suppressLineNumbers w:val="0"/>
                    <w:autoSpaceDE w:val="0"/>
                    <w:autoSpaceDN w:val="0"/>
                    <w:snapToGrid w:val="0"/>
                    <w:spacing w:before="0" w:beforeAutospacing="0" w:after="0" w:afterAutospacing="0"/>
                    <w:ind w:left="0" w:right="0" w:firstLine="420" w:firstLineChars="200"/>
                    <w:rPr>
                      <w:szCs w:val="21"/>
                    </w:rPr>
                  </w:pPr>
                  <w:r>
                    <w:rPr>
                      <w:rFonts w:hAnsi="宋体"/>
                      <w:szCs w:val="21"/>
                    </w:rPr>
                    <w:t>全面加强和规范长江入河排污口管理，有效管控入河污染物排放，形成权责清晰、监控到位、管理规范的长江入河排污口监管体系，加快改善长江水环境质量。</w:t>
                  </w:r>
                </w:p>
              </w:tc>
              <w:tc>
                <w:tcPr>
                  <w:tcW w:w="1596" w:type="pct"/>
                  <w:vMerge w:val="continue"/>
                  <w:vAlign w:val="center"/>
                </w:tcPr>
                <w:p>
                  <w:pPr>
                    <w:keepNext w:val="0"/>
                    <w:keepLines w:val="0"/>
                    <w:suppressLineNumbers w:val="0"/>
                    <w:autoSpaceDE w:val="0"/>
                    <w:autoSpaceDN w:val="0"/>
                    <w:snapToGrid w:val="0"/>
                    <w:spacing w:before="0" w:beforeAutospacing="0" w:after="0" w:afterAutospacing="0"/>
                    <w:ind w:left="0" w:right="0" w:firstLine="420" w:firstLineChars="200"/>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74" w:hRule="atLeast"/>
                <w:jc w:val="center"/>
              </w:trPr>
              <w:tc>
                <w:tcPr>
                  <w:tcW w:w="426" w:type="pct"/>
                  <w:vAlign w:val="center"/>
                </w:tcPr>
                <w:p>
                  <w:pPr>
                    <w:keepNext w:val="0"/>
                    <w:keepLines w:val="0"/>
                    <w:suppressLineNumbers w:val="0"/>
                    <w:autoSpaceDE w:val="0"/>
                    <w:autoSpaceDN w:val="0"/>
                    <w:snapToGrid w:val="0"/>
                    <w:spacing w:before="0" w:beforeAutospacing="0" w:after="0" w:afterAutospacing="0"/>
                    <w:ind w:left="0" w:right="0"/>
                    <w:jc w:val="center"/>
                    <w:rPr>
                      <w:szCs w:val="21"/>
                    </w:rPr>
                  </w:pPr>
                  <w:r>
                    <w:rPr>
                      <w:rFonts w:hAnsi="宋体"/>
                      <w:szCs w:val="21"/>
                    </w:rPr>
                    <w:t>环境风险防控</w:t>
                  </w:r>
                </w:p>
              </w:tc>
              <w:tc>
                <w:tcPr>
                  <w:tcW w:w="2977" w:type="pct"/>
                  <w:vAlign w:val="center"/>
                </w:tcPr>
                <w:p>
                  <w:pPr>
                    <w:keepNext w:val="0"/>
                    <w:keepLines w:val="0"/>
                    <w:suppressLineNumbers w:val="0"/>
                    <w:autoSpaceDE w:val="0"/>
                    <w:autoSpaceDN w:val="0"/>
                    <w:snapToGrid w:val="0"/>
                    <w:spacing w:before="0" w:beforeAutospacing="0" w:after="0" w:afterAutospacing="0"/>
                    <w:ind w:left="0" w:right="0" w:firstLine="420" w:firstLineChars="200"/>
                    <w:rPr>
                      <w:szCs w:val="21"/>
                    </w:rPr>
                  </w:pPr>
                  <w:r>
                    <w:rPr>
                      <w:rFonts w:hAnsi="宋体"/>
                      <w:szCs w:val="21"/>
                    </w:rPr>
                    <w:t>防范沿江环境风险。深化沿江石化、化工、医药、纺织、印染、化纤、危化品和石油类仓储、涉重金属和危险废物处置等重点企业环境风险防控。</w:t>
                  </w:r>
                </w:p>
              </w:tc>
              <w:tc>
                <w:tcPr>
                  <w:tcW w:w="1596" w:type="pct"/>
                  <w:vAlign w:val="center"/>
                </w:tcPr>
                <w:p>
                  <w:pPr>
                    <w:keepNext w:val="0"/>
                    <w:keepLines w:val="0"/>
                    <w:suppressLineNumbers w:val="0"/>
                    <w:autoSpaceDE w:val="0"/>
                    <w:autoSpaceDN w:val="0"/>
                    <w:snapToGrid w:val="0"/>
                    <w:spacing w:before="0" w:beforeAutospacing="0" w:after="0" w:afterAutospacing="0"/>
                    <w:ind w:left="0" w:right="0" w:firstLine="420" w:firstLineChars="200"/>
                    <w:rPr>
                      <w:szCs w:val="21"/>
                    </w:rPr>
                  </w:pPr>
                  <w:r>
                    <w:rPr>
                      <w:rFonts w:hAnsi="宋体"/>
                      <w:szCs w:val="21"/>
                    </w:rPr>
                    <w:t>本项目不属于上述企业，且企业具有完善的风险防控措施。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3"/>
                  <w:vAlign w:val="center"/>
                </w:tcPr>
                <w:p>
                  <w:pPr>
                    <w:keepNext w:val="0"/>
                    <w:keepLines w:val="0"/>
                    <w:suppressLineNumbers w:val="0"/>
                    <w:autoSpaceDE w:val="0"/>
                    <w:autoSpaceDN w:val="0"/>
                    <w:snapToGrid w:val="0"/>
                    <w:spacing w:before="0" w:beforeAutospacing="0" w:after="0" w:afterAutospacing="0"/>
                    <w:ind w:left="0" w:right="0"/>
                    <w:jc w:val="center"/>
                    <w:rPr>
                      <w:b/>
                      <w:szCs w:val="21"/>
                    </w:rPr>
                  </w:pPr>
                  <w:r>
                    <w:rPr>
                      <w:rFonts w:hAnsi="宋体"/>
                      <w:b/>
                      <w:szCs w:val="21"/>
                    </w:rPr>
                    <w:t>太湖流域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90" w:hRule="atLeast"/>
                <w:jc w:val="center"/>
              </w:trPr>
              <w:tc>
                <w:tcPr>
                  <w:tcW w:w="426" w:type="pct"/>
                  <w:vAlign w:val="center"/>
                </w:tcPr>
                <w:p>
                  <w:pPr>
                    <w:keepNext w:val="0"/>
                    <w:keepLines w:val="0"/>
                    <w:suppressLineNumbers w:val="0"/>
                    <w:autoSpaceDE w:val="0"/>
                    <w:autoSpaceDN w:val="0"/>
                    <w:snapToGrid w:val="0"/>
                    <w:spacing w:before="0" w:beforeAutospacing="0" w:after="0" w:afterAutospacing="0"/>
                    <w:ind w:left="0" w:right="0"/>
                    <w:jc w:val="center"/>
                    <w:rPr>
                      <w:szCs w:val="21"/>
                    </w:rPr>
                  </w:pPr>
                  <w:r>
                    <w:rPr>
                      <w:rFonts w:hAnsi="宋体"/>
                      <w:szCs w:val="21"/>
                    </w:rPr>
                    <w:t>空间布局约束</w:t>
                  </w:r>
                </w:p>
              </w:tc>
              <w:tc>
                <w:tcPr>
                  <w:tcW w:w="2977" w:type="pct"/>
                  <w:vAlign w:val="center"/>
                </w:tcPr>
                <w:p>
                  <w:pPr>
                    <w:keepNext w:val="0"/>
                    <w:keepLines w:val="0"/>
                    <w:suppressLineNumbers w:val="0"/>
                    <w:autoSpaceDE w:val="0"/>
                    <w:autoSpaceDN w:val="0"/>
                    <w:snapToGrid w:val="0"/>
                    <w:spacing w:before="0" w:beforeAutospacing="0" w:after="0" w:afterAutospacing="0"/>
                    <w:ind w:left="0" w:right="0" w:firstLine="420" w:firstLineChars="200"/>
                    <w:rPr>
                      <w:szCs w:val="21"/>
                    </w:rPr>
                  </w:pPr>
                  <w:r>
                    <w:rPr>
                      <w:szCs w:val="21"/>
                    </w:rPr>
                    <w:t>1</w:t>
                  </w:r>
                  <w:r>
                    <w:rPr>
                      <w:rFonts w:hAnsi="宋体"/>
                      <w:szCs w:val="21"/>
                    </w:rPr>
                    <w:t>、在太湖流域一、二、三级保护区，禁止新建、改建、扩建化学制浆造纸、制革、酿造、染料、印染、电镀以及其他排放含磷、氮等污染物的企业和项目，城镇污水集中处理等环境基础设施项目和《江苏省太湖水污染防治条例》第四十六条规定的情形除外。</w:t>
                  </w:r>
                </w:p>
                <w:p>
                  <w:pPr>
                    <w:keepNext w:val="0"/>
                    <w:keepLines w:val="0"/>
                    <w:suppressLineNumbers w:val="0"/>
                    <w:autoSpaceDE w:val="0"/>
                    <w:autoSpaceDN w:val="0"/>
                    <w:snapToGrid w:val="0"/>
                    <w:spacing w:before="0" w:beforeAutospacing="0" w:after="0" w:afterAutospacing="0"/>
                    <w:ind w:left="0" w:right="0" w:firstLine="420" w:firstLineChars="200"/>
                    <w:rPr>
                      <w:szCs w:val="21"/>
                    </w:rPr>
                  </w:pPr>
                  <w:r>
                    <w:rPr>
                      <w:szCs w:val="21"/>
                    </w:rPr>
                    <w:t>2</w:t>
                  </w:r>
                  <w:r>
                    <w:rPr>
                      <w:rFonts w:hAnsi="宋体"/>
                      <w:szCs w:val="21"/>
                    </w:rPr>
                    <w:t>、在太湖流域一级保护区，禁止新建、扩建向水体排放污染物的建设项目，禁止新建、扩建畜禽养殖场，禁止新建、扩建高尔夫球场、水上游乐等开发项目以及设置水上餐饮经营设施。</w:t>
                  </w:r>
                </w:p>
                <w:p>
                  <w:pPr>
                    <w:keepNext w:val="0"/>
                    <w:keepLines w:val="0"/>
                    <w:suppressLineNumbers w:val="0"/>
                    <w:autoSpaceDE w:val="0"/>
                    <w:autoSpaceDN w:val="0"/>
                    <w:snapToGrid w:val="0"/>
                    <w:spacing w:before="0" w:beforeAutospacing="0" w:after="0" w:afterAutospacing="0"/>
                    <w:ind w:left="0" w:right="0" w:firstLine="420" w:firstLineChars="200"/>
                    <w:rPr>
                      <w:szCs w:val="21"/>
                    </w:rPr>
                  </w:pPr>
                  <w:r>
                    <w:rPr>
                      <w:szCs w:val="21"/>
                    </w:rPr>
                    <w:t>3</w:t>
                  </w:r>
                  <w:r>
                    <w:rPr>
                      <w:rFonts w:hAnsi="宋体"/>
                      <w:szCs w:val="21"/>
                    </w:rPr>
                    <w:t>、在太湖流域二级保护区，禁止新建、扩建化工、医药生产项目，禁止新建、扩建污水集中处理设施排污口以外的排污口。</w:t>
                  </w:r>
                </w:p>
              </w:tc>
              <w:tc>
                <w:tcPr>
                  <w:tcW w:w="1596" w:type="pct"/>
                  <w:vAlign w:val="center"/>
                </w:tcPr>
                <w:p>
                  <w:pPr>
                    <w:keepNext w:val="0"/>
                    <w:keepLines w:val="0"/>
                    <w:suppressLineNumbers w:val="0"/>
                    <w:autoSpaceDE w:val="0"/>
                    <w:autoSpaceDN w:val="0"/>
                    <w:snapToGrid w:val="0"/>
                    <w:spacing w:before="0" w:beforeAutospacing="0" w:after="0" w:afterAutospacing="0"/>
                    <w:ind w:left="0" w:right="0" w:firstLine="420" w:firstLineChars="200"/>
                    <w:rPr>
                      <w:szCs w:val="21"/>
                    </w:rPr>
                  </w:pPr>
                  <w:r>
                    <w:rPr>
                      <w:rFonts w:hint="eastAsia"/>
                    </w:rPr>
                    <w:t>本项目位于</w:t>
                  </w:r>
                  <w:r>
                    <w:t>江苏省常州市武进区洛阳镇新科西路21号</w:t>
                  </w:r>
                  <w:r>
                    <w:rPr>
                      <w:rFonts w:hint="eastAsia"/>
                    </w:rPr>
                    <w:t>，</w:t>
                  </w:r>
                  <w:r>
                    <w:rPr>
                      <w:rFonts w:hint="eastAsia"/>
                      <w:szCs w:val="21"/>
                    </w:rPr>
                    <w:t>属于太湖流域三级保护区；本项目为其他电机制造行业，无含氮磷生产废水排放，食堂废水经隔油池处理后与</w:t>
                  </w:r>
                  <w:r>
                    <w:rPr>
                      <w:szCs w:val="21"/>
                    </w:rPr>
                    <w:t>生活污水</w:t>
                  </w:r>
                  <w:r>
                    <w:rPr>
                      <w:rFonts w:hint="eastAsia"/>
                      <w:szCs w:val="21"/>
                    </w:rPr>
                    <w:t>通过市政管网排入武南污水处理厂。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34" w:hRule="atLeast"/>
                <w:jc w:val="center"/>
              </w:trPr>
              <w:tc>
                <w:tcPr>
                  <w:tcW w:w="426" w:type="pct"/>
                  <w:vAlign w:val="center"/>
                </w:tcPr>
                <w:p>
                  <w:pPr>
                    <w:keepNext w:val="0"/>
                    <w:keepLines w:val="0"/>
                    <w:suppressLineNumbers w:val="0"/>
                    <w:autoSpaceDE w:val="0"/>
                    <w:autoSpaceDN w:val="0"/>
                    <w:snapToGrid w:val="0"/>
                    <w:spacing w:before="0" w:beforeAutospacing="0" w:after="0" w:afterAutospacing="0"/>
                    <w:ind w:left="0" w:right="0"/>
                    <w:jc w:val="center"/>
                    <w:rPr>
                      <w:szCs w:val="21"/>
                    </w:rPr>
                  </w:pPr>
                  <w:r>
                    <w:rPr>
                      <w:rFonts w:hAnsi="宋体"/>
                      <w:szCs w:val="21"/>
                    </w:rPr>
                    <w:t>污染物排放管控</w:t>
                  </w:r>
                </w:p>
              </w:tc>
              <w:tc>
                <w:tcPr>
                  <w:tcW w:w="2977" w:type="pct"/>
                  <w:vAlign w:val="center"/>
                </w:tcPr>
                <w:p>
                  <w:pPr>
                    <w:keepNext w:val="0"/>
                    <w:keepLines w:val="0"/>
                    <w:suppressLineNumbers w:val="0"/>
                    <w:autoSpaceDE w:val="0"/>
                    <w:autoSpaceDN w:val="0"/>
                    <w:snapToGrid w:val="0"/>
                    <w:spacing w:before="0" w:beforeAutospacing="0" w:after="0" w:afterAutospacing="0"/>
                    <w:ind w:left="0" w:right="0" w:firstLine="420" w:firstLineChars="200"/>
                    <w:rPr>
                      <w:szCs w:val="21"/>
                    </w:rPr>
                  </w:pPr>
                  <w:r>
                    <w:rPr>
                      <w:rFonts w:hAnsi="宋体"/>
                      <w:szCs w:val="21"/>
                    </w:rPr>
                    <w:t>城镇污水处理厂、纺织工业、化学工业、造纸工业、钢铁工业、电镀工业和食品工业的污水处理设施执行《太湖地区城镇污水处理厂及重点工业行业主要水污染物排放限值》。</w:t>
                  </w:r>
                </w:p>
              </w:tc>
              <w:tc>
                <w:tcPr>
                  <w:tcW w:w="1596" w:type="pct"/>
                  <w:vAlign w:val="center"/>
                </w:tcPr>
                <w:p>
                  <w:pPr>
                    <w:keepNext w:val="0"/>
                    <w:keepLines w:val="0"/>
                    <w:suppressLineNumbers w:val="0"/>
                    <w:autoSpaceDE w:val="0"/>
                    <w:autoSpaceDN w:val="0"/>
                    <w:snapToGrid w:val="0"/>
                    <w:spacing w:before="0" w:beforeAutospacing="0" w:after="0" w:afterAutospacing="0"/>
                    <w:ind w:left="0" w:right="0" w:firstLine="420" w:firstLineChars="200"/>
                    <w:rPr>
                      <w:szCs w:val="21"/>
                    </w:rPr>
                  </w:pPr>
                  <w:r>
                    <w:rPr>
                      <w:rFonts w:hAnsi="宋体"/>
                      <w:szCs w:val="21"/>
                    </w:rPr>
                    <w:t>本项目为</w:t>
                  </w:r>
                  <w:r>
                    <w:rPr>
                      <w:rFonts w:hint="eastAsia"/>
                      <w:szCs w:val="21"/>
                    </w:rPr>
                    <w:t>其他电机制造</w:t>
                  </w:r>
                  <w:r>
                    <w:rPr>
                      <w:rFonts w:hAnsi="宋体"/>
                      <w:szCs w:val="21"/>
                    </w:rPr>
                    <w:t>行业，</w:t>
                  </w:r>
                  <w:r>
                    <w:rPr>
                      <w:rFonts w:hint="eastAsia"/>
                    </w:rPr>
                    <w:t>无生产废水产生，</w:t>
                  </w:r>
                  <w:r>
                    <w:rPr>
                      <w:rFonts w:hint="eastAsia"/>
                      <w:szCs w:val="21"/>
                    </w:rPr>
                    <w:t>食堂废水经隔油池处理后与</w:t>
                  </w:r>
                  <w:r>
                    <w:rPr>
                      <w:szCs w:val="21"/>
                    </w:rPr>
                    <w:t>生活污水</w:t>
                  </w:r>
                  <w:r>
                    <w:rPr>
                      <w:rFonts w:hint="eastAsia"/>
                    </w:rPr>
                    <w:t>接管至武南污水处理厂集中处理，不属于上述行业。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94" w:hRule="atLeast"/>
                <w:jc w:val="center"/>
              </w:trPr>
              <w:tc>
                <w:tcPr>
                  <w:tcW w:w="426" w:type="pct"/>
                  <w:vAlign w:val="center"/>
                </w:tcPr>
                <w:p>
                  <w:pPr>
                    <w:keepNext w:val="0"/>
                    <w:keepLines w:val="0"/>
                    <w:suppressLineNumbers w:val="0"/>
                    <w:autoSpaceDE w:val="0"/>
                    <w:autoSpaceDN w:val="0"/>
                    <w:snapToGrid w:val="0"/>
                    <w:spacing w:before="0" w:beforeAutospacing="0" w:after="0" w:afterAutospacing="0"/>
                    <w:ind w:left="0" w:right="0"/>
                    <w:jc w:val="center"/>
                    <w:rPr>
                      <w:szCs w:val="21"/>
                    </w:rPr>
                  </w:pPr>
                  <w:r>
                    <w:rPr>
                      <w:rFonts w:hAnsi="宋体"/>
                      <w:szCs w:val="21"/>
                    </w:rPr>
                    <w:t>环境风险防控</w:t>
                  </w:r>
                </w:p>
              </w:tc>
              <w:tc>
                <w:tcPr>
                  <w:tcW w:w="2977" w:type="pct"/>
                  <w:vAlign w:val="center"/>
                </w:tcPr>
                <w:p>
                  <w:pPr>
                    <w:keepNext w:val="0"/>
                    <w:keepLines w:val="0"/>
                    <w:suppressLineNumbers w:val="0"/>
                    <w:autoSpaceDE w:val="0"/>
                    <w:autoSpaceDN w:val="0"/>
                    <w:snapToGrid w:val="0"/>
                    <w:spacing w:before="0" w:beforeAutospacing="0" w:after="0" w:afterAutospacing="0"/>
                    <w:ind w:left="0" w:right="0" w:firstLine="420" w:firstLineChars="200"/>
                    <w:rPr>
                      <w:szCs w:val="21"/>
                    </w:rPr>
                  </w:pPr>
                  <w:r>
                    <w:rPr>
                      <w:szCs w:val="21"/>
                    </w:rPr>
                    <w:t>1</w:t>
                  </w:r>
                  <w:r>
                    <w:rPr>
                      <w:rFonts w:hAnsi="宋体"/>
                      <w:szCs w:val="21"/>
                    </w:rPr>
                    <w:t>、运输剧毒物质、危险化学品的船舶不得进入太湖。</w:t>
                  </w:r>
                </w:p>
                <w:p>
                  <w:pPr>
                    <w:keepNext w:val="0"/>
                    <w:keepLines w:val="0"/>
                    <w:suppressLineNumbers w:val="0"/>
                    <w:autoSpaceDE w:val="0"/>
                    <w:autoSpaceDN w:val="0"/>
                    <w:snapToGrid w:val="0"/>
                    <w:spacing w:before="0" w:beforeAutospacing="0" w:after="0" w:afterAutospacing="0"/>
                    <w:ind w:left="0" w:right="0" w:firstLine="420" w:firstLineChars="200"/>
                    <w:rPr>
                      <w:szCs w:val="21"/>
                    </w:rPr>
                  </w:pPr>
                  <w:r>
                    <w:rPr>
                      <w:szCs w:val="21"/>
                    </w:rPr>
                    <w:t>2</w:t>
                  </w:r>
                  <w:r>
                    <w:rPr>
                      <w:rFonts w:hAnsi="宋体"/>
                      <w:szCs w:val="21"/>
                    </w:rPr>
                    <w:t>、禁止向太湖流域水体排放或者倾倒油类、酸液、碱液、剧毒废渣废液、含放射性废渣废液、含病原体污水、工业废渣以及其他废弃物。</w:t>
                  </w:r>
                </w:p>
                <w:p>
                  <w:pPr>
                    <w:keepNext w:val="0"/>
                    <w:keepLines w:val="0"/>
                    <w:suppressLineNumbers w:val="0"/>
                    <w:autoSpaceDE w:val="0"/>
                    <w:autoSpaceDN w:val="0"/>
                    <w:snapToGrid w:val="0"/>
                    <w:spacing w:before="0" w:beforeAutospacing="0" w:after="0" w:afterAutospacing="0"/>
                    <w:ind w:left="0" w:right="0" w:firstLine="420" w:firstLineChars="200"/>
                    <w:rPr>
                      <w:szCs w:val="21"/>
                    </w:rPr>
                  </w:pPr>
                  <w:r>
                    <w:rPr>
                      <w:szCs w:val="21"/>
                    </w:rPr>
                    <w:t>3</w:t>
                  </w:r>
                  <w:r>
                    <w:rPr>
                      <w:rFonts w:hAnsi="宋体"/>
                      <w:szCs w:val="21"/>
                    </w:rPr>
                    <w:t>、加强太湖流域生态环境风险应急管控，着力提高防控太湖蓝藻水华风险预警和应急处置能力。</w:t>
                  </w:r>
                </w:p>
              </w:tc>
              <w:tc>
                <w:tcPr>
                  <w:tcW w:w="1596" w:type="pct"/>
                  <w:vAlign w:val="center"/>
                </w:tcPr>
                <w:p>
                  <w:pPr>
                    <w:keepNext w:val="0"/>
                    <w:keepLines w:val="0"/>
                    <w:suppressLineNumbers w:val="0"/>
                    <w:autoSpaceDE w:val="0"/>
                    <w:autoSpaceDN w:val="0"/>
                    <w:snapToGrid w:val="0"/>
                    <w:spacing w:before="0" w:beforeAutospacing="0" w:after="0" w:afterAutospacing="0"/>
                    <w:ind w:left="0" w:right="0" w:firstLine="420" w:firstLineChars="200"/>
                    <w:rPr>
                      <w:szCs w:val="21"/>
                    </w:rPr>
                  </w:pPr>
                  <w:r>
                    <w:rPr>
                      <w:rFonts w:hint="eastAsia"/>
                    </w:rPr>
                    <w:t>本项目将在生产过程中加强风险管控，严防污染物污染水体和周边外环境，不涉及《江苏省人民政府关于印发江苏省“三线一单”生态环境分区管控方案的通知》中规定的环境风险。</w:t>
                  </w:r>
                </w:p>
              </w:tc>
            </w:tr>
          </w:tbl>
          <w:p>
            <w:pPr>
              <w:keepNext w:val="0"/>
              <w:keepLines w:val="0"/>
              <w:suppressLineNumbers w:val="0"/>
              <w:spacing w:before="0" w:beforeAutospacing="0" w:after="0" w:afterAutospacing="0" w:line="360" w:lineRule="auto"/>
              <w:ind w:left="0" w:right="0" w:firstLine="480" w:firstLineChars="200"/>
              <w:rPr>
                <w:sz w:val="24"/>
              </w:rPr>
            </w:pPr>
            <w:r>
              <w:rPr>
                <w:rFonts w:hint="eastAsia"/>
                <w:sz w:val="24"/>
              </w:rPr>
              <w:t>综上，本项目与《江苏省政府关于印发江苏省“三线一单”生态环境分区管控方案的通知》（苏政发[2020]49号）的要求相符。</w:t>
            </w:r>
          </w:p>
          <w:p>
            <w:pPr>
              <w:keepNext w:val="0"/>
              <w:keepLines w:val="0"/>
              <w:suppressLineNumbers w:val="0"/>
              <w:spacing w:before="0" w:beforeAutospacing="0" w:after="0" w:afterAutospacing="0" w:line="360" w:lineRule="auto"/>
              <w:ind w:left="0" w:right="0" w:firstLine="482" w:firstLineChars="200"/>
              <w:rPr>
                <w:rFonts w:hint="eastAsia" w:eastAsia="宋体"/>
                <w:b/>
                <w:sz w:val="24"/>
                <w:lang w:val="en-US" w:eastAsia="zh-CN"/>
              </w:rPr>
            </w:pPr>
            <w:r>
              <w:rPr>
                <w:rFonts w:hint="eastAsia"/>
                <w:b/>
                <w:bCs/>
                <w:sz w:val="24"/>
              </w:rPr>
              <w:t>（</w:t>
            </w:r>
            <w:r>
              <w:rPr>
                <w:b/>
                <w:bCs/>
                <w:sz w:val="24"/>
              </w:rPr>
              <w:t>3</w:t>
            </w:r>
            <w:r>
              <w:rPr>
                <w:rFonts w:hAnsi="宋体"/>
                <w:b/>
                <w:bCs/>
                <w:sz w:val="24"/>
              </w:rPr>
              <w:t>）</w:t>
            </w:r>
            <w:r>
              <w:rPr>
                <w:rFonts w:hint="eastAsia"/>
                <w:b/>
                <w:sz w:val="24"/>
              </w:rPr>
              <w:t>与《常州市“三线一单”生态环境分区管控实施方案》（常环[2020]95号）相符性</w:t>
            </w:r>
            <w:r>
              <w:rPr>
                <w:rFonts w:hint="eastAsia"/>
                <w:b/>
                <w:sz w:val="24"/>
                <w:lang w:eastAsia="zh-CN"/>
              </w:rPr>
              <w:t>分析</w:t>
            </w:r>
          </w:p>
          <w:p>
            <w:pPr>
              <w:keepNext w:val="0"/>
              <w:keepLines w:val="0"/>
              <w:suppressLineNumbers w:val="0"/>
              <w:autoSpaceDE w:val="0"/>
              <w:autoSpaceDN w:val="0"/>
              <w:snapToGrid w:val="0"/>
              <w:spacing w:before="0" w:beforeAutospacing="0" w:after="0" w:afterAutospacing="0" w:line="360" w:lineRule="auto"/>
              <w:ind w:left="0" w:right="0" w:firstLine="480" w:firstLineChars="200"/>
              <w:jc w:val="left"/>
              <w:rPr>
                <w:b/>
                <w:bCs/>
                <w:sz w:val="24"/>
              </w:rPr>
            </w:pPr>
            <w:r>
              <w:rPr>
                <w:rFonts w:hAnsi="宋体"/>
                <w:sz w:val="24"/>
              </w:rPr>
              <w:t>根据</w:t>
            </w:r>
            <w:r>
              <w:rPr>
                <w:rFonts w:hint="eastAsia"/>
                <w:sz w:val="24"/>
              </w:rPr>
              <w:t>《常州市“三线一单”生态环境分区管控实施方案》（常环[2020]95号）</w:t>
            </w:r>
            <w:r>
              <w:rPr>
                <w:rFonts w:hAnsi="宋体"/>
                <w:sz w:val="24"/>
              </w:rPr>
              <w:t>要求，本项目位于江苏省常州市武进区洛阳镇新科西路21号</w:t>
            </w:r>
            <w:r>
              <w:rPr>
                <w:rFonts w:hint="eastAsia" w:hAnsi="宋体"/>
                <w:sz w:val="24"/>
              </w:rPr>
              <w:t>，为</w:t>
            </w:r>
            <w:r>
              <w:rPr>
                <w:rFonts w:hAnsi="宋体"/>
                <w:sz w:val="24"/>
              </w:rPr>
              <w:t>洛阳工业集中区</w:t>
            </w:r>
            <w:r>
              <w:rPr>
                <w:rFonts w:hint="eastAsia" w:hAnsi="宋体"/>
                <w:sz w:val="24"/>
              </w:rPr>
              <w:t>内</w:t>
            </w:r>
            <w:r>
              <w:rPr>
                <w:rFonts w:hAnsi="宋体"/>
                <w:sz w:val="24"/>
              </w:rPr>
              <w:t>，</w:t>
            </w:r>
            <w:r>
              <w:rPr>
                <w:rFonts w:hint="eastAsia" w:hAnsi="宋体"/>
                <w:sz w:val="24"/>
              </w:rPr>
              <w:t>为重点管控区，</w:t>
            </w:r>
            <w:r>
              <w:rPr>
                <w:rFonts w:hint="eastAsia"/>
                <w:sz w:val="24"/>
              </w:rPr>
              <w:t>其重点管控要求与本项目的相符性分析见表1-4</w:t>
            </w:r>
            <w:r>
              <w:rPr>
                <w:rFonts w:hAnsi="宋体"/>
                <w:sz w:val="24"/>
              </w:rPr>
              <w:t>：</w:t>
            </w:r>
          </w:p>
          <w:p>
            <w:pPr>
              <w:keepNext w:val="0"/>
              <w:keepLines w:val="0"/>
              <w:suppressLineNumbers w:val="0"/>
              <w:spacing w:before="0" w:beforeAutospacing="0" w:after="0" w:afterAutospacing="0"/>
              <w:ind w:left="0" w:right="0"/>
              <w:jc w:val="center"/>
              <w:rPr>
                <w:b/>
                <w:sz w:val="24"/>
              </w:rPr>
            </w:pPr>
            <w:r>
              <w:rPr>
                <w:rFonts w:hint="eastAsia"/>
                <w:b/>
                <w:sz w:val="24"/>
              </w:rPr>
              <w:t>表1-4 与常环〔2020〕95号相符性分析</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53"/>
              <w:gridCol w:w="5686"/>
              <w:gridCol w:w="185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4" w:type="pct"/>
                  <w:tcBorders>
                    <w:top w:val="single" w:color="auto" w:sz="12"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b/>
                      <w:szCs w:val="21"/>
                    </w:rPr>
                  </w:pPr>
                  <w:r>
                    <w:rPr>
                      <w:b/>
                    </w:rPr>
                    <w:t>管控类别</w:t>
                  </w:r>
                </w:p>
              </w:tc>
              <w:tc>
                <w:tcPr>
                  <w:tcW w:w="3428" w:type="pct"/>
                  <w:tcBorders>
                    <w:top w:val="single" w:color="auto" w:sz="12"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b/>
                      <w:szCs w:val="21"/>
                    </w:rPr>
                  </w:pPr>
                  <w:r>
                    <w:rPr>
                      <w:b/>
                    </w:rPr>
                    <w:t>重点管控要求</w:t>
                  </w:r>
                </w:p>
              </w:tc>
              <w:tc>
                <w:tcPr>
                  <w:tcW w:w="1118" w:type="pct"/>
                  <w:tcBorders>
                    <w:top w:val="single" w:color="auto" w:sz="12" w:space="0"/>
                    <w:left w:val="single" w:color="auto" w:sz="4" w:space="0"/>
                    <w:bottom w:val="single" w:color="auto" w:sz="4" w:space="0"/>
                    <w:right w:val="nil"/>
                  </w:tcBorders>
                  <w:vAlign w:val="center"/>
                </w:tcPr>
                <w:p>
                  <w:pPr>
                    <w:keepNext w:val="0"/>
                    <w:keepLines w:val="0"/>
                    <w:suppressLineNumbers w:val="0"/>
                    <w:spacing w:before="0" w:beforeAutospacing="0" w:after="0" w:afterAutospacing="0"/>
                    <w:ind w:left="0" w:right="0"/>
                    <w:jc w:val="center"/>
                    <w:rPr>
                      <w:b/>
                      <w:szCs w:val="21"/>
                    </w:rPr>
                  </w:pPr>
                  <w:r>
                    <w:rPr>
                      <w:b/>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3"/>
                  <w:tcBorders>
                    <w:top w:val="single" w:color="auto" w:sz="4" w:space="0"/>
                    <w:left w:val="nil"/>
                    <w:bottom w:val="single" w:color="auto" w:sz="4" w:space="0"/>
                    <w:right w:val="nil"/>
                  </w:tcBorders>
                  <w:vAlign w:val="center"/>
                </w:tcPr>
                <w:p>
                  <w:pPr>
                    <w:keepNext w:val="0"/>
                    <w:keepLines w:val="0"/>
                    <w:suppressLineNumbers w:val="0"/>
                    <w:spacing w:before="0" w:beforeAutospacing="0" w:after="0" w:afterAutospacing="0"/>
                    <w:ind w:left="0" w:right="0"/>
                    <w:jc w:val="center"/>
                    <w:rPr>
                      <w:szCs w:val="21"/>
                    </w:rPr>
                  </w:pPr>
                  <w:r>
                    <w:rPr>
                      <w:rFonts w:hAnsi="宋体"/>
                      <w:szCs w:val="21"/>
                    </w:rPr>
                    <w:t>洛阳工业集中区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2" w:hRule="atLeast"/>
                <w:jc w:val="center"/>
              </w:trPr>
              <w:tc>
                <w:tcPr>
                  <w:tcW w:w="454" w:type="pct"/>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szCs w:val="21"/>
                    </w:rPr>
                  </w:pPr>
                  <w:r>
                    <w:t>空间布局约束</w:t>
                  </w:r>
                </w:p>
              </w:tc>
              <w:tc>
                <w:tcPr>
                  <w:tcW w:w="342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firstLine="420" w:firstLineChars="200"/>
                    <w:rPr>
                      <w:color w:val="000000"/>
                      <w:kern w:val="0"/>
                      <w:szCs w:val="21"/>
                    </w:rPr>
                  </w:pPr>
                  <w:r>
                    <w:rPr>
                      <w:rFonts w:hAnsi="宋体"/>
                      <w:color w:val="000000"/>
                      <w:kern w:val="0"/>
                      <w:szCs w:val="21"/>
                    </w:rPr>
                    <w:t>（</w:t>
                  </w:r>
                  <w:r>
                    <w:rPr>
                      <w:color w:val="000000"/>
                      <w:kern w:val="0"/>
                      <w:szCs w:val="21"/>
                    </w:rPr>
                    <w:t>1</w:t>
                  </w:r>
                  <w:r>
                    <w:rPr>
                      <w:rFonts w:hAnsi="宋体"/>
                      <w:color w:val="000000"/>
                      <w:kern w:val="0"/>
                      <w:szCs w:val="21"/>
                    </w:rPr>
                    <w:t>）禁止引入轻工业：化学制纸浆、造纸、制革、酿造。</w:t>
                  </w:r>
                </w:p>
                <w:p>
                  <w:pPr>
                    <w:keepNext w:val="0"/>
                    <w:keepLines w:val="0"/>
                    <w:suppressLineNumbers w:val="0"/>
                    <w:spacing w:before="0" w:beforeAutospacing="0" w:after="0" w:afterAutospacing="0"/>
                    <w:ind w:left="0" w:right="0" w:firstLine="420" w:firstLineChars="200"/>
                    <w:rPr>
                      <w:color w:val="000000"/>
                      <w:kern w:val="0"/>
                      <w:szCs w:val="21"/>
                    </w:rPr>
                  </w:pPr>
                  <w:r>
                    <w:rPr>
                      <w:rFonts w:hAnsi="宋体"/>
                      <w:color w:val="000000"/>
                      <w:kern w:val="0"/>
                      <w:szCs w:val="21"/>
                    </w:rPr>
                    <w:t>（</w:t>
                  </w:r>
                  <w:r>
                    <w:rPr>
                      <w:color w:val="000000"/>
                      <w:kern w:val="0"/>
                      <w:szCs w:val="21"/>
                    </w:rPr>
                    <w:t>2</w:t>
                  </w:r>
                  <w:r>
                    <w:rPr>
                      <w:rFonts w:hAnsi="宋体"/>
                      <w:color w:val="000000"/>
                      <w:kern w:val="0"/>
                      <w:szCs w:val="21"/>
                    </w:rPr>
                    <w:t>）禁止引入化工、医药、染料：各种化学品及其中间体的生产。</w:t>
                  </w:r>
                </w:p>
                <w:p>
                  <w:pPr>
                    <w:keepNext w:val="0"/>
                    <w:keepLines w:val="0"/>
                    <w:suppressLineNumbers w:val="0"/>
                    <w:spacing w:before="0" w:beforeAutospacing="0" w:after="0" w:afterAutospacing="0"/>
                    <w:ind w:left="0" w:right="0" w:firstLine="420" w:firstLineChars="200"/>
                    <w:rPr>
                      <w:color w:val="000000"/>
                      <w:kern w:val="0"/>
                      <w:szCs w:val="21"/>
                    </w:rPr>
                  </w:pPr>
                  <w:r>
                    <w:rPr>
                      <w:rFonts w:hAnsi="宋体"/>
                      <w:color w:val="000000"/>
                      <w:kern w:val="0"/>
                      <w:szCs w:val="21"/>
                    </w:rPr>
                    <w:t>（</w:t>
                  </w:r>
                  <w:r>
                    <w:rPr>
                      <w:color w:val="000000"/>
                      <w:kern w:val="0"/>
                      <w:szCs w:val="21"/>
                    </w:rPr>
                    <w:t>3</w:t>
                  </w:r>
                  <w:r>
                    <w:rPr>
                      <w:rFonts w:hAnsi="宋体"/>
                      <w:color w:val="000000"/>
                      <w:kern w:val="0"/>
                      <w:szCs w:val="21"/>
                    </w:rPr>
                    <w:t>）禁止引入印染：各类织物的印染及其后整理。</w:t>
                  </w:r>
                </w:p>
                <w:p>
                  <w:pPr>
                    <w:keepNext w:val="0"/>
                    <w:keepLines w:val="0"/>
                    <w:suppressLineNumbers w:val="0"/>
                    <w:spacing w:before="0" w:beforeAutospacing="0" w:after="0" w:afterAutospacing="0"/>
                    <w:ind w:left="0" w:right="0" w:firstLine="420" w:firstLineChars="200"/>
                    <w:rPr>
                      <w:color w:val="000000"/>
                      <w:kern w:val="0"/>
                      <w:szCs w:val="21"/>
                    </w:rPr>
                  </w:pPr>
                  <w:r>
                    <w:rPr>
                      <w:rFonts w:hAnsi="宋体"/>
                      <w:color w:val="000000"/>
                      <w:kern w:val="0"/>
                      <w:szCs w:val="21"/>
                    </w:rPr>
                    <w:t>（</w:t>
                  </w:r>
                  <w:r>
                    <w:rPr>
                      <w:color w:val="000000"/>
                      <w:kern w:val="0"/>
                      <w:szCs w:val="21"/>
                    </w:rPr>
                    <w:t>4</w:t>
                  </w:r>
                  <w:r>
                    <w:rPr>
                      <w:rFonts w:hAnsi="宋体"/>
                      <w:color w:val="000000"/>
                      <w:kern w:val="0"/>
                      <w:szCs w:val="21"/>
                    </w:rPr>
                    <w:t>）禁止引入机械电子：表面处理、磷化、喷涂、电镀、线路板生产。</w:t>
                  </w:r>
                </w:p>
                <w:p>
                  <w:pPr>
                    <w:keepNext w:val="0"/>
                    <w:keepLines w:val="0"/>
                    <w:suppressLineNumbers w:val="0"/>
                    <w:spacing w:before="0" w:beforeAutospacing="0" w:after="0" w:afterAutospacing="0"/>
                    <w:ind w:left="0" w:right="0" w:firstLine="420" w:firstLineChars="200"/>
                    <w:rPr>
                      <w:szCs w:val="21"/>
                    </w:rPr>
                  </w:pPr>
                  <w:r>
                    <w:rPr>
                      <w:rFonts w:hAnsi="宋体"/>
                      <w:color w:val="000000"/>
                      <w:kern w:val="0"/>
                      <w:szCs w:val="21"/>
                    </w:rPr>
                    <w:t>（</w:t>
                  </w:r>
                  <w:r>
                    <w:rPr>
                      <w:color w:val="000000"/>
                      <w:kern w:val="0"/>
                      <w:szCs w:val="21"/>
                    </w:rPr>
                    <w:t>5</w:t>
                  </w:r>
                  <w:r>
                    <w:rPr>
                      <w:rFonts w:hAnsi="宋体"/>
                      <w:color w:val="000000"/>
                      <w:kern w:val="0"/>
                      <w:szCs w:val="21"/>
                    </w:rPr>
                    <w:t>）禁止引入电镀、炼油、固体废物处理处置。国家和地方产业政策中禁止的类别和存在严重污染且不能达标排放的企业。</w:t>
                  </w:r>
                </w:p>
              </w:tc>
              <w:tc>
                <w:tcPr>
                  <w:tcW w:w="1118" w:type="pct"/>
                  <w:tcBorders>
                    <w:top w:val="single" w:color="auto" w:sz="4" w:space="0"/>
                    <w:left w:val="single" w:color="auto" w:sz="4" w:space="0"/>
                    <w:bottom w:val="single" w:color="auto" w:sz="4" w:space="0"/>
                    <w:right w:val="nil"/>
                  </w:tcBorders>
                  <w:vAlign w:val="center"/>
                </w:tcPr>
                <w:p>
                  <w:pPr>
                    <w:keepNext w:val="0"/>
                    <w:keepLines w:val="0"/>
                    <w:suppressLineNumbers w:val="0"/>
                    <w:spacing w:before="0" w:beforeAutospacing="0" w:after="0" w:afterAutospacing="0"/>
                    <w:ind w:left="0" w:right="0" w:firstLine="420" w:firstLineChars="200"/>
                    <w:rPr>
                      <w:szCs w:val="21"/>
                    </w:rPr>
                  </w:pPr>
                  <w:r>
                    <w:rPr>
                      <w:rFonts w:hint="eastAsia"/>
                    </w:rPr>
                    <w:t>本项目为其他电机制造行业，不属于上述行业。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7" w:hRule="atLeast"/>
                <w:jc w:val="center"/>
              </w:trPr>
              <w:tc>
                <w:tcPr>
                  <w:tcW w:w="454" w:type="pct"/>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szCs w:val="21"/>
                    </w:rPr>
                  </w:pPr>
                  <w:r>
                    <w:t>污染物排放管控</w:t>
                  </w:r>
                </w:p>
              </w:tc>
              <w:tc>
                <w:tcPr>
                  <w:tcW w:w="342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firstLine="420" w:firstLineChars="200"/>
                    <w:rPr>
                      <w:color w:val="000000"/>
                      <w:kern w:val="0"/>
                      <w:szCs w:val="21"/>
                    </w:rPr>
                  </w:pPr>
                  <w:r>
                    <w:rPr>
                      <w:rFonts w:hAnsi="宋体"/>
                      <w:color w:val="000000"/>
                      <w:kern w:val="0"/>
                      <w:szCs w:val="21"/>
                    </w:rPr>
                    <w:t>（</w:t>
                  </w:r>
                  <w:r>
                    <w:rPr>
                      <w:color w:val="000000"/>
                      <w:kern w:val="0"/>
                      <w:szCs w:val="21"/>
                    </w:rPr>
                    <w:t>1</w:t>
                  </w:r>
                  <w:r>
                    <w:rPr>
                      <w:rFonts w:hAnsi="宋体"/>
                      <w:color w:val="000000"/>
                      <w:kern w:val="0"/>
                      <w:szCs w:val="21"/>
                    </w:rPr>
                    <w:t>）严格实施污染物总量控制制度，根据区域环境质量改善目标，采取有效措施减少主要污染物排放总量，确保区域环境质量持续改善。</w:t>
                  </w:r>
                </w:p>
                <w:p>
                  <w:pPr>
                    <w:keepNext w:val="0"/>
                    <w:keepLines w:val="0"/>
                    <w:suppressLineNumbers w:val="0"/>
                    <w:spacing w:before="0" w:beforeAutospacing="0" w:after="0" w:afterAutospacing="0"/>
                    <w:ind w:left="0" w:right="0" w:firstLine="420" w:firstLineChars="200"/>
                    <w:rPr>
                      <w:szCs w:val="21"/>
                    </w:rPr>
                  </w:pPr>
                  <w:r>
                    <w:rPr>
                      <w:rFonts w:hAnsi="宋体"/>
                      <w:color w:val="000000"/>
                      <w:kern w:val="0"/>
                      <w:szCs w:val="21"/>
                    </w:rPr>
                    <w:t>（</w:t>
                  </w:r>
                  <w:r>
                    <w:rPr>
                      <w:color w:val="000000"/>
                      <w:kern w:val="0"/>
                      <w:szCs w:val="21"/>
                    </w:rPr>
                    <w:t>2</w:t>
                  </w:r>
                  <w:r>
                    <w:rPr>
                      <w:rFonts w:hAnsi="宋体"/>
                      <w:color w:val="000000"/>
                      <w:kern w:val="0"/>
                      <w:szCs w:val="21"/>
                    </w:rPr>
                    <w:t>）园区污染物排放总量不得突破环评报告及批复的总量。</w:t>
                  </w:r>
                </w:p>
              </w:tc>
              <w:tc>
                <w:tcPr>
                  <w:tcW w:w="1118" w:type="pct"/>
                  <w:tcBorders>
                    <w:top w:val="single" w:color="auto" w:sz="4" w:space="0"/>
                    <w:left w:val="single" w:color="auto" w:sz="4" w:space="0"/>
                    <w:bottom w:val="single" w:color="auto" w:sz="4" w:space="0"/>
                    <w:right w:val="nil"/>
                  </w:tcBorders>
                  <w:vAlign w:val="center"/>
                </w:tcPr>
                <w:p>
                  <w:pPr>
                    <w:keepNext w:val="0"/>
                    <w:keepLines w:val="0"/>
                    <w:suppressLineNumbers w:val="0"/>
                    <w:spacing w:before="0" w:beforeAutospacing="0" w:after="0" w:afterAutospacing="0"/>
                    <w:ind w:left="0" w:right="0" w:firstLine="420" w:firstLineChars="200"/>
                    <w:rPr>
                      <w:szCs w:val="21"/>
                    </w:rPr>
                  </w:pPr>
                  <w:r>
                    <w:t>实行总量控制制度，废水进入</w:t>
                  </w:r>
                  <w:r>
                    <w:rPr>
                      <w:rFonts w:hint="eastAsia"/>
                    </w:rPr>
                    <w:t>武南</w:t>
                  </w:r>
                  <w:r>
                    <w:t>污水处理厂，废气在武进区实行区域平衡</w:t>
                  </w:r>
                  <w:r>
                    <w:rPr>
                      <w:rFonts w:hint="eastAsi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4" w:type="pct"/>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szCs w:val="21"/>
                    </w:rPr>
                  </w:pPr>
                  <w:r>
                    <w:t>环境风险防控</w:t>
                  </w:r>
                </w:p>
              </w:tc>
              <w:tc>
                <w:tcPr>
                  <w:tcW w:w="342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firstLine="420" w:firstLineChars="200"/>
                    <w:rPr>
                      <w:color w:val="000000"/>
                      <w:kern w:val="0"/>
                      <w:szCs w:val="21"/>
                    </w:rPr>
                  </w:pPr>
                  <w:r>
                    <w:rPr>
                      <w:rFonts w:hAnsi="宋体"/>
                      <w:color w:val="000000"/>
                      <w:kern w:val="0"/>
                      <w:szCs w:val="21"/>
                    </w:rPr>
                    <w:t>（</w:t>
                  </w:r>
                  <w:r>
                    <w:rPr>
                      <w:color w:val="000000"/>
                      <w:kern w:val="0"/>
                      <w:szCs w:val="21"/>
                    </w:rPr>
                    <w:t>1</w:t>
                  </w:r>
                  <w:r>
                    <w:rPr>
                      <w:rFonts w:hAnsi="宋体"/>
                      <w:color w:val="000000"/>
                      <w:kern w:val="0"/>
                      <w:szCs w:val="21"/>
                    </w:rPr>
                    <w:t>）园区建立环境应急体系，完善事故应急救援体系，加强应急物资装备储备，编制突发环境事件应急预案，定期开展演练。</w:t>
                  </w:r>
                </w:p>
                <w:p>
                  <w:pPr>
                    <w:keepNext w:val="0"/>
                    <w:keepLines w:val="0"/>
                    <w:suppressLineNumbers w:val="0"/>
                    <w:spacing w:before="0" w:beforeAutospacing="0" w:after="0" w:afterAutospacing="0"/>
                    <w:ind w:left="0" w:right="0" w:firstLine="420" w:firstLineChars="200"/>
                    <w:rPr>
                      <w:color w:val="000000"/>
                      <w:kern w:val="0"/>
                      <w:szCs w:val="21"/>
                    </w:rPr>
                  </w:pPr>
                  <w:r>
                    <w:rPr>
                      <w:rFonts w:hAnsi="宋体"/>
                      <w:color w:val="000000"/>
                      <w:kern w:val="0"/>
                      <w:szCs w:val="21"/>
                    </w:rPr>
                    <w:t>（</w:t>
                  </w:r>
                  <w:r>
                    <w:rPr>
                      <w:color w:val="000000"/>
                      <w:kern w:val="0"/>
                      <w:szCs w:val="21"/>
                    </w:rPr>
                    <w:t>2</w:t>
                  </w:r>
                  <w:r>
                    <w:rPr>
                      <w:rFonts w:hAnsi="宋体"/>
                      <w:color w:val="000000"/>
                      <w:kern w:val="0"/>
                      <w:szCs w:val="21"/>
                    </w:rPr>
                    <w:t>）生产、使用、储存危险化学品或其他存在环境风险的企事业单位，应当制定风险防范措施，编制完善突发环境事件应急预案，防止发生环境污染事故。</w:t>
                  </w:r>
                </w:p>
                <w:p>
                  <w:pPr>
                    <w:keepNext w:val="0"/>
                    <w:keepLines w:val="0"/>
                    <w:suppressLineNumbers w:val="0"/>
                    <w:spacing w:before="0" w:beforeAutospacing="0" w:after="0" w:afterAutospacing="0"/>
                    <w:ind w:left="0" w:right="0" w:firstLine="420" w:firstLineChars="200"/>
                    <w:rPr>
                      <w:szCs w:val="21"/>
                    </w:rPr>
                  </w:pPr>
                  <w:r>
                    <w:rPr>
                      <w:rFonts w:hAnsi="宋体"/>
                      <w:color w:val="000000"/>
                      <w:kern w:val="0"/>
                      <w:szCs w:val="21"/>
                    </w:rPr>
                    <w:t>（</w:t>
                  </w:r>
                  <w:r>
                    <w:rPr>
                      <w:color w:val="000000"/>
                      <w:kern w:val="0"/>
                      <w:szCs w:val="21"/>
                    </w:rPr>
                    <w:t>3</w:t>
                  </w:r>
                  <w:r>
                    <w:rPr>
                      <w:rFonts w:hAnsi="宋体"/>
                      <w:color w:val="000000"/>
                      <w:kern w:val="0"/>
                      <w:szCs w:val="21"/>
                    </w:rPr>
                    <w:t>）加强环境影响跟踪监测，建立健全各环境要素监控体系，完善并落实园区日常环境监测与污染源监控计划。</w:t>
                  </w:r>
                </w:p>
              </w:tc>
              <w:tc>
                <w:tcPr>
                  <w:tcW w:w="1118" w:type="pct"/>
                  <w:tcBorders>
                    <w:top w:val="single" w:color="auto" w:sz="4" w:space="0"/>
                    <w:left w:val="single" w:color="auto" w:sz="4" w:space="0"/>
                    <w:bottom w:val="single" w:color="auto" w:sz="4" w:space="0"/>
                    <w:right w:val="nil"/>
                  </w:tcBorders>
                  <w:vAlign w:val="center"/>
                </w:tcPr>
                <w:p>
                  <w:pPr>
                    <w:keepNext w:val="0"/>
                    <w:keepLines w:val="0"/>
                    <w:suppressLineNumbers w:val="0"/>
                    <w:spacing w:before="0" w:beforeAutospacing="0" w:after="0" w:afterAutospacing="0"/>
                    <w:ind w:left="0" w:right="0" w:firstLine="420" w:firstLineChars="200"/>
                    <w:rPr>
                      <w:szCs w:val="21"/>
                    </w:rPr>
                  </w:pPr>
                  <w:r>
                    <w:t>园区已建立完善的环境应急体系</w:t>
                  </w:r>
                  <w:r>
                    <w:rPr>
                      <w:rFonts w:hint="eastAsia"/>
                    </w:rPr>
                    <w:t>和</w:t>
                  </w:r>
                  <w:r>
                    <w:t>监测计划</w:t>
                  </w:r>
                  <w:r>
                    <w:rPr>
                      <w:rFonts w:hint="eastAsia"/>
                    </w:rPr>
                    <w:t>；本项目不涉及危险化学品的生产和使用。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4" w:type="pct"/>
                  <w:tcBorders>
                    <w:top w:val="single" w:color="auto" w:sz="4" w:space="0"/>
                    <w:left w:val="nil"/>
                    <w:bottom w:val="single" w:color="auto" w:sz="12" w:space="0"/>
                    <w:right w:val="single" w:color="auto" w:sz="4" w:space="0"/>
                  </w:tcBorders>
                  <w:vAlign w:val="center"/>
                </w:tcPr>
                <w:p>
                  <w:pPr>
                    <w:keepNext w:val="0"/>
                    <w:keepLines w:val="0"/>
                    <w:suppressLineNumbers w:val="0"/>
                    <w:spacing w:before="0" w:beforeAutospacing="0" w:after="0" w:afterAutospacing="0"/>
                    <w:ind w:left="0" w:right="0"/>
                    <w:jc w:val="center"/>
                    <w:rPr>
                      <w:szCs w:val="21"/>
                    </w:rPr>
                  </w:pPr>
                  <w:r>
                    <w:t>资源利用效率要求</w:t>
                  </w:r>
                </w:p>
              </w:tc>
              <w:tc>
                <w:tcPr>
                  <w:tcW w:w="3428" w:type="pct"/>
                  <w:tcBorders>
                    <w:top w:val="single" w:color="auto" w:sz="4" w:space="0"/>
                    <w:left w:val="single" w:color="auto" w:sz="4" w:space="0"/>
                    <w:bottom w:val="single" w:color="auto" w:sz="12" w:space="0"/>
                    <w:right w:val="single" w:color="auto" w:sz="4" w:space="0"/>
                  </w:tcBorders>
                  <w:vAlign w:val="center"/>
                </w:tcPr>
                <w:p>
                  <w:pPr>
                    <w:keepNext w:val="0"/>
                    <w:keepLines w:val="0"/>
                    <w:suppressLineNumbers w:val="0"/>
                    <w:spacing w:before="0" w:beforeAutospacing="0" w:after="0" w:afterAutospacing="0"/>
                    <w:ind w:left="0" w:right="0" w:firstLine="420" w:firstLineChars="200"/>
                    <w:rPr>
                      <w:color w:val="000000"/>
                      <w:kern w:val="0"/>
                      <w:szCs w:val="21"/>
                    </w:rPr>
                  </w:pPr>
                  <w:r>
                    <w:rPr>
                      <w:rFonts w:hAnsi="宋体"/>
                      <w:color w:val="000000"/>
                      <w:kern w:val="0"/>
                      <w:szCs w:val="21"/>
                    </w:rPr>
                    <w:t>（</w:t>
                  </w:r>
                  <w:r>
                    <w:rPr>
                      <w:color w:val="000000"/>
                      <w:kern w:val="0"/>
                      <w:szCs w:val="21"/>
                    </w:rPr>
                    <w:t>1</w:t>
                  </w:r>
                  <w:r>
                    <w:rPr>
                      <w:rFonts w:hAnsi="宋体"/>
                      <w:color w:val="000000"/>
                      <w:kern w:val="0"/>
                      <w:szCs w:val="21"/>
                    </w:rPr>
                    <w:t>）大力倡导使用清洁能源。</w:t>
                  </w:r>
                </w:p>
                <w:p>
                  <w:pPr>
                    <w:keepNext w:val="0"/>
                    <w:keepLines w:val="0"/>
                    <w:suppressLineNumbers w:val="0"/>
                    <w:spacing w:before="0" w:beforeAutospacing="0" w:after="0" w:afterAutospacing="0"/>
                    <w:ind w:left="0" w:right="0" w:firstLine="420" w:firstLineChars="200"/>
                    <w:rPr>
                      <w:color w:val="000000"/>
                      <w:kern w:val="0"/>
                      <w:szCs w:val="21"/>
                    </w:rPr>
                  </w:pPr>
                  <w:r>
                    <w:rPr>
                      <w:rFonts w:hAnsi="宋体"/>
                      <w:color w:val="000000"/>
                      <w:kern w:val="0"/>
                      <w:szCs w:val="21"/>
                    </w:rPr>
                    <w:t>（</w:t>
                  </w:r>
                  <w:r>
                    <w:rPr>
                      <w:color w:val="000000"/>
                      <w:kern w:val="0"/>
                      <w:szCs w:val="21"/>
                    </w:rPr>
                    <w:t>2</w:t>
                  </w:r>
                  <w:r>
                    <w:rPr>
                      <w:rFonts w:hAnsi="宋体"/>
                      <w:color w:val="000000"/>
                      <w:kern w:val="0"/>
                      <w:szCs w:val="21"/>
                    </w:rPr>
                    <w:t>）提升废水资源化技术，提高水资源回用率。</w:t>
                  </w:r>
                </w:p>
                <w:p>
                  <w:pPr>
                    <w:keepNext w:val="0"/>
                    <w:keepLines w:val="0"/>
                    <w:suppressLineNumbers w:val="0"/>
                    <w:spacing w:before="0" w:beforeAutospacing="0" w:after="0" w:afterAutospacing="0"/>
                    <w:ind w:left="0" w:right="0" w:firstLine="420" w:firstLineChars="200"/>
                    <w:rPr>
                      <w:szCs w:val="21"/>
                    </w:rPr>
                  </w:pPr>
                  <w:r>
                    <w:rPr>
                      <w:rFonts w:hAnsi="宋体"/>
                      <w:color w:val="000000"/>
                      <w:kern w:val="0"/>
                      <w:szCs w:val="21"/>
                    </w:rPr>
                    <w:t>（</w:t>
                  </w:r>
                  <w:r>
                    <w:rPr>
                      <w:color w:val="000000"/>
                      <w:kern w:val="0"/>
                      <w:szCs w:val="21"/>
                    </w:rPr>
                    <w:t>3</w:t>
                  </w:r>
                  <w:r>
                    <w:rPr>
                      <w:rFonts w:hAnsi="宋体"/>
                      <w:color w:val="000000"/>
                      <w:kern w:val="0"/>
                      <w:szCs w:val="21"/>
                    </w:rPr>
                    <w:t>）禁止销售使用燃料为</w:t>
                  </w:r>
                  <w:r>
                    <w:rPr>
                      <w:color w:val="000000"/>
                      <w:kern w:val="0"/>
                      <w:szCs w:val="21"/>
                    </w:rPr>
                    <w:t>“III</w:t>
                  </w:r>
                  <w:r>
                    <w:rPr>
                      <w:rFonts w:hAnsi="宋体"/>
                      <w:color w:val="000000"/>
                      <w:kern w:val="0"/>
                      <w:szCs w:val="21"/>
                    </w:rPr>
                    <w:t>类</w:t>
                  </w:r>
                  <w:r>
                    <w:rPr>
                      <w:color w:val="000000"/>
                      <w:kern w:val="0"/>
                      <w:szCs w:val="21"/>
                    </w:rPr>
                    <w:t>”</w:t>
                  </w:r>
                  <w:r>
                    <w:rPr>
                      <w:rFonts w:hAnsi="宋体"/>
                      <w:color w:val="000000"/>
                      <w:kern w:val="0"/>
                      <w:szCs w:val="21"/>
                    </w:rPr>
                    <w:t>（严格），具体包括：</w:t>
                  </w:r>
                  <w:r>
                    <w:rPr>
                      <w:color w:val="000000"/>
                      <w:kern w:val="0"/>
                      <w:szCs w:val="21"/>
                    </w:rPr>
                    <w:t>1</w:t>
                  </w:r>
                  <w:r>
                    <w:rPr>
                      <w:rFonts w:hAnsi="宋体"/>
                      <w:color w:val="000000"/>
                      <w:kern w:val="0"/>
                      <w:szCs w:val="21"/>
                    </w:rPr>
                    <w:t>、煤炭及其制品（包括原煤、散煤、煤矸石、煤泥、煤粉、水煤浆、型煤、焦炭、兰炭等）；</w:t>
                  </w:r>
                  <w:r>
                    <w:rPr>
                      <w:color w:val="000000"/>
                      <w:kern w:val="0"/>
                      <w:szCs w:val="21"/>
                    </w:rPr>
                    <w:t>2</w:t>
                  </w:r>
                  <w:r>
                    <w:rPr>
                      <w:rFonts w:hAnsi="宋体"/>
                      <w:color w:val="000000"/>
                      <w:kern w:val="0"/>
                      <w:szCs w:val="21"/>
                    </w:rPr>
                    <w:t>、石油焦、油页岩、原油、重油、渣油、煤焦油；</w:t>
                  </w:r>
                  <w:r>
                    <w:rPr>
                      <w:color w:val="000000"/>
                      <w:kern w:val="0"/>
                      <w:szCs w:val="21"/>
                    </w:rPr>
                    <w:t>3</w:t>
                  </w:r>
                  <w:r>
                    <w:rPr>
                      <w:rFonts w:hAnsi="宋体"/>
                      <w:color w:val="000000"/>
                      <w:kern w:val="0"/>
                      <w:szCs w:val="21"/>
                    </w:rPr>
                    <w:t>、非专用锅炉或未配置高效除尘设施的专用锅炉燃用的生物质成型燃料；</w:t>
                  </w:r>
                  <w:r>
                    <w:rPr>
                      <w:color w:val="000000"/>
                      <w:kern w:val="0"/>
                      <w:szCs w:val="21"/>
                    </w:rPr>
                    <w:t>4</w:t>
                  </w:r>
                  <w:r>
                    <w:rPr>
                      <w:rFonts w:hAnsi="宋体"/>
                      <w:color w:val="000000"/>
                      <w:kern w:val="0"/>
                      <w:szCs w:val="21"/>
                    </w:rPr>
                    <w:t>、国家规定的其它高污染燃料。</w:t>
                  </w:r>
                </w:p>
              </w:tc>
              <w:tc>
                <w:tcPr>
                  <w:tcW w:w="1118" w:type="pct"/>
                  <w:tcBorders>
                    <w:top w:val="single" w:color="auto" w:sz="4" w:space="0"/>
                    <w:left w:val="single" w:color="auto" w:sz="4" w:space="0"/>
                    <w:bottom w:val="single" w:color="auto" w:sz="12" w:space="0"/>
                    <w:right w:val="nil"/>
                  </w:tcBorders>
                  <w:vAlign w:val="center"/>
                </w:tcPr>
                <w:p>
                  <w:pPr>
                    <w:keepNext w:val="0"/>
                    <w:keepLines w:val="0"/>
                    <w:suppressLineNumbers w:val="0"/>
                    <w:spacing w:before="0" w:beforeAutospacing="0" w:after="0" w:afterAutospacing="0"/>
                    <w:ind w:left="0" w:right="0" w:firstLine="420" w:firstLineChars="200"/>
                    <w:rPr>
                      <w:szCs w:val="21"/>
                    </w:rPr>
                  </w:pPr>
                  <w:r>
                    <w:t>本项目</w:t>
                  </w:r>
                  <w:r>
                    <w:rPr>
                      <w:rFonts w:hint="eastAsia"/>
                    </w:rPr>
                    <w:t>使用</w:t>
                  </w:r>
                  <w:r>
                    <w:t>水、电</w:t>
                  </w:r>
                  <w:r>
                    <w:rPr>
                      <w:rFonts w:hint="eastAsia"/>
                    </w:rPr>
                    <w:t>资源</w:t>
                  </w:r>
                  <w:r>
                    <w:t>，</w:t>
                  </w:r>
                  <w:r>
                    <w:rPr>
                      <w:rFonts w:hint="eastAsia"/>
                    </w:rPr>
                    <w:t>不属于</w:t>
                  </w:r>
                  <w:r>
                    <w:rPr>
                      <w:rFonts w:hint="eastAsia"/>
                      <w:kern w:val="0"/>
                    </w:rPr>
                    <w:t>III类燃料</w:t>
                  </w:r>
                  <w:r>
                    <w:t>。</w:t>
                  </w:r>
                </w:p>
              </w:tc>
            </w:tr>
          </w:tbl>
          <w:p>
            <w:pPr>
              <w:keepNext w:val="0"/>
              <w:keepLines w:val="0"/>
              <w:suppressLineNumbers w:val="0"/>
              <w:spacing w:before="0" w:beforeAutospacing="0" w:after="0" w:afterAutospacing="0" w:line="360" w:lineRule="auto"/>
              <w:ind w:left="0" w:right="0" w:firstLine="480" w:firstLineChars="200"/>
              <w:rPr>
                <w:sz w:val="24"/>
              </w:rPr>
            </w:pPr>
            <w:r>
              <w:rPr>
                <w:rFonts w:hint="eastAsia"/>
                <w:sz w:val="24"/>
              </w:rPr>
              <w:t>综上，本项目与《常州市“三线一单”生态环境分区管控实施方案》（常环[2020]95号）的要求相符。</w:t>
            </w:r>
          </w:p>
          <w:p>
            <w:pPr>
              <w:keepNext w:val="0"/>
              <w:keepLines w:val="0"/>
              <w:suppressLineNumbers w:val="0"/>
              <w:autoSpaceDE w:val="0"/>
              <w:autoSpaceDN w:val="0"/>
              <w:adjustRightInd w:val="0"/>
              <w:snapToGrid w:val="0"/>
              <w:spacing w:before="0" w:beforeAutospacing="0" w:after="0" w:afterAutospacing="0" w:line="360" w:lineRule="auto"/>
              <w:ind w:left="0" w:right="0" w:firstLine="482" w:firstLineChars="200"/>
              <w:rPr>
                <w:b/>
                <w:bCs/>
                <w:sz w:val="24"/>
              </w:rPr>
            </w:pPr>
            <w:r>
              <w:rPr>
                <w:b/>
                <w:bCs/>
                <w:sz w:val="24"/>
              </w:rPr>
              <w:t>2、产业政策相符性分析</w:t>
            </w:r>
          </w:p>
          <w:p>
            <w:pPr>
              <w:keepNext w:val="0"/>
              <w:keepLines w:val="0"/>
              <w:suppressLineNumbers w:val="0"/>
              <w:spacing w:before="0" w:beforeAutospacing="0" w:after="0" w:afterAutospacing="0"/>
              <w:ind w:left="0" w:right="0"/>
              <w:jc w:val="center"/>
            </w:pPr>
            <w:r>
              <w:rPr>
                <w:b/>
                <w:sz w:val="24"/>
              </w:rPr>
              <w:t>表1-</w:t>
            </w:r>
            <w:r>
              <w:rPr>
                <w:rFonts w:hint="eastAsia"/>
                <w:b/>
                <w:sz w:val="24"/>
              </w:rPr>
              <w:t>5</w:t>
            </w:r>
            <w:r>
              <w:rPr>
                <w:b/>
                <w:sz w:val="24"/>
              </w:rPr>
              <w:t xml:space="preserve"> 产业政策相符性分析</w:t>
            </w:r>
          </w:p>
          <w:tbl>
            <w:tblPr>
              <w:tblStyle w:val="21"/>
              <w:tblW w:w="8159"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00"/>
              <w:gridCol w:w="4937"/>
              <w:gridCol w:w="242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800" w:type="dxa"/>
                  <w:vAlign w:val="center"/>
                </w:tcPr>
                <w:p>
                  <w:pPr>
                    <w:keepNext w:val="0"/>
                    <w:keepLines w:val="0"/>
                    <w:suppressLineNumbers w:val="0"/>
                    <w:spacing w:before="0" w:beforeAutospacing="0" w:after="0" w:afterAutospacing="0"/>
                    <w:ind w:left="0" w:right="0"/>
                    <w:jc w:val="center"/>
                    <w:rPr>
                      <w:b/>
                      <w:bCs/>
                      <w:szCs w:val="21"/>
                    </w:rPr>
                  </w:pPr>
                  <w:r>
                    <w:rPr>
                      <w:b/>
                      <w:bCs/>
                      <w:szCs w:val="21"/>
                    </w:rPr>
                    <w:t>序号</w:t>
                  </w:r>
                </w:p>
              </w:tc>
              <w:tc>
                <w:tcPr>
                  <w:tcW w:w="4937" w:type="dxa"/>
                  <w:vAlign w:val="center"/>
                </w:tcPr>
                <w:p>
                  <w:pPr>
                    <w:keepNext w:val="0"/>
                    <w:keepLines w:val="0"/>
                    <w:suppressLineNumbers w:val="0"/>
                    <w:spacing w:before="0" w:beforeAutospacing="0" w:after="0" w:afterAutospacing="0"/>
                    <w:ind w:left="0" w:right="0"/>
                    <w:jc w:val="center"/>
                    <w:rPr>
                      <w:b/>
                      <w:bCs/>
                      <w:szCs w:val="21"/>
                    </w:rPr>
                  </w:pPr>
                  <w:r>
                    <w:rPr>
                      <w:b/>
                      <w:bCs/>
                      <w:szCs w:val="21"/>
                    </w:rPr>
                    <w:t>对照分析</w:t>
                  </w:r>
                </w:p>
              </w:tc>
              <w:tc>
                <w:tcPr>
                  <w:tcW w:w="2422" w:type="dxa"/>
                  <w:vAlign w:val="center"/>
                </w:tcPr>
                <w:p>
                  <w:pPr>
                    <w:keepNext w:val="0"/>
                    <w:keepLines w:val="0"/>
                    <w:suppressLineNumbers w:val="0"/>
                    <w:spacing w:before="0" w:beforeAutospacing="0" w:after="0" w:afterAutospacing="0"/>
                    <w:ind w:left="0" w:right="0"/>
                    <w:jc w:val="center"/>
                    <w:rPr>
                      <w:b/>
                      <w:bCs/>
                      <w:szCs w:val="21"/>
                    </w:rPr>
                  </w:pPr>
                  <w:r>
                    <w:rPr>
                      <w:b/>
                      <w:bCs/>
                      <w:szCs w:val="21"/>
                    </w:rPr>
                    <w:t>是否满足要求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800" w:type="dxa"/>
                  <w:vAlign w:val="center"/>
                </w:tcPr>
                <w:p>
                  <w:pPr>
                    <w:keepNext w:val="0"/>
                    <w:keepLines w:val="0"/>
                    <w:suppressLineNumbers w:val="0"/>
                    <w:spacing w:before="0" w:beforeAutospacing="0" w:after="0" w:afterAutospacing="0"/>
                    <w:ind w:left="0" w:right="0"/>
                    <w:jc w:val="center"/>
                    <w:rPr>
                      <w:szCs w:val="21"/>
                    </w:rPr>
                  </w:pPr>
                  <w:r>
                    <w:rPr>
                      <w:szCs w:val="21"/>
                    </w:rPr>
                    <w:t>1</w:t>
                  </w:r>
                </w:p>
              </w:tc>
              <w:tc>
                <w:tcPr>
                  <w:tcW w:w="4937"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《产业结构调整指导目录（20</w:t>
                  </w:r>
                  <w:r>
                    <w:rPr>
                      <w:rFonts w:hint="eastAsia"/>
                      <w:szCs w:val="21"/>
                    </w:rPr>
                    <w:t>21</w:t>
                  </w:r>
                  <w:r>
                    <w:rPr>
                      <w:szCs w:val="21"/>
                    </w:rPr>
                    <w:t>年本）》</w:t>
                  </w:r>
                </w:p>
              </w:tc>
              <w:tc>
                <w:tcPr>
                  <w:tcW w:w="2422"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800" w:type="dxa"/>
                  <w:vAlign w:val="center"/>
                </w:tcPr>
                <w:p>
                  <w:pPr>
                    <w:keepNext w:val="0"/>
                    <w:keepLines w:val="0"/>
                    <w:suppressLineNumbers w:val="0"/>
                    <w:spacing w:before="0" w:beforeAutospacing="0" w:after="0" w:afterAutospacing="0"/>
                    <w:ind w:left="0" w:right="0"/>
                    <w:jc w:val="center"/>
                    <w:rPr>
                      <w:szCs w:val="21"/>
                    </w:rPr>
                  </w:pPr>
                  <w:r>
                    <w:rPr>
                      <w:szCs w:val="21"/>
                    </w:rPr>
                    <w:t>2</w:t>
                  </w:r>
                </w:p>
              </w:tc>
              <w:tc>
                <w:tcPr>
                  <w:tcW w:w="4937"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《江苏省产业结构调整限制、淘汰和禁止目录（2018年本）》</w:t>
                  </w:r>
                </w:p>
              </w:tc>
              <w:tc>
                <w:tcPr>
                  <w:tcW w:w="2422"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13" w:hRule="atLeast"/>
              </w:trPr>
              <w:tc>
                <w:tcPr>
                  <w:tcW w:w="800" w:type="dxa"/>
                  <w:vAlign w:val="center"/>
                </w:tcPr>
                <w:p>
                  <w:pPr>
                    <w:keepNext w:val="0"/>
                    <w:keepLines w:val="0"/>
                    <w:suppressLineNumbers w:val="0"/>
                    <w:spacing w:before="0" w:beforeAutospacing="0" w:after="0" w:afterAutospacing="0"/>
                    <w:ind w:left="0" w:right="0"/>
                    <w:jc w:val="center"/>
                    <w:rPr>
                      <w:szCs w:val="21"/>
                    </w:rPr>
                  </w:pPr>
                  <w:r>
                    <w:rPr>
                      <w:szCs w:val="21"/>
                    </w:rPr>
                    <w:t>3</w:t>
                  </w:r>
                </w:p>
              </w:tc>
              <w:tc>
                <w:tcPr>
                  <w:tcW w:w="4937"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《江苏省工业和信息产业结构调整指导目录（2012年本）》、《关于修改江苏省工业和信息产业结构调整指导目录（2012年本）部分条目的通知》</w:t>
                  </w:r>
                </w:p>
              </w:tc>
              <w:tc>
                <w:tcPr>
                  <w:tcW w:w="2422"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800" w:type="dxa"/>
                  <w:vAlign w:val="center"/>
                </w:tcPr>
                <w:p>
                  <w:pPr>
                    <w:keepNext w:val="0"/>
                    <w:keepLines w:val="0"/>
                    <w:suppressLineNumbers w:val="0"/>
                    <w:spacing w:before="0" w:beforeAutospacing="0" w:after="0" w:afterAutospacing="0"/>
                    <w:ind w:left="0" w:right="0"/>
                    <w:jc w:val="center"/>
                    <w:rPr>
                      <w:szCs w:val="21"/>
                    </w:rPr>
                  </w:pPr>
                  <w:r>
                    <w:rPr>
                      <w:szCs w:val="21"/>
                    </w:rPr>
                    <w:t>4</w:t>
                  </w:r>
                </w:p>
              </w:tc>
              <w:tc>
                <w:tcPr>
                  <w:tcW w:w="4937"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《江苏省工业和信息产业结构调整限制淘汰目录和能耗限额》（2015年本）</w:t>
                  </w:r>
                </w:p>
              </w:tc>
              <w:tc>
                <w:tcPr>
                  <w:tcW w:w="2422"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42" w:hRule="atLeast"/>
              </w:trPr>
              <w:tc>
                <w:tcPr>
                  <w:tcW w:w="800" w:type="dxa"/>
                  <w:vAlign w:val="center"/>
                </w:tcPr>
                <w:p>
                  <w:pPr>
                    <w:keepNext w:val="0"/>
                    <w:keepLines w:val="0"/>
                    <w:suppressLineNumbers w:val="0"/>
                    <w:spacing w:before="0" w:beforeAutospacing="0" w:after="0" w:afterAutospacing="0"/>
                    <w:ind w:left="0" w:right="0"/>
                    <w:jc w:val="center"/>
                    <w:rPr>
                      <w:szCs w:val="21"/>
                    </w:rPr>
                  </w:pPr>
                  <w:r>
                    <w:rPr>
                      <w:szCs w:val="21"/>
                    </w:rPr>
                    <w:t>5</w:t>
                  </w:r>
                </w:p>
              </w:tc>
              <w:tc>
                <w:tcPr>
                  <w:tcW w:w="4937"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于2022年</w:t>
                  </w:r>
                  <w:r>
                    <w:rPr>
                      <w:rFonts w:hint="eastAsia"/>
                      <w:szCs w:val="21"/>
                    </w:rPr>
                    <w:t>3</w:t>
                  </w:r>
                  <w:r>
                    <w:rPr>
                      <w:szCs w:val="21"/>
                    </w:rPr>
                    <w:t>月</w:t>
                  </w:r>
                  <w:r>
                    <w:rPr>
                      <w:rFonts w:hint="eastAsia"/>
                      <w:szCs w:val="21"/>
                    </w:rPr>
                    <w:t>4</w:t>
                  </w:r>
                  <w:r>
                    <w:rPr>
                      <w:szCs w:val="21"/>
                    </w:rPr>
                    <w:t>日取得了常州市武进区行政审批局的项目备案证明</w:t>
                  </w:r>
                  <w:r>
                    <w:rPr>
                      <w:rFonts w:hint="eastAsia"/>
                      <w:szCs w:val="21"/>
                    </w:rPr>
                    <w:t>，</w:t>
                  </w:r>
                  <w:r>
                    <w:rPr>
                      <w:szCs w:val="21"/>
                    </w:rPr>
                    <w:t>备案证号：武行审备【2022】</w:t>
                  </w:r>
                  <w:r>
                    <w:rPr>
                      <w:rFonts w:hint="eastAsia"/>
                      <w:szCs w:val="21"/>
                    </w:rPr>
                    <w:t>57</w:t>
                  </w:r>
                  <w:r>
                    <w:rPr>
                      <w:szCs w:val="21"/>
                    </w:rPr>
                    <w:t>号</w:t>
                  </w:r>
                  <w:r>
                    <w:rPr>
                      <w:rFonts w:hint="eastAsia"/>
                      <w:szCs w:val="21"/>
                    </w:rPr>
                    <w:t>，</w:t>
                  </w:r>
                  <w:r>
                    <w:rPr>
                      <w:szCs w:val="21"/>
                    </w:rPr>
                    <w:t>项目代码：220</w:t>
                  </w:r>
                  <w:r>
                    <w:rPr>
                      <w:rFonts w:hint="eastAsia"/>
                      <w:szCs w:val="21"/>
                    </w:rPr>
                    <w:t>3</w:t>
                  </w:r>
                  <w:r>
                    <w:rPr>
                      <w:szCs w:val="21"/>
                    </w:rPr>
                    <w:t>-320412-89-0</w:t>
                  </w:r>
                  <w:r>
                    <w:rPr>
                      <w:rFonts w:hint="eastAsia"/>
                      <w:szCs w:val="21"/>
                    </w:rPr>
                    <w:t>1</w:t>
                  </w:r>
                  <w:r>
                    <w:rPr>
                      <w:szCs w:val="21"/>
                    </w:rPr>
                    <w:t>-</w:t>
                  </w:r>
                  <w:r>
                    <w:rPr>
                      <w:rFonts w:hint="eastAsia"/>
                      <w:szCs w:val="21"/>
                    </w:rPr>
                    <w:t>219787</w:t>
                  </w:r>
                </w:p>
              </w:tc>
              <w:tc>
                <w:tcPr>
                  <w:tcW w:w="2422"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是</w:t>
                  </w:r>
                </w:p>
              </w:tc>
            </w:tr>
          </w:tbl>
          <w:p>
            <w:pPr>
              <w:keepNext w:val="0"/>
              <w:keepLines w:val="0"/>
              <w:widowControl/>
              <w:suppressLineNumbers w:val="0"/>
              <w:adjustRightInd w:val="0"/>
              <w:snapToGrid w:val="0"/>
              <w:spacing w:before="0" w:beforeAutospacing="0" w:after="0" w:afterAutospacing="0" w:line="360" w:lineRule="auto"/>
              <w:ind w:left="0" w:right="0" w:firstLine="482" w:firstLineChars="200"/>
              <w:rPr>
                <w:b/>
                <w:bCs/>
                <w:sz w:val="24"/>
              </w:rPr>
            </w:pPr>
            <w:r>
              <w:rPr>
                <w:rFonts w:hint="eastAsia"/>
                <w:b/>
                <w:bCs/>
                <w:sz w:val="24"/>
              </w:rPr>
              <w:t>3</w:t>
            </w:r>
            <w:r>
              <w:rPr>
                <w:rFonts w:hAnsi="宋体"/>
                <w:b/>
                <w:bCs/>
                <w:sz w:val="24"/>
              </w:rPr>
              <w:t>、</w:t>
            </w:r>
            <w:r>
              <w:rPr>
                <w:rFonts w:hint="eastAsia"/>
                <w:b/>
                <w:bCs/>
                <w:sz w:val="24"/>
              </w:rPr>
              <w:t>与</w:t>
            </w:r>
            <w:r>
              <w:rPr>
                <w:rFonts w:ascii="宋体" w:hAnsi="宋体" w:cs="宋体"/>
                <w:b/>
                <w:bCs/>
                <w:sz w:val="24"/>
              </w:rPr>
              <w:t>太湖流域环境政策</w:t>
            </w:r>
            <w:r>
              <w:rPr>
                <w:rFonts w:hint="eastAsia" w:ascii="宋体" w:hAnsi="宋体" w:cs="宋体"/>
                <w:b/>
                <w:bCs/>
                <w:sz w:val="24"/>
              </w:rPr>
              <w:t>相符性分析</w:t>
            </w:r>
          </w:p>
          <w:p>
            <w:pPr>
              <w:keepNext w:val="0"/>
              <w:keepLines w:val="0"/>
              <w:widowControl/>
              <w:suppressLineNumbers w:val="0"/>
              <w:adjustRightInd w:val="0"/>
              <w:snapToGrid w:val="0"/>
              <w:spacing w:before="0" w:beforeAutospacing="0" w:after="0" w:afterAutospacing="0" w:line="360" w:lineRule="auto"/>
              <w:ind w:left="0" w:right="0" w:firstLine="482" w:firstLineChars="200"/>
              <w:rPr>
                <w:b/>
                <w:sz w:val="24"/>
              </w:rPr>
            </w:pPr>
            <w:r>
              <w:rPr>
                <w:rFonts w:hint="eastAsia"/>
                <w:b/>
                <w:sz w:val="24"/>
              </w:rPr>
              <w:t>（1）与《太湖流域管理条例</w:t>
            </w:r>
            <w:r>
              <w:rPr>
                <w:b/>
                <w:sz w:val="24"/>
              </w:rPr>
              <w:t>》</w:t>
            </w:r>
            <w:r>
              <w:rPr>
                <w:rFonts w:hint="eastAsia"/>
                <w:b/>
                <w:sz w:val="24"/>
                <w:lang w:eastAsia="zh-CN"/>
              </w:rPr>
              <w:t>（</w:t>
            </w:r>
            <w:r>
              <w:rPr>
                <w:b/>
                <w:sz w:val="24"/>
              </w:rPr>
              <w:t>国务院令第604号</w:t>
            </w:r>
            <w:r>
              <w:rPr>
                <w:rFonts w:hint="eastAsia"/>
                <w:b/>
                <w:sz w:val="24"/>
                <w:lang w:eastAsia="zh-CN"/>
              </w:rPr>
              <w:t>）</w:t>
            </w:r>
            <w:r>
              <w:rPr>
                <w:b/>
                <w:sz w:val="24"/>
              </w:rPr>
              <w:t>相符性分析</w:t>
            </w:r>
          </w:p>
          <w:p>
            <w:pPr>
              <w:pStyle w:val="2"/>
              <w:keepNext w:val="0"/>
              <w:keepLines w:val="0"/>
              <w:suppressLineNumbers w:val="0"/>
              <w:spacing w:before="0" w:beforeAutospacing="0" w:after="0" w:afterAutospacing="0"/>
              <w:ind w:left="0" w:leftChars="0" w:right="0" w:rightChars="0"/>
              <w:jc w:val="center"/>
              <w:rPr>
                <w:b/>
                <w:bCs/>
                <w:sz w:val="24"/>
              </w:rPr>
            </w:pPr>
            <w:r>
              <w:rPr>
                <w:rFonts w:ascii="Times New Roman"/>
                <w:b/>
                <w:bCs/>
                <w:sz w:val="24"/>
              </w:rPr>
              <w:t>表</w:t>
            </w:r>
            <w:r>
              <w:rPr>
                <w:rFonts w:ascii="Times New Roman" w:hAnsi="Times New Roman"/>
                <w:b/>
                <w:bCs/>
                <w:sz w:val="24"/>
              </w:rPr>
              <w:t xml:space="preserve">1-6 </w:t>
            </w:r>
            <w:r>
              <w:rPr>
                <w:rFonts w:ascii="Times New Roman"/>
                <w:b/>
                <w:bCs/>
                <w:sz w:val="24"/>
              </w:rPr>
              <w:t>与《</w:t>
            </w:r>
            <w:r>
              <w:rPr>
                <w:rFonts w:hint="eastAsia"/>
                <w:b/>
                <w:bCs/>
                <w:sz w:val="24"/>
              </w:rPr>
              <w:t>太湖流域管理条例》的相符性分析</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733"/>
              <w:gridCol w:w="156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9" w:type="pct"/>
                  <w:vAlign w:val="center"/>
                </w:tcPr>
                <w:p>
                  <w:pPr>
                    <w:keepNext w:val="0"/>
                    <w:keepLines w:val="0"/>
                    <w:suppressLineNumbers w:val="0"/>
                    <w:spacing w:before="0" w:beforeAutospacing="0" w:after="0" w:afterAutospacing="0"/>
                    <w:ind w:left="0" w:right="0"/>
                    <w:jc w:val="center"/>
                    <w:rPr>
                      <w:b/>
                    </w:rPr>
                  </w:pPr>
                  <w:r>
                    <w:rPr>
                      <w:rFonts w:hint="eastAsia"/>
                      <w:b/>
                    </w:rPr>
                    <w:t>要求</w:t>
                  </w:r>
                </w:p>
              </w:tc>
              <w:tc>
                <w:tcPr>
                  <w:tcW w:w="941" w:type="pct"/>
                  <w:vAlign w:val="center"/>
                </w:tcPr>
                <w:p>
                  <w:pPr>
                    <w:keepNext w:val="0"/>
                    <w:keepLines w:val="0"/>
                    <w:suppressLineNumbers w:val="0"/>
                    <w:spacing w:before="0" w:beforeAutospacing="0" w:after="0" w:afterAutospacing="0"/>
                    <w:ind w:left="0" w:right="0"/>
                    <w:jc w:val="center"/>
                    <w:rPr>
                      <w:b/>
                    </w:rPr>
                  </w:pPr>
                  <w:r>
                    <w:rPr>
                      <w:rFonts w:hint="eastAsia"/>
                      <w:b/>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59" w:type="pct"/>
                  <w:tcBorders>
                    <w:bottom w:val="single" w:color="auto" w:sz="2" w:space="0"/>
                  </w:tcBorders>
                  <w:vAlign w:val="center"/>
                </w:tcPr>
                <w:p>
                  <w:pPr>
                    <w:keepNext w:val="0"/>
                    <w:keepLines w:val="0"/>
                    <w:suppressLineNumbers w:val="0"/>
                    <w:spacing w:before="0" w:beforeAutospacing="0" w:after="0" w:afterAutospacing="0"/>
                    <w:ind w:left="0" w:right="0" w:firstLine="420" w:firstLineChars="200"/>
                  </w:pPr>
                  <w:r>
                    <w:rPr>
                      <w:rFonts w:hint="eastAsia"/>
                    </w:rPr>
                    <w:t>第二十八条：禁止在太湖流域设置不符合国家产业政策和水环境综合治理要求的造纸、制革、酒精、淀粉、冶金、酿造、印染、电镀等排放水污染物的生产项目；</w:t>
                  </w:r>
                </w:p>
              </w:tc>
              <w:tc>
                <w:tcPr>
                  <w:tcW w:w="941" w:type="pct"/>
                  <w:tcBorders>
                    <w:bottom w:val="single" w:color="auto" w:sz="2" w:space="0"/>
                  </w:tcBorders>
                  <w:vAlign w:val="center"/>
                </w:tcPr>
                <w:p>
                  <w:pPr>
                    <w:keepNext w:val="0"/>
                    <w:keepLines w:val="0"/>
                    <w:suppressLineNumbers w:val="0"/>
                    <w:spacing w:before="0" w:beforeAutospacing="0" w:after="0" w:afterAutospacing="0"/>
                    <w:ind w:left="0" w:right="0" w:firstLine="420" w:firstLineChars="200"/>
                  </w:pPr>
                  <w:r>
                    <w:rPr>
                      <w:rFonts w:hint="eastAsia"/>
                    </w:rPr>
                    <w:t>本项目为</w:t>
                  </w:r>
                  <w:r>
                    <w:rPr>
                      <w:szCs w:val="21"/>
                    </w:rPr>
                    <w:t>C3819</w:t>
                  </w:r>
                  <w:r>
                    <w:rPr>
                      <w:rFonts w:hAnsi="宋体"/>
                      <w:szCs w:val="21"/>
                    </w:rPr>
                    <w:t>其他电机制造</w:t>
                  </w:r>
                  <w:r>
                    <w:rPr>
                      <w:rFonts w:hint="eastAsia"/>
                    </w:rPr>
                    <w:t>，不属于禁止类项目。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43" w:hRule="atLeast"/>
                <w:jc w:val="center"/>
              </w:trPr>
              <w:tc>
                <w:tcPr>
                  <w:tcW w:w="4059" w:type="pct"/>
                  <w:tcBorders>
                    <w:top w:val="single" w:color="auto" w:sz="2" w:space="0"/>
                    <w:bottom w:val="single" w:color="auto" w:sz="2" w:space="0"/>
                  </w:tcBorders>
                  <w:vAlign w:val="center"/>
                </w:tcPr>
                <w:p>
                  <w:pPr>
                    <w:keepNext w:val="0"/>
                    <w:keepLines w:val="0"/>
                    <w:suppressLineNumbers w:val="0"/>
                    <w:spacing w:before="0" w:beforeAutospacing="0" w:after="0" w:afterAutospacing="0"/>
                    <w:ind w:left="0" w:right="0" w:firstLine="420" w:firstLineChars="200"/>
                  </w:pPr>
                  <w:r>
                    <w:rPr>
                      <w:rFonts w:hint="eastAsia"/>
                    </w:rPr>
                    <w:t>第二十九条：新孟河、望虞河以外的其他主要入太湖河道，自河口1万米上溯至5万米河道岸线内及其岸线两侧各1000米范围内，禁止下列行为：</w:t>
                  </w:r>
                </w:p>
                <w:p>
                  <w:pPr>
                    <w:keepNext w:val="0"/>
                    <w:keepLines w:val="0"/>
                    <w:suppressLineNumbers w:val="0"/>
                    <w:spacing w:before="0" w:beforeAutospacing="0" w:after="0" w:afterAutospacing="0"/>
                    <w:ind w:left="0" w:right="0" w:firstLine="420" w:firstLineChars="200"/>
                  </w:pPr>
                  <w:r>
                    <w:rPr>
                      <w:rFonts w:hint="eastAsia"/>
                    </w:rPr>
                    <w:t>（一）新建、扩建化工、医药生产项目；</w:t>
                  </w:r>
                </w:p>
                <w:p>
                  <w:pPr>
                    <w:keepNext w:val="0"/>
                    <w:keepLines w:val="0"/>
                    <w:suppressLineNumbers w:val="0"/>
                    <w:spacing w:before="0" w:beforeAutospacing="0" w:after="0" w:afterAutospacing="0"/>
                    <w:ind w:left="0" w:right="0" w:firstLine="420" w:firstLineChars="200"/>
                  </w:pPr>
                  <w:r>
                    <w:rPr>
                      <w:rFonts w:hint="eastAsia"/>
                    </w:rPr>
                    <w:t>（二）新建、扩建污水集中处理设施排污口以外的排污口；</w:t>
                  </w:r>
                </w:p>
                <w:p>
                  <w:pPr>
                    <w:keepNext w:val="0"/>
                    <w:keepLines w:val="0"/>
                    <w:suppressLineNumbers w:val="0"/>
                    <w:spacing w:before="0" w:beforeAutospacing="0" w:after="0" w:afterAutospacing="0"/>
                    <w:ind w:left="0" w:right="0" w:firstLine="420" w:firstLineChars="200"/>
                  </w:pPr>
                  <w:r>
                    <w:rPr>
                      <w:rFonts w:hint="eastAsia"/>
                    </w:rPr>
                    <w:t>（三）扩大水产养殖规模。</w:t>
                  </w:r>
                </w:p>
              </w:tc>
              <w:tc>
                <w:tcPr>
                  <w:tcW w:w="941" w:type="pct"/>
                  <w:tcBorders>
                    <w:top w:val="single" w:color="auto" w:sz="2" w:space="0"/>
                    <w:bottom w:val="single" w:color="auto" w:sz="2" w:space="0"/>
                  </w:tcBorders>
                  <w:vAlign w:val="center"/>
                </w:tcPr>
                <w:p>
                  <w:pPr>
                    <w:keepNext w:val="0"/>
                    <w:keepLines w:val="0"/>
                    <w:suppressLineNumbers w:val="0"/>
                    <w:spacing w:before="0" w:beforeAutospacing="0" w:after="0" w:afterAutospacing="0"/>
                    <w:ind w:left="0" w:right="0" w:firstLine="420" w:firstLineChars="200"/>
                  </w:pPr>
                  <w:r>
                    <w:rPr>
                      <w:rFonts w:hint="eastAsia"/>
                    </w:rPr>
                    <w:t>本项目周边不涉及入太湖河道。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29" w:hRule="atLeast"/>
                <w:jc w:val="center"/>
              </w:trPr>
              <w:tc>
                <w:tcPr>
                  <w:tcW w:w="4059" w:type="pct"/>
                  <w:tcBorders>
                    <w:top w:val="single" w:color="auto" w:sz="2" w:space="0"/>
                  </w:tcBorders>
                  <w:vAlign w:val="center"/>
                </w:tcPr>
                <w:p>
                  <w:pPr>
                    <w:keepNext w:val="0"/>
                    <w:keepLines w:val="0"/>
                    <w:suppressLineNumbers w:val="0"/>
                    <w:spacing w:before="0" w:beforeAutospacing="0" w:after="0" w:afterAutospacing="0"/>
                    <w:ind w:left="0" w:right="0" w:firstLine="420" w:firstLineChars="200"/>
                  </w:pPr>
                  <w:r>
                    <w:rPr>
                      <w:rFonts w:hint="eastAsia"/>
                    </w:rPr>
                    <w:t>第三十条：太湖岸线内和岸线周边5000米范围内，淀山湖岸线内和岸线周边2000米范围内，太浦河、新孟河、望虞河岸线内和岸线两侧各1000米范围内，其他主要入太湖河道自河口上溯至1万米河道岸线内及其岸线两侧各1000米范围内，禁止下列行为：（一）设置剧毒物质、危险化学品的贮存、输送设施和废物回收场、垃圾场；（二）设置水上餐饮经营设施；（三）新建、扩建高尔夫球场；（四）新建、扩建畜禽养殖场；（五）新建、扩建向水体排放污染物的建设项目；（六）本条例第二十九条规定的行为。已经设置前款第一项、第二项规定设施的，当地县级人民政府应当责令拆除或者关闭的项目。</w:t>
                  </w:r>
                </w:p>
              </w:tc>
              <w:tc>
                <w:tcPr>
                  <w:tcW w:w="941" w:type="pct"/>
                  <w:tcBorders>
                    <w:top w:val="single" w:color="auto" w:sz="2" w:space="0"/>
                  </w:tcBorders>
                  <w:vAlign w:val="center"/>
                </w:tcPr>
                <w:p>
                  <w:pPr>
                    <w:keepNext w:val="0"/>
                    <w:keepLines w:val="0"/>
                    <w:suppressLineNumbers w:val="0"/>
                    <w:spacing w:before="0" w:beforeAutospacing="0" w:after="0" w:afterAutospacing="0"/>
                    <w:ind w:left="0" w:right="0" w:firstLine="420" w:firstLineChars="200"/>
                  </w:pPr>
                  <w:r>
                    <w:rPr>
                      <w:rFonts w:hint="eastAsia"/>
                    </w:rPr>
                    <w:t>本项目不属于上述区域内。</w:t>
                  </w:r>
                </w:p>
              </w:tc>
            </w:tr>
          </w:tbl>
          <w:p>
            <w:pPr>
              <w:keepNext w:val="0"/>
              <w:keepLines w:val="0"/>
              <w:suppressLineNumbers w:val="0"/>
              <w:spacing w:before="0" w:beforeAutospacing="0" w:after="0" w:afterAutospacing="0" w:line="360" w:lineRule="auto"/>
              <w:ind w:left="0" w:right="0" w:firstLine="480" w:firstLineChars="200"/>
              <w:rPr>
                <w:sz w:val="24"/>
              </w:rPr>
            </w:pPr>
            <w:r>
              <w:rPr>
                <w:rFonts w:hint="eastAsia"/>
                <w:sz w:val="24"/>
              </w:rPr>
              <w:t>综上，本项目与《太湖流域管理条例</w:t>
            </w:r>
            <w:r>
              <w:rPr>
                <w:sz w:val="24"/>
              </w:rPr>
              <w:t>》</w:t>
            </w:r>
            <w:r>
              <w:rPr>
                <w:rFonts w:hint="eastAsia"/>
                <w:sz w:val="24"/>
                <w:lang w:eastAsia="zh-CN"/>
              </w:rPr>
              <w:t>（</w:t>
            </w:r>
            <w:r>
              <w:rPr>
                <w:sz w:val="24"/>
              </w:rPr>
              <w:t>国务院令第604号</w:t>
            </w:r>
            <w:r>
              <w:rPr>
                <w:rFonts w:hint="eastAsia"/>
                <w:sz w:val="24"/>
                <w:lang w:eastAsia="zh-CN"/>
              </w:rPr>
              <w:t>）</w:t>
            </w:r>
            <w:r>
              <w:rPr>
                <w:rFonts w:hint="eastAsia"/>
                <w:sz w:val="24"/>
              </w:rPr>
              <w:t>的要求相符。</w:t>
            </w:r>
          </w:p>
          <w:p>
            <w:pPr>
              <w:keepNext w:val="0"/>
              <w:keepLines w:val="0"/>
              <w:suppressLineNumbers w:val="0"/>
              <w:autoSpaceDE w:val="0"/>
              <w:autoSpaceDN w:val="0"/>
              <w:adjustRightInd w:val="0"/>
              <w:snapToGrid w:val="0"/>
              <w:spacing w:before="0" w:beforeAutospacing="0" w:after="0" w:afterAutospacing="0" w:line="360" w:lineRule="auto"/>
              <w:ind w:left="0" w:right="0" w:firstLine="482" w:firstLineChars="200"/>
              <w:jc w:val="left"/>
              <w:rPr>
                <w:b/>
                <w:sz w:val="24"/>
              </w:rPr>
            </w:pPr>
            <w:r>
              <w:rPr>
                <w:rFonts w:hint="eastAsia"/>
                <w:b/>
                <w:sz w:val="24"/>
              </w:rPr>
              <w:t>（2）与</w:t>
            </w:r>
            <w:r>
              <w:rPr>
                <w:rFonts w:hint="eastAsia"/>
                <w:b/>
                <w:sz w:val="24"/>
                <w:highlight w:val="none"/>
              </w:rPr>
              <w:t>《江苏省太湖水污染防治条例》（20</w:t>
            </w:r>
            <w:r>
              <w:rPr>
                <w:rFonts w:hint="eastAsia"/>
                <w:b/>
                <w:sz w:val="24"/>
                <w:highlight w:val="none"/>
                <w:lang w:val="en-US" w:eastAsia="zh-CN"/>
              </w:rPr>
              <w:t>21</w:t>
            </w:r>
            <w:r>
              <w:rPr>
                <w:rFonts w:hint="eastAsia"/>
                <w:b/>
                <w:sz w:val="24"/>
                <w:highlight w:val="none"/>
              </w:rPr>
              <w:t>年</w:t>
            </w:r>
            <w:r>
              <w:rPr>
                <w:rFonts w:hint="eastAsia"/>
                <w:b/>
                <w:sz w:val="24"/>
                <w:highlight w:val="none"/>
                <w:lang w:eastAsia="zh-CN"/>
              </w:rPr>
              <w:t>修订</w:t>
            </w:r>
            <w:r>
              <w:rPr>
                <w:rFonts w:hint="eastAsia"/>
                <w:b/>
                <w:sz w:val="24"/>
                <w:highlight w:val="none"/>
              </w:rPr>
              <w:t>）</w:t>
            </w:r>
            <w:r>
              <w:rPr>
                <w:rFonts w:hint="eastAsia"/>
                <w:b/>
                <w:sz w:val="24"/>
              </w:rPr>
              <w:t>相符性分析</w:t>
            </w:r>
          </w:p>
          <w:p>
            <w:pPr>
              <w:pStyle w:val="2"/>
              <w:keepNext w:val="0"/>
              <w:keepLines w:val="0"/>
              <w:suppressLineNumbers w:val="0"/>
              <w:spacing w:before="0" w:beforeAutospacing="0" w:after="0" w:afterAutospacing="0"/>
              <w:ind w:left="0" w:leftChars="0" w:right="0" w:rightChars="0"/>
              <w:jc w:val="center"/>
              <w:rPr>
                <w:b/>
                <w:bCs/>
                <w:sz w:val="24"/>
              </w:rPr>
            </w:pPr>
            <w:r>
              <w:rPr>
                <w:rFonts w:ascii="Times New Roman"/>
                <w:b/>
                <w:bCs/>
                <w:sz w:val="24"/>
              </w:rPr>
              <w:t>表</w:t>
            </w:r>
            <w:r>
              <w:rPr>
                <w:rFonts w:ascii="Times New Roman" w:hAnsi="Times New Roman"/>
                <w:b/>
                <w:bCs/>
                <w:sz w:val="24"/>
              </w:rPr>
              <w:t>1-</w:t>
            </w:r>
            <w:r>
              <w:rPr>
                <w:rFonts w:hint="eastAsia" w:ascii="Times New Roman" w:hAnsi="Times New Roman"/>
                <w:b/>
                <w:bCs/>
                <w:sz w:val="24"/>
              </w:rPr>
              <w:t>7</w:t>
            </w:r>
            <w:r>
              <w:rPr>
                <w:rFonts w:ascii="Times New Roman" w:hAnsi="Times New Roman"/>
                <w:b/>
                <w:bCs/>
                <w:sz w:val="24"/>
              </w:rPr>
              <w:t xml:space="preserve"> </w:t>
            </w:r>
            <w:r>
              <w:rPr>
                <w:rFonts w:ascii="Times New Roman"/>
                <w:b/>
                <w:bCs/>
                <w:sz w:val="24"/>
              </w:rPr>
              <w:t>与《江苏省太湖水污染</w:t>
            </w:r>
            <w:r>
              <w:rPr>
                <w:rFonts w:hint="eastAsia"/>
                <w:b/>
                <w:bCs/>
                <w:sz w:val="24"/>
              </w:rPr>
              <w:t>防治条例》的相符性分析</w:t>
            </w:r>
          </w:p>
          <w:tbl>
            <w:tblPr>
              <w:tblStyle w:val="21"/>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733"/>
              <w:gridCol w:w="156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59" w:type="pct"/>
                  <w:vAlign w:val="center"/>
                </w:tcPr>
                <w:p>
                  <w:pPr>
                    <w:keepNext w:val="0"/>
                    <w:keepLines w:val="0"/>
                    <w:suppressLineNumbers w:val="0"/>
                    <w:spacing w:before="0" w:beforeAutospacing="0" w:after="0" w:afterAutospacing="0"/>
                    <w:ind w:left="0" w:right="0"/>
                    <w:jc w:val="center"/>
                    <w:rPr>
                      <w:b/>
                    </w:rPr>
                  </w:pPr>
                  <w:r>
                    <w:rPr>
                      <w:rFonts w:hint="eastAsia"/>
                      <w:b/>
                    </w:rPr>
                    <w:t>要求</w:t>
                  </w:r>
                </w:p>
              </w:tc>
              <w:tc>
                <w:tcPr>
                  <w:tcW w:w="941" w:type="pct"/>
                  <w:vAlign w:val="center"/>
                </w:tcPr>
                <w:p>
                  <w:pPr>
                    <w:keepNext w:val="0"/>
                    <w:keepLines w:val="0"/>
                    <w:suppressLineNumbers w:val="0"/>
                    <w:spacing w:before="0" w:beforeAutospacing="0" w:after="0" w:afterAutospacing="0"/>
                    <w:ind w:left="0" w:right="0"/>
                    <w:jc w:val="center"/>
                    <w:rPr>
                      <w:b/>
                    </w:rPr>
                  </w:pPr>
                  <w:r>
                    <w:rPr>
                      <w:rFonts w:hint="eastAsia"/>
                      <w:b/>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4059" w:type="pct"/>
                  <w:vAlign w:val="center"/>
                </w:tcPr>
                <w:p>
                  <w:pPr>
                    <w:keepNext w:val="0"/>
                    <w:keepLines w:val="0"/>
                    <w:suppressLineNumbers w:val="0"/>
                    <w:spacing w:before="0" w:beforeAutospacing="0" w:after="0" w:afterAutospacing="0"/>
                    <w:ind w:left="0" w:right="0" w:firstLine="420" w:firstLineChars="200"/>
                  </w:pPr>
                  <w:r>
                    <w:rPr>
                      <w:rFonts w:hint="eastAsia"/>
                    </w:rPr>
                    <w:t>根据《江苏省太湖水污染防治条例》（2018年修订）：第四十三条：太湖流域一、二、三级保护区禁止下列行为：</w:t>
                  </w:r>
                </w:p>
                <w:p>
                  <w:pPr>
                    <w:keepNext w:val="0"/>
                    <w:keepLines w:val="0"/>
                    <w:suppressLineNumbers w:val="0"/>
                    <w:spacing w:before="0" w:beforeAutospacing="0" w:after="0" w:afterAutospacing="0"/>
                    <w:ind w:left="0" w:right="0" w:firstLine="420" w:firstLineChars="200"/>
                  </w:pPr>
                  <w:r>
                    <w:rPr>
                      <w:rFonts w:hint="eastAsia"/>
                    </w:rPr>
                    <w:t>（一）新建、改建、扩建化学制浆造纸、制革、酿造、染料、印染、电镀以及其他排放含磷、氮等污染物的企业和项目，城镇污水集中处理等环境基础设施项目和第四十六条规定的情形除外；</w:t>
                  </w:r>
                </w:p>
                <w:p>
                  <w:pPr>
                    <w:keepNext w:val="0"/>
                    <w:keepLines w:val="0"/>
                    <w:suppressLineNumbers w:val="0"/>
                    <w:spacing w:before="0" w:beforeAutospacing="0" w:after="0" w:afterAutospacing="0"/>
                    <w:ind w:left="0" w:right="0" w:firstLine="420" w:firstLineChars="200"/>
                  </w:pPr>
                  <w:r>
                    <w:rPr>
                      <w:rFonts w:hint="eastAsia"/>
                    </w:rPr>
                    <w:t>（二）销售、使用含磷洗涤用品；</w:t>
                  </w:r>
                </w:p>
                <w:p>
                  <w:pPr>
                    <w:keepNext w:val="0"/>
                    <w:keepLines w:val="0"/>
                    <w:suppressLineNumbers w:val="0"/>
                    <w:spacing w:before="0" w:beforeAutospacing="0" w:after="0" w:afterAutospacing="0"/>
                    <w:ind w:left="0" w:right="0" w:firstLine="420" w:firstLineChars="200"/>
                  </w:pPr>
                  <w:r>
                    <w:rPr>
                      <w:rFonts w:hint="eastAsia"/>
                    </w:rPr>
                    <w:t>（三）向水体排放或者倾倒油类、酸液、碱液、剧毒废渣废液、含放射性废渣废液、含病原体污水、工业废渣以及其他废弃物；</w:t>
                  </w:r>
                </w:p>
                <w:p>
                  <w:pPr>
                    <w:keepNext w:val="0"/>
                    <w:keepLines w:val="0"/>
                    <w:suppressLineNumbers w:val="0"/>
                    <w:spacing w:before="0" w:beforeAutospacing="0" w:after="0" w:afterAutospacing="0"/>
                    <w:ind w:left="0" w:right="0" w:firstLine="420" w:firstLineChars="200"/>
                  </w:pPr>
                  <w:r>
                    <w:rPr>
                      <w:rFonts w:hint="eastAsia"/>
                    </w:rPr>
                    <w:t>（四）在水体清洗装贮过油类或者有毒有害污染物的车辆、船舶和容器等；</w:t>
                  </w:r>
                </w:p>
                <w:p>
                  <w:pPr>
                    <w:keepNext w:val="0"/>
                    <w:keepLines w:val="0"/>
                    <w:suppressLineNumbers w:val="0"/>
                    <w:spacing w:before="0" w:beforeAutospacing="0" w:after="0" w:afterAutospacing="0"/>
                    <w:ind w:left="0" w:right="0" w:firstLine="420" w:firstLineChars="200"/>
                  </w:pPr>
                  <w:r>
                    <w:rPr>
                      <w:rFonts w:hint="eastAsia"/>
                    </w:rPr>
                    <w:t>（五）使用农药等有毒物毒杀水生生物；</w:t>
                  </w:r>
                </w:p>
                <w:p>
                  <w:pPr>
                    <w:keepNext w:val="0"/>
                    <w:keepLines w:val="0"/>
                    <w:suppressLineNumbers w:val="0"/>
                    <w:spacing w:before="0" w:beforeAutospacing="0" w:after="0" w:afterAutospacing="0"/>
                    <w:ind w:left="0" w:right="0" w:firstLine="420" w:firstLineChars="200"/>
                  </w:pPr>
                  <w:r>
                    <w:rPr>
                      <w:rFonts w:hint="eastAsia"/>
                    </w:rPr>
                    <w:t>（六）向水体直接排放人畜粪便、倾倒垃圾；</w:t>
                  </w:r>
                </w:p>
                <w:p>
                  <w:pPr>
                    <w:keepNext w:val="0"/>
                    <w:keepLines w:val="0"/>
                    <w:suppressLineNumbers w:val="0"/>
                    <w:spacing w:before="0" w:beforeAutospacing="0" w:after="0" w:afterAutospacing="0"/>
                    <w:ind w:left="0" w:right="0" w:firstLine="420" w:firstLineChars="200"/>
                  </w:pPr>
                  <w:r>
                    <w:rPr>
                      <w:rFonts w:hint="eastAsia"/>
                    </w:rPr>
                    <w:t>（七）围湖造地；</w:t>
                  </w:r>
                </w:p>
                <w:p>
                  <w:pPr>
                    <w:keepNext w:val="0"/>
                    <w:keepLines w:val="0"/>
                    <w:suppressLineNumbers w:val="0"/>
                    <w:spacing w:before="0" w:beforeAutospacing="0" w:after="0" w:afterAutospacing="0"/>
                    <w:ind w:left="0" w:right="0" w:firstLine="420" w:firstLineChars="200"/>
                  </w:pPr>
                  <w:r>
                    <w:rPr>
                      <w:rFonts w:hint="eastAsia"/>
                    </w:rPr>
                    <w:t>（八）违法开山采石，或者进行破坏林木、植被、水生生物的活动；</w:t>
                  </w:r>
                </w:p>
                <w:p>
                  <w:pPr>
                    <w:keepNext w:val="0"/>
                    <w:keepLines w:val="0"/>
                    <w:suppressLineNumbers w:val="0"/>
                    <w:spacing w:before="0" w:beforeAutospacing="0" w:after="0" w:afterAutospacing="0"/>
                    <w:ind w:left="0" w:right="0" w:firstLine="420" w:firstLineChars="200"/>
                  </w:pPr>
                  <w:r>
                    <w:rPr>
                      <w:rFonts w:hint="eastAsia"/>
                    </w:rPr>
                    <w:t>（九）法律、法规禁止的其他行为。</w:t>
                  </w:r>
                </w:p>
              </w:tc>
              <w:tc>
                <w:tcPr>
                  <w:tcW w:w="941" w:type="pct"/>
                  <w:vAlign w:val="center"/>
                </w:tcPr>
                <w:p>
                  <w:pPr>
                    <w:keepNext w:val="0"/>
                    <w:keepLines w:val="0"/>
                    <w:suppressLineNumbers w:val="0"/>
                    <w:spacing w:before="0" w:beforeAutospacing="0" w:after="0" w:afterAutospacing="0"/>
                    <w:ind w:left="0" w:right="0" w:firstLine="420" w:firstLineChars="200"/>
                  </w:pPr>
                  <w:r>
                    <w:rPr>
                      <w:rFonts w:hint="eastAsia"/>
                    </w:rPr>
                    <w:t>本项目为</w:t>
                  </w:r>
                  <w:r>
                    <w:rPr>
                      <w:szCs w:val="21"/>
                    </w:rPr>
                    <w:t>C3819</w:t>
                  </w:r>
                  <w:r>
                    <w:rPr>
                      <w:rFonts w:hAnsi="宋体"/>
                      <w:szCs w:val="21"/>
                    </w:rPr>
                    <w:t>其他电机制造</w:t>
                  </w:r>
                  <w:r>
                    <w:rPr>
                      <w:rFonts w:hint="eastAsia"/>
                    </w:rPr>
                    <w:t>，生产过程中无含磷、氮生产废水排放，不属于禁止类项目。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4059" w:type="pct"/>
                  <w:vAlign w:val="center"/>
                </w:tcPr>
                <w:p>
                  <w:pPr>
                    <w:keepNext w:val="0"/>
                    <w:keepLines w:val="0"/>
                    <w:suppressLineNumbers w:val="0"/>
                    <w:spacing w:before="0" w:beforeAutospacing="0" w:after="0" w:afterAutospacing="0"/>
                    <w:ind w:left="0" w:right="0" w:firstLine="420" w:firstLineChars="200"/>
                  </w:pPr>
                  <w:r>
                    <w:rPr>
                      <w:rFonts w:hint="eastAsia"/>
                    </w:rPr>
                    <w:t>第四十六条：太湖流域二、三级保护区内，在工业集聚区新建、改建、扩建排放含磷、氮等污染物的战略性新兴产业项目和改建印染项目，以及排放含磷、氮等污染物的现有企业在不增加产能的前提下实施提升环保标准的技术改造项目，应当符合国家产业政策和水环境综合治理要求，在实现国家和省减排目标的基础上，实施区域磷、氮等重点水污染物年排放总量减量替代。其中，战略性新兴产业新建、扩建项目新增的磷、氮等重点水污染物排放总量应当从本区域通过产业置换、淘汰、关闭等方式获得的指标中取得，且按照不低于该项目新增年排放总量的1.1倍实施减量替代；战略性新兴产业改建项目应当实现项目磷、氮等重点水污染物年排放总量减少，印染改建项目应当按照不低于该项目磷、氮等重点水污染物年排放总量指标的二倍实行减量替代；提升环保标准的技术改造项目的磷、氮等重点水污染物年排放总量减少幅度应当不低于该项目原年排放总量的百分之二十。前述减少的磷、氮等重点水污染物年排放总量指标不得用于其他项目。具体减量替代办法由省人民政府根据经济社会发展水平和区域水环境质量改善情况制定。</w:t>
                  </w:r>
                </w:p>
              </w:tc>
              <w:tc>
                <w:tcPr>
                  <w:tcW w:w="941" w:type="pct"/>
                  <w:vAlign w:val="center"/>
                </w:tcPr>
                <w:p>
                  <w:pPr>
                    <w:keepNext w:val="0"/>
                    <w:keepLines w:val="0"/>
                    <w:suppressLineNumbers w:val="0"/>
                    <w:spacing w:before="0" w:beforeAutospacing="0" w:after="0" w:afterAutospacing="0"/>
                    <w:ind w:left="0" w:right="0" w:firstLine="420" w:firstLineChars="200"/>
                  </w:pPr>
                  <w:r>
                    <w:rPr>
                      <w:szCs w:val="21"/>
                    </w:rPr>
                    <w:t>本项目位于江苏省常州市武进区洛阳镇新科西路21号</w:t>
                  </w:r>
                  <w:r>
                    <w:rPr>
                      <w:rFonts w:hint="eastAsia"/>
                      <w:szCs w:val="21"/>
                    </w:rPr>
                    <w:t>，属于太湖流域三级保护区，</w:t>
                  </w:r>
                  <w:r>
                    <w:rPr>
                      <w:rFonts w:hint="eastAsia"/>
                    </w:rPr>
                    <w:t>生产过程中无含磷、氮生产废水排放，</w:t>
                  </w:r>
                  <w:r>
                    <w:rPr>
                      <w:rFonts w:hint="eastAsia"/>
                      <w:szCs w:val="21"/>
                    </w:rPr>
                    <w:t>食堂废水经隔油池处理后与</w:t>
                  </w:r>
                  <w:r>
                    <w:rPr>
                      <w:szCs w:val="21"/>
                    </w:rPr>
                    <w:t>生活污水</w:t>
                  </w:r>
                  <w:r>
                    <w:rPr>
                      <w:rFonts w:hint="eastAsia"/>
                    </w:rPr>
                    <w:t>接管至武南污水处理厂。</w:t>
                  </w:r>
                </w:p>
              </w:tc>
            </w:tr>
          </w:tbl>
          <w:p>
            <w:pPr>
              <w:keepNext w:val="0"/>
              <w:keepLines w:val="0"/>
              <w:suppressLineNumbers w:val="0"/>
              <w:spacing w:before="0" w:beforeAutospacing="0" w:after="0" w:afterAutospacing="0" w:line="360" w:lineRule="auto"/>
              <w:ind w:left="0" w:right="0" w:firstLine="480" w:firstLineChars="200"/>
              <w:rPr>
                <w:sz w:val="24"/>
              </w:rPr>
            </w:pPr>
            <w:r>
              <w:rPr>
                <w:rFonts w:hint="eastAsia"/>
                <w:sz w:val="24"/>
              </w:rPr>
              <w:t>综上，本项目与《江苏省太湖水污染防治条例》（2018年本）的要求相符。</w:t>
            </w:r>
          </w:p>
          <w:p>
            <w:pPr>
              <w:keepNext w:val="0"/>
              <w:keepLines w:val="0"/>
              <w:widowControl/>
              <w:suppressLineNumbers w:val="0"/>
              <w:adjustRightInd w:val="0"/>
              <w:snapToGrid w:val="0"/>
              <w:spacing w:before="0" w:beforeAutospacing="0" w:after="0" w:afterAutospacing="0" w:line="360" w:lineRule="auto"/>
              <w:ind w:left="0" w:right="0"/>
              <w:jc w:val="left"/>
              <w:rPr>
                <w:b/>
                <w:bCs/>
                <w:sz w:val="24"/>
              </w:rPr>
            </w:pPr>
            <w:r>
              <w:rPr>
                <w:b/>
                <w:bCs/>
                <w:sz w:val="24"/>
              </w:rPr>
              <w:t>4、与挥发性有机物污染防治相关文件相符性分析</w:t>
            </w:r>
          </w:p>
          <w:p>
            <w:pPr>
              <w:keepNext w:val="0"/>
              <w:keepLines w:val="0"/>
              <w:widowControl/>
              <w:suppressLineNumbers w:val="0"/>
              <w:adjustRightInd w:val="0"/>
              <w:snapToGrid w:val="0"/>
              <w:spacing w:before="0" w:beforeAutospacing="0" w:after="0" w:afterAutospacing="0" w:line="360" w:lineRule="auto"/>
              <w:ind w:left="0" w:right="0" w:firstLine="482" w:firstLineChars="200"/>
              <w:rPr>
                <w:b/>
                <w:bCs/>
                <w:sz w:val="24"/>
              </w:rPr>
            </w:pPr>
            <w:r>
              <w:rPr>
                <w:b/>
                <w:bCs/>
                <w:sz w:val="24"/>
              </w:rPr>
              <w:t>（1）与</w:t>
            </w:r>
            <w:r>
              <w:rPr>
                <w:rFonts w:eastAsiaTheme="minorEastAsia"/>
                <w:b/>
                <w:bCs/>
                <w:sz w:val="24"/>
              </w:rPr>
              <w:t>《江苏省大气污染防治条例》（2018年修正）相符性分</w:t>
            </w:r>
            <w:r>
              <w:rPr>
                <w:rFonts w:hAnsiTheme="minorEastAsia" w:eastAsiaTheme="minorEastAsia"/>
                <w:b/>
                <w:bCs/>
                <w:sz w:val="24"/>
              </w:rPr>
              <w:t>析</w:t>
            </w:r>
          </w:p>
          <w:p>
            <w:pPr>
              <w:pStyle w:val="2"/>
              <w:keepNext w:val="0"/>
              <w:keepLines w:val="0"/>
              <w:suppressLineNumbers w:val="0"/>
              <w:spacing w:before="0" w:beforeAutospacing="0" w:after="0" w:afterAutospacing="0"/>
              <w:ind w:left="0" w:leftChars="0" w:right="0" w:rightChars="0"/>
              <w:jc w:val="center"/>
              <w:rPr>
                <w:rFonts w:ascii="Times New Roman" w:hAnsi="Times New Roman"/>
                <w:b/>
                <w:bCs/>
                <w:sz w:val="24"/>
                <w:szCs w:val="24"/>
              </w:rPr>
            </w:pPr>
            <w:r>
              <w:rPr>
                <w:rFonts w:ascii="Times New Roman" w:hAnsi="Times New Roman"/>
                <w:b/>
                <w:bCs/>
                <w:sz w:val="24"/>
                <w:szCs w:val="24"/>
              </w:rPr>
              <w:t>表1-</w:t>
            </w:r>
            <w:r>
              <w:rPr>
                <w:rFonts w:hint="eastAsia" w:ascii="Times New Roman" w:hAnsi="Times New Roman"/>
                <w:b/>
                <w:bCs/>
                <w:sz w:val="24"/>
                <w:szCs w:val="24"/>
              </w:rPr>
              <w:t>8</w:t>
            </w:r>
            <w:r>
              <w:rPr>
                <w:rFonts w:ascii="Times New Roman" w:hAnsi="Times New Roman"/>
                <w:b/>
                <w:bCs/>
                <w:sz w:val="24"/>
                <w:szCs w:val="24"/>
              </w:rPr>
              <w:t xml:space="preserve"> 与</w:t>
            </w:r>
            <w:r>
              <w:rPr>
                <w:rFonts w:ascii="Times New Roman" w:hAnsiTheme="minorEastAsia" w:eastAsiaTheme="minorEastAsia"/>
                <w:b/>
                <w:bCs/>
                <w:sz w:val="24"/>
                <w:szCs w:val="24"/>
              </w:rPr>
              <w:t>《江苏省大气污染防治条例》（</w:t>
            </w:r>
            <w:r>
              <w:rPr>
                <w:rFonts w:ascii="Times New Roman" w:hAnsi="Times New Roman" w:eastAsiaTheme="minorEastAsia"/>
                <w:b/>
                <w:bCs/>
                <w:sz w:val="24"/>
                <w:szCs w:val="24"/>
              </w:rPr>
              <w:t>2018</w:t>
            </w:r>
            <w:r>
              <w:rPr>
                <w:rFonts w:ascii="Times New Roman" w:hAnsiTheme="minorEastAsia" w:eastAsiaTheme="minorEastAsia"/>
                <w:b/>
                <w:bCs/>
                <w:sz w:val="24"/>
                <w:szCs w:val="24"/>
              </w:rPr>
              <w:t>年修正）</w:t>
            </w:r>
            <w:r>
              <w:rPr>
                <w:rFonts w:ascii="Times New Roman" w:hAnsi="Times New Roman"/>
                <w:b/>
                <w:bCs/>
                <w:sz w:val="24"/>
                <w:szCs w:val="24"/>
              </w:rPr>
              <w:t>相符性分析</w:t>
            </w:r>
          </w:p>
          <w:tbl>
            <w:tblPr>
              <w:tblStyle w:val="22"/>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666"/>
              <w:gridCol w:w="262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3415" w:type="pct"/>
                  <w:vAlign w:val="center"/>
                </w:tcPr>
                <w:p>
                  <w:pPr>
                    <w:keepNext w:val="0"/>
                    <w:keepLines w:val="0"/>
                    <w:suppressLineNumbers w:val="0"/>
                    <w:spacing w:before="0" w:beforeAutospacing="0" w:after="0" w:afterAutospacing="0"/>
                    <w:ind w:left="0" w:right="0"/>
                    <w:jc w:val="center"/>
                    <w:rPr>
                      <w:b/>
                      <w:szCs w:val="21"/>
                    </w:rPr>
                  </w:pPr>
                  <w:r>
                    <w:rPr>
                      <w:b/>
                      <w:szCs w:val="21"/>
                    </w:rPr>
                    <w:t>要求</w:t>
                  </w:r>
                </w:p>
              </w:tc>
              <w:tc>
                <w:tcPr>
                  <w:tcW w:w="1584" w:type="pct"/>
                  <w:vAlign w:val="center"/>
                </w:tcPr>
                <w:p>
                  <w:pPr>
                    <w:keepNext w:val="0"/>
                    <w:keepLines w:val="0"/>
                    <w:suppressLineNumbers w:val="0"/>
                    <w:spacing w:before="0" w:beforeAutospacing="0" w:after="0" w:afterAutospacing="0"/>
                    <w:ind w:left="0" w:right="0"/>
                    <w:jc w:val="center"/>
                    <w:rPr>
                      <w:b/>
                      <w:szCs w:val="21"/>
                    </w:rPr>
                  </w:pPr>
                  <w:r>
                    <w:rPr>
                      <w:b/>
                      <w:szCs w:val="21"/>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11" w:hRule="atLeast"/>
              </w:trPr>
              <w:tc>
                <w:tcPr>
                  <w:tcW w:w="3415" w:type="pct"/>
                  <w:vAlign w:val="center"/>
                </w:tcPr>
                <w:p>
                  <w:pPr>
                    <w:keepNext w:val="0"/>
                    <w:keepLines w:val="0"/>
                    <w:widowControl/>
                    <w:suppressLineNumbers w:val="0"/>
                    <w:spacing w:before="0" w:beforeAutospacing="0" w:after="0" w:afterAutospacing="0"/>
                    <w:ind w:left="0" w:right="0" w:firstLine="420" w:firstLineChars="200"/>
                    <w:textAlignment w:val="bottom"/>
                    <w:rPr>
                      <w:kern w:val="0"/>
                      <w:szCs w:val="21"/>
                    </w:rPr>
                  </w:pPr>
                  <w:r>
                    <w:rPr>
                      <w:kern w:val="0"/>
                      <w:szCs w:val="21"/>
                    </w:rPr>
                    <w:t>第三十九条  产生挥发性有机物废气的生产经营活动，应当在密闭空间或者设备中进行，并设置废气收集和处理系统等污染防治设施，保持其正常使用；造船等无法在密闭空间进行的生产经营活动，应当采取有效措施，减少挥发性有机物排放量。</w:t>
                  </w:r>
                </w:p>
              </w:tc>
              <w:tc>
                <w:tcPr>
                  <w:tcW w:w="1584" w:type="pct"/>
                  <w:vAlign w:val="center"/>
                </w:tcPr>
                <w:p>
                  <w:pPr>
                    <w:keepNext w:val="0"/>
                    <w:keepLines w:val="0"/>
                    <w:widowControl/>
                    <w:suppressLineNumbers w:val="0"/>
                    <w:spacing w:before="0" w:beforeAutospacing="0" w:after="0" w:afterAutospacing="0"/>
                    <w:ind w:left="0" w:right="0" w:firstLine="420" w:firstLineChars="200"/>
                    <w:textAlignment w:val="bottom"/>
                    <w:rPr>
                      <w:kern w:val="0"/>
                      <w:szCs w:val="21"/>
                    </w:rPr>
                  </w:pPr>
                  <w:r>
                    <w:rPr>
                      <w:kern w:val="0"/>
                      <w:szCs w:val="21"/>
                    </w:rPr>
                    <w:t>本项目注塑成型</w:t>
                  </w:r>
                  <w:r>
                    <w:rPr>
                      <w:rFonts w:hint="eastAsia"/>
                      <w:kern w:val="0"/>
                      <w:szCs w:val="21"/>
                    </w:rPr>
                    <w:t>、固化</w:t>
                  </w:r>
                  <w:r>
                    <w:rPr>
                      <w:kern w:val="0"/>
                      <w:szCs w:val="21"/>
                    </w:rPr>
                    <w:t>工段在注塑机</w:t>
                  </w:r>
                  <w:r>
                    <w:rPr>
                      <w:rFonts w:hint="eastAsia"/>
                      <w:kern w:val="0"/>
                      <w:szCs w:val="21"/>
                    </w:rPr>
                    <w:t>、烘箱</w:t>
                  </w:r>
                  <w:r>
                    <w:rPr>
                      <w:kern w:val="0"/>
                      <w:szCs w:val="21"/>
                    </w:rPr>
                    <w:t>上</w:t>
                  </w:r>
                  <w:r>
                    <w:rPr>
                      <w:rFonts w:hint="eastAsia"/>
                      <w:kern w:val="0"/>
                      <w:szCs w:val="21"/>
                    </w:rPr>
                    <w:t>方</w:t>
                  </w:r>
                  <w:r>
                    <w:rPr>
                      <w:kern w:val="0"/>
                      <w:szCs w:val="21"/>
                    </w:rPr>
                    <w:t>设置集气罩并配备</w:t>
                  </w:r>
                  <w:r>
                    <w:rPr>
                      <w:rFonts w:hint="eastAsia"/>
                      <w:kern w:val="0"/>
                      <w:szCs w:val="21"/>
                    </w:rPr>
                    <w:t>“</w:t>
                  </w:r>
                  <w:r>
                    <w:rPr>
                      <w:kern w:val="0"/>
                      <w:szCs w:val="21"/>
                    </w:rPr>
                    <w:t>二级活性炭吸附装置</w:t>
                  </w:r>
                  <w:r>
                    <w:rPr>
                      <w:rFonts w:hint="eastAsia"/>
                      <w:kern w:val="0"/>
                      <w:szCs w:val="21"/>
                    </w:rPr>
                    <w:t>”</w:t>
                  </w:r>
                  <w:r>
                    <w:rPr>
                      <w:kern w:val="0"/>
                      <w:szCs w:val="21"/>
                    </w:rPr>
                    <w:t>，可有效减少挥发性有机物排放量。</w:t>
                  </w:r>
                </w:p>
              </w:tc>
            </w:tr>
          </w:tbl>
          <w:p>
            <w:pPr>
              <w:keepNext w:val="0"/>
              <w:keepLines w:val="0"/>
              <w:suppressLineNumbers w:val="0"/>
              <w:spacing w:before="0" w:beforeAutospacing="0" w:after="0" w:afterAutospacing="0" w:line="360" w:lineRule="auto"/>
              <w:ind w:left="0" w:right="0" w:firstLine="482" w:firstLineChars="200"/>
              <w:rPr>
                <w:b/>
                <w:sz w:val="24"/>
              </w:rPr>
            </w:pPr>
            <w:r>
              <w:rPr>
                <w:rFonts w:hint="eastAsia"/>
                <w:b/>
                <w:sz w:val="24"/>
              </w:rPr>
              <w:t>（2）与《江苏省重点行业挥发性有机物污染控制指南》（苏环办〔2014〕128号）的相符性分析</w:t>
            </w:r>
          </w:p>
          <w:p>
            <w:pPr>
              <w:pStyle w:val="2"/>
              <w:keepNext w:val="0"/>
              <w:keepLines w:val="0"/>
              <w:suppressLineNumbers w:val="0"/>
              <w:spacing w:before="0" w:beforeAutospacing="0" w:after="0" w:afterAutospacing="0"/>
              <w:ind w:left="0" w:leftChars="0" w:right="0" w:rightChars="0"/>
              <w:jc w:val="center"/>
              <w:rPr>
                <w:rFonts w:ascii="Times New Roman" w:hAnsi="Times New Roman"/>
                <w:b/>
                <w:bCs/>
                <w:sz w:val="24"/>
              </w:rPr>
            </w:pPr>
            <w:r>
              <w:rPr>
                <w:rFonts w:ascii="Times New Roman"/>
                <w:b/>
                <w:bCs/>
                <w:sz w:val="24"/>
              </w:rPr>
              <w:t>表</w:t>
            </w:r>
            <w:r>
              <w:rPr>
                <w:rFonts w:ascii="Times New Roman" w:hAnsi="Times New Roman"/>
                <w:b/>
                <w:bCs/>
                <w:sz w:val="24"/>
              </w:rPr>
              <w:t>1-</w:t>
            </w:r>
            <w:r>
              <w:rPr>
                <w:rFonts w:hint="eastAsia" w:ascii="Times New Roman" w:hAnsi="Times New Roman"/>
                <w:b/>
                <w:bCs/>
                <w:sz w:val="24"/>
              </w:rPr>
              <w:t>9</w:t>
            </w:r>
            <w:r>
              <w:rPr>
                <w:rFonts w:ascii="Times New Roman" w:hAnsi="Times New Roman"/>
                <w:b/>
                <w:bCs/>
                <w:sz w:val="24"/>
              </w:rPr>
              <w:t xml:space="preserve"> </w:t>
            </w:r>
            <w:r>
              <w:rPr>
                <w:rFonts w:ascii="Times New Roman"/>
                <w:b/>
                <w:bCs/>
                <w:sz w:val="24"/>
              </w:rPr>
              <w:t>与苏环办</w:t>
            </w:r>
            <w:r>
              <w:rPr>
                <w:rFonts w:ascii="Times New Roman" w:hAnsi="Times New Roman"/>
                <w:b/>
                <w:bCs/>
                <w:sz w:val="24"/>
              </w:rPr>
              <w:t>[2014]128</w:t>
            </w:r>
            <w:r>
              <w:rPr>
                <w:rFonts w:ascii="Times New Roman"/>
                <w:b/>
                <w:bCs/>
                <w:sz w:val="24"/>
              </w:rPr>
              <w:t>号的相符性分析</w:t>
            </w:r>
          </w:p>
          <w:tbl>
            <w:tblPr>
              <w:tblStyle w:val="21"/>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190"/>
              <w:gridCol w:w="310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29" w:type="pct"/>
                  <w:vAlign w:val="center"/>
                </w:tcPr>
                <w:p>
                  <w:pPr>
                    <w:keepNext w:val="0"/>
                    <w:keepLines w:val="0"/>
                    <w:suppressLineNumbers w:val="0"/>
                    <w:spacing w:before="0" w:beforeAutospacing="0" w:after="0" w:afterAutospacing="0"/>
                    <w:ind w:left="0" w:right="0"/>
                    <w:jc w:val="center"/>
                    <w:rPr>
                      <w:b/>
                    </w:rPr>
                  </w:pPr>
                  <w:r>
                    <w:rPr>
                      <w:rFonts w:hint="eastAsia"/>
                      <w:b/>
                    </w:rPr>
                    <w:t>总体要求</w:t>
                  </w:r>
                </w:p>
              </w:tc>
              <w:tc>
                <w:tcPr>
                  <w:tcW w:w="1871" w:type="pct"/>
                  <w:vAlign w:val="center"/>
                </w:tcPr>
                <w:p>
                  <w:pPr>
                    <w:keepNext w:val="0"/>
                    <w:keepLines w:val="0"/>
                    <w:suppressLineNumbers w:val="0"/>
                    <w:spacing w:before="0" w:beforeAutospacing="0" w:after="0" w:afterAutospacing="0"/>
                    <w:ind w:left="0" w:right="0"/>
                    <w:jc w:val="center"/>
                    <w:rPr>
                      <w:b/>
                    </w:rPr>
                  </w:pPr>
                  <w:r>
                    <w:rPr>
                      <w:rFonts w:hint="eastAsia"/>
                      <w:b/>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29" w:type="pct"/>
                  <w:vAlign w:val="center"/>
                </w:tcPr>
                <w:p>
                  <w:pPr>
                    <w:keepNext w:val="0"/>
                    <w:keepLines w:val="0"/>
                    <w:suppressLineNumbers w:val="0"/>
                    <w:spacing w:before="0" w:beforeAutospacing="0" w:after="0" w:afterAutospacing="0"/>
                    <w:ind w:left="0" w:right="0" w:firstLine="420" w:firstLineChars="200"/>
                  </w:pPr>
                  <w:r>
                    <w:rPr>
                      <w:rFonts w:hint="eastAsia"/>
                    </w:rPr>
                    <w:t>所有产生有机废气污染的企业，应优先采用环保型原辅料、生产工艺和装备，对相应生产单元或设施进行密闭，从源头控制VOCs的产生，减少废气污染物排放。</w:t>
                  </w:r>
                </w:p>
              </w:tc>
              <w:tc>
                <w:tcPr>
                  <w:tcW w:w="1871" w:type="pct"/>
                  <w:vAlign w:val="center"/>
                </w:tcPr>
                <w:p>
                  <w:pPr>
                    <w:keepNext w:val="0"/>
                    <w:keepLines w:val="0"/>
                    <w:suppressLineNumbers w:val="0"/>
                    <w:spacing w:before="0" w:beforeAutospacing="0" w:after="0" w:afterAutospacing="0"/>
                    <w:ind w:left="0" w:right="0" w:firstLine="420" w:firstLineChars="200"/>
                  </w:pPr>
                  <w:r>
                    <w:rPr>
                      <w:rFonts w:hint="eastAsia"/>
                    </w:rPr>
                    <w:t>本项目原辅料均为环保型物料。废气产生单元或设施均密闭，符合要求。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29" w:type="pct"/>
                  <w:vAlign w:val="center"/>
                </w:tcPr>
                <w:p>
                  <w:pPr>
                    <w:keepNext w:val="0"/>
                    <w:keepLines w:val="0"/>
                    <w:suppressLineNumbers w:val="0"/>
                    <w:spacing w:before="0" w:beforeAutospacing="0" w:after="0" w:afterAutospacing="0"/>
                    <w:ind w:left="0" w:right="0" w:firstLine="420" w:firstLineChars="200"/>
                  </w:pPr>
                  <w:r>
                    <w:rPr>
                      <w:rFonts w:hint="eastAsia"/>
                    </w:rPr>
                    <w:t>鼓励对排放的VOCs进行回收利用，并优先在生产系统内回用。对浓度、性状差异较大的废气应分类收集，并采用适宜的方式进行有效处理，确保VOCs总去除率满足管理要求，其中有机化工、医药化工、橡胶和塑料制品（有溶剂浸胶工艺）、溶剂型涂料表面涂装、包装印刷业的VOCs总收集、净化处理率均不低于90%，其他行业原则上不低于75%。</w:t>
                  </w:r>
                </w:p>
              </w:tc>
              <w:tc>
                <w:tcPr>
                  <w:tcW w:w="1871" w:type="pct"/>
                  <w:vAlign w:val="center"/>
                </w:tcPr>
                <w:p>
                  <w:pPr>
                    <w:keepNext w:val="0"/>
                    <w:keepLines w:val="0"/>
                    <w:suppressLineNumbers w:val="0"/>
                    <w:spacing w:before="0" w:beforeAutospacing="0" w:after="0" w:afterAutospacing="0"/>
                    <w:ind w:left="0" w:right="0" w:firstLine="420" w:firstLineChars="200"/>
                  </w:pPr>
                  <w:r>
                    <w:rPr>
                      <w:rFonts w:hint="eastAsia"/>
                    </w:rPr>
                    <w:t>本项目属于</w:t>
                  </w:r>
                  <w:r>
                    <w:rPr>
                      <w:szCs w:val="21"/>
                    </w:rPr>
                    <w:t>C3819</w:t>
                  </w:r>
                  <w:r>
                    <w:rPr>
                      <w:rFonts w:hAnsi="宋体"/>
                      <w:szCs w:val="21"/>
                    </w:rPr>
                    <w:t>其他电机制造</w:t>
                  </w:r>
                  <w:r>
                    <w:rPr>
                      <w:rFonts w:hint="eastAsia"/>
                    </w:rPr>
                    <w:t>，产生的VOCs经二级活性炭吸附处理后高空排放，废气处理装置收集效率90%、净化效率80%。</w:t>
                  </w:r>
                </w:p>
              </w:tc>
            </w:tr>
          </w:tbl>
          <w:p>
            <w:pPr>
              <w:keepNext w:val="0"/>
              <w:keepLines w:val="0"/>
              <w:widowControl/>
              <w:suppressLineNumbers w:val="0"/>
              <w:adjustRightInd w:val="0"/>
              <w:snapToGrid w:val="0"/>
              <w:spacing w:before="0" w:beforeAutospacing="0" w:after="0" w:afterAutospacing="0" w:line="360" w:lineRule="auto"/>
              <w:ind w:left="0" w:right="0" w:firstLine="480" w:firstLineChars="200"/>
              <w:rPr>
                <w:sz w:val="24"/>
              </w:rPr>
            </w:pPr>
            <w:r>
              <w:rPr>
                <w:rFonts w:hint="eastAsia"/>
                <w:sz w:val="24"/>
              </w:rPr>
              <w:t>综上，本项目建设与《江苏省重点行业挥发性有机物污染控制指南》（苏环办〔2014〕128号）相符。</w:t>
            </w:r>
          </w:p>
          <w:p>
            <w:pPr>
              <w:keepNext w:val="0"/>
              <w:keepLines w:val="0"/>
              <w:widowControl/>
              <w:suppressLineNumbers w:val="0"/>
              <w:adjustRightInd w:val="0"/>
              <w:snapToGrid w:val="0"/>
              <w:spacing w:before="0" w:beforeAutospacing="0" w:after="0" w:afterAutospacing="0" w:line="360" w:lineRule="auto"/>
              <w:ind w:left="0" w:right="0" w:firstLine="482" w:firstLineChars="200"/>
              <w:rPr>
                <w:b/>
                <w:sz w:val="24"/>
              </w:rPr>
            </w:pPr>
            <w:r>
              <w:rPr>
                <w:b/>
                <w:bCs/>
                <w:sz w:val="24"/>
              </w:rPr>
              <w:t>（</w:t>
            </w:r>
            <w:r>
              <w:rPr>
                <w:rFonts w:hint="eastAsia"/>
                <w:b/>
                <w:bCs/>
                <w:sz w:val="24"/>
              </w:rPr>
              <w:t>3</w:t>
            </w:r>
            <w:r>
              <w:rPr>
                <w:b/>
                <w:bCs/>
                <w:sz w:val="24"/>
              </w:rPr>
              <w:t>）与《江苏省挥发性有机物污染物防治管理办法》（省政府令第119号）相符性分析</w:t>
            </w:r>
          </w:p>
          <w:p>
            <w:pPr>
              <w:pStyle w:val="2"/>
              <w:keepNext w:val="0"/>
              <w:keepLines w:val="0"/>
              <w:suppressLineNumbers w:val="0"/>
              <w:spacing w:before="0" w:beforeAutospacing="0" w:after="0" w:afterAutospacing="0"/>
              <w:ind w:left="0" w:leftChars="0" w:right="0" w:rightChars="0"/>
              <w:jc w:val="center"/>
              <w:rPr>
                <w:rFonts w:ascii="Times New Roman" w:hAnsi="Times New Roman"/>
                <w:b/>
                <w:bCs/>
                <w:sz w:val="24"/>
                <w:szCs w:val="24"/>
              </w:rPr>
            </w:pPr>
            <w:r>
              <w:rPr>
                <w:rFonts w:hint="eastAsia" w:ascii="Times New Roman" w:hAnsi="Times New Roman"/>
                <w:b/>
                <w:bCs/>
                <w:sz w:val="24"/>
                <w:szCs w:val="24"/>
              </w:rPr>
              <w:t>表1-10 与省政府令第119号的相符性分析</w:t>
            </w:r>
          </w:p>
          <w:tbl>
            <w:tblPr>
              <w:tblStyle w:val="22"/>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333"/>
              <w:gridCol w:w="196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18" w:type="pct"/>
                  <w:vAlign w:val="center"/>
                </w:tcPr>
                <w:p>
                  <w:pPr>
                    <w:keepNext w:val="0"/>
                    <w:keepLines w:val="0"/>
                    <w:suppressLineNumbers w:val="0"/>
                    <w:spacing w:before="0" w:beforeAutospacing="0" w:after="0" w:afterAutospacing="0"/>
                    <w:ind w:left="0" w:right="0"/>
                    <w:jc w:val="center"/>
                    <w:rPr>
                      <w:b/>
                    </w:rPr>
                  </w:pPr>
                  <w:r>
                    <w:rPr>
                      <w:rFonts w:hint="eastAsia"/>
                      <w:b/>
                    </w:rPr>
                    <w:t>要求</w:t>
                  </w:r>
                </w:p>
              </w:tc>
              <w:tc>
                <w:tcPr>
                  <w:tcW w:w="1182" w:type="pct"/>
                  <w:vAlign w:val="center"/>
                </w:tcPr>
                <w:p>
                  <w:pPr>
                    <w:keepNext w:val="0"/>
                    <w:keepLines w:val="0"/>
                    <w:suppressLineNumbers w:val="0"/>
                    <w:spacing w:before="0" w:beforeAutospacing="0" w:after="0" w:afterAutospacing="0"/>
                    <w:ind w:left="0" w:right="0"/>
                    <w:jc w:val="center"/>
                    <w:rPr>
                      <w:b/>
                    </w:rPr>
                  </w:pPr>
                  <w:r>
                    <w:rPr>
                      <w:rFonts w:hint="eastAsia"/>
                      <w:b/>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3818" w:type="pct"/>
                  <w:tcBorders>
                    <w:bottom w:val="single" w:color="auto" w:sz="2" w:space="0"/>
                  </w:tcBorders>
                  <w:vAlign w:val="center"/>
                </w:tcPr>
                <w:p>
                  <w:pPr>
                    <w:keepNext w:val="0"/>
                    <w:keepLines w:val="0"/>
                    <w:suppressLineNumbers w:val="0"/>
                    <w:spacing w:before="0" w:beforeAutospacing="0" w:after="0" w:afterAutospacing="0"/>
                    <w:ind w:left="0" w:right="0" w:firstLine="420" w:firstLineChars="200"/>
                  </w:pPr>
                  <w:r>
                    <w:rPr>
                      <w:rFonts w:hint="eastAsia"/>
                    </w:rPr>
                    <w:t>根据《江苏省挥发性有机物污染物防治管理办法》：</w:t>
                  </w:r>
                </w:p>
                <w:p>
                  <w:pPr>
                    <w:keepNext w:val="0"/>
                    <w:keepLines w:val="0"/>
                    <w:suppressLineNumbers w:val="0"/>
                    <w:spacing w:before="0" w:beforeAutospacing="0" w:after="0" w:afterAutospacing="0"/>
                    <w:ind w:left="0" w:right="0" w:firstLine="420" w:firstLineChars="200"/>
                  </w:pPr>
                  <w:r>
                    <w:rPr>
                      <w:rFonts w:hint="eastAsia"/>
                    </w:rPr>
                    <w:t>第十三条：新建、改建、扩建排放挥发性有机物的建设项目，应当依法进行环境影响评价。新增挥发性有机物排放总量指标的不足部分，可以依照有关规定通过排污权交易取得。</w:t>
                  </w:r>
                </w:p>
                <w:p>
                  <w:pPr>
                    <w:keepNext w:val="0"/>
                    <w:keepLines w:val="0"/>
                    <w:suppressLineNumbers w:val="0"/>
                    <w:spacing w:before="0" w:beforeAutospacing="0" w:after="0" w:afterAutospacing="0"/>
                    <w:ind w:left="0" w:right="0" w:firstLine="420" w:firstLineChars="200"/>
                  </w:pPr>
                  <w:r>
                    <w:rPr>
                      <w:rFonts w:hint="eastAsia"/>
                    </w:rPr>
                    <w:t>建设项目的环境影响评价文件未经审查或者审查后未予批准的，建设单位不得开工建设。</w:t>
                  </w:r>
                </w:p>
              </w:tc>
              <w:tc>
                <w:tcPr>
                  <w:tcW w:w="1182" w:type="pct"/>
                  <w:tcBorders>
                    <w:bottom w:val="single" w:color="auto" w:sz="2" w:space="0"/>
                  </w:tcBorders>
                  <w:vAlign w:val="center"/>
                </w:tcPr>
                <w:p>
                  <w:pPr>
                    <w:keepNext w:val="0"/>
                    <w:keepLines w:val="0"/>
                    <w:suppressLineNumbers w:val="0"/>
                    <w:spacing w:before="0" w:beforeAutospacing="0" w:after="0" w:afterAutospacing="0"/>
                    <w:ind w:left="0" w:right="0" w:firstLine="420" w:firstLineChars="200"/>
                  </w:pPr>
                  <w:r>
                    <w:rPr>
                      <w:rFonts w:hint="eastAsia"/>
                    </w:rPr>
                    <w:t>本项目建设性质为迁建，正在进行环境影响评价流程，在环评审批前将严格落实主要污染物排放总量指标控制制度，取得主要污染物排放总量的控制指标和平衡方案，故符合文件要求。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8" w:hRule="atLeast"/>
              </w:trPr>
              <w:tc>
                <w:tcPr>
                  <w:tcW w:w="3818" w:type="pct"/>
                  <w:tcBorders>
                    <w:top w:val="single" w:color="auto" w:sz="2" w:space="0"/>
                  </w:tcBorders>
                  <w:vAlign w:val="center"/>
                </w:tcPr>
                <w:p>
                  <w:pPr>
                    <w:keepNext w:val="0"/>
                    <w:keepLines w:val="0"/>
                    <w:suppressLineNumbers w:val="0"/>
                    <w:spacing w:before="0" w:beforeAutospacing="0" w:after="0" w:afterAutospacing="0"/>
                    <w:ind w:left="0" w:right="0" w:firstLine="420" w:firstLineChars="200"/>
                  </w:pPr>
                  <w:r>
                    <w:rPr>
                      <w:rFonts w:hint="eastAsia"/>
                    </w:rPr>
                    <w:t>第二十一条：产生挥发性有机物废气的生产经营活动应当在密闭空间或者密闭设备中进行。生产场所、生产设备应当按照环境保护和安全生产等要求设计、安装和有效运行挥发性有机物回收或者净化设施；固体废物、废水、废气处理系统产生的废气应当收集和处理；含有挥发性有机物的物料应当密闭储存、运输、装卸，禁止敞口和露天放置。</w:t>
                  </w:r>
                </w:p>
                <w:p>
                  <w:pPr>
                    <w:keepNext w:val="0"/>
                    <w:keepLines w:val="0"/>
                    <w:suppressLineNumbers w:val="0"/>
                    <w:spacing w:before="0" w:beforeAutospacing="0" w:after="0" w:afterAutospacing="0"/>
                    <w:ind w:left="0" w:right="0" w:firstLine="420" w:firstLineChars="200"/>
                  </w:pPr>
                  <w:r>
                    <w:rPr>
                      <w:rFonts w:hint="eastAsia"/>
                    </w:rPr>
                    <w:t>无法在密闭空间进行的生产经营活动应当采取有效措施，减少挥发性有机物排放量。</w:t>
                  </w:r>
                </w:p>
              </w:tc>
              <w:tc>
                <w:tcPr>
                  <w:tcW w:w="1182" w:type="pct"/>
                  <w:tcBorders>
                    <w:top w:val="single" w:color="auto" w:sz="2" w:space="0"/>
                  </w:tcBorders>
                  <w:vAlign w:val="center"/>
                </w:tcPr>
                <w:p>
                  <w:pPr>
                    <w:keepNext w:val="0"/>
                    <w:keepLines w:val="0"/>
                    <w:suppressLineNumbers w:val="0"/>
                    <w:spacing w:before="0" w:beforeAutospacing="0" w:after="0" w:afterAutospacing="0"/>
                    <w:ind w:left="0" w:right="0" w:firstLine="420" w:firstLineChars="200"/>
                  </w:pPr>
                  <w:r>
                    <w:rPr>
                      <w:rFonts w:hint="eastAsia"/>
                    </w:rPr>
                    <w:t>本项目生产过程中产生的有机废气经集气罩收集进入二级活性炭吸附装置处理，最后通过15m高排气筒排放，符合相关要求。</w:t>
                  </w:r>
                </w:p>
              </w:tc>
            </w:tr>
          </w:tbl>
          <w:p>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rPr>
                <w:sz w:val="24"/>
              </w:rPr>
            </w:pPr>
            <w:r>
              <w:rPr>
                <w:rFonts w:hint="eastAsia"/>
                <w:sz w:val="24"/>
              </w:rPr>
              <w:t>综上，本项目与</w:t>
            </w:r>
            <w:r>
              <w:rPr>
                <w:bCs/>
                <w:sz w:val="24"/>
              </w:rPr>
              <w:t>《江苏省挥发性有机物污染物防治管理办法》（省政府令第119号）</w:t>
            </w:r>
            <w:r>
              <w:rPr>
                <w:rFonts w:hint="eastAsia"/>
                <w:sz w:val="24"/>
              </w:rPr>
              <w:t>的要求相符。</w:t>
            </w:r>
          </w:p>
          <w:p>
            <w:pPr>
              <w:keepNext w:val="0"/>
              <w:keepLines w:val="0"/>
              <w:suppressLineNumbers w:val="0"/>
              <w:autoSpaceDE w:val="0"/>
              <w:autoSpaceDN w:val="0"/>
              <w:adjustRightInd w:val="0"/>
              <w:snapToGrid w:val="0"/>
              <w:spacing w:before="0" w:beforeAutospacing="0" w:after="0" w:afterAutospacing="0" w:line="360" w:lineRule="auto"/>
              <w:ind w:left="0" w:right="0" w:firstLine="482" w:firstLineChars="200"/>
              <w:rPr>
                <w:b/>
                <w:bCs/>
                <w:sz w:val="24"/>
              </w:rPr>
            </w:pPr>
            <w:r>
              <w:rPr>
                <w:b/>
                <w:sz w:val="24"/>
              </w:rPr>
              <w:t>（</w:t>
            </w:r>
            <w:r>
              <w:rPr>
                <w:rFonts w:hint="eastAsia"/>
                <w:b/>
                <w:sz w:val="24"/>
              </w:rPr>
              <w:t>4</w:t>
            </w:r>
            <w:r>
              <w:rPr>
                <w:b/>
                <w:sz w:val="24"/>
              </w:rPr>
              <w:t>）与《重点行业挥发性有机物综合治理方案》（环大气[2019]53号）相符性分析</w:t>
            </w:r>
          </w:p>
          <w:p>
            <w:pPr>
              <w:keepNext w:val="0"/>
              <w:keepLines w:val="0"/>
              <w:suppressLineNumbers w:val="0"/>
              <w:autoSpaceDE w:val="0"/>
              <w:autoSpaceDN w:val="0"/>
              <w:adjustRightInd w:val="0"/>
              <w:snapToGrid w:val="0"/>
              <w:spacing w:before="0" w:beforeAutospacing="0" w:after="0" w:afterAutospacing="0"/>
              <w:ind w:left="0" w:right="0" w:firstLine="361" w:firstLineChars="150"/>
              <w:jc w:val="center"/>
              <w:rPr>
                <w:b/>
                <w:bCs/>
                <w:sz w:val="24"/>
              </w:rPr>
            </w:pPr>
            <w:r>
              <w:rPr>
                <w:rFonts w:hint="eastAsia"/>
                <w:b/>
                <w:bCs/>
                <w:sz w:val="24"/>
              </w:rPr>
              <w:t>表1-11 与环大气[2019]53号相符性分析</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02"/>
              <w:gridCol w:w="5101"/>
              <w:gridCol w:w="1312"/>
              <w:gridCol w:w="97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18" w:type="pct"/>
                  <w:gridSpan w:val="2"/>
                  <w:vAlign w:val="center"/>
                </w:tcPr>
                <w:p>
                  <w:pPr>
                    <w:keepNext w:val="0"/>
                    <w:keepLines w:val="0"/>
                    <w:suppressLineNumbers w:val="0"/>
                    <w:spacing w:before="0" w:beforeAutospacing="0" w:after="0" w:afterAutospacing="0"/>
                    <w:ind w:left="0" w:right="0"/>
                    <w:jc w:val="center"/>
                    <w:rPr>
                      <w:b/>
                    </w:rPr>
                  </w:pPr>
                  <w:r>
                    <w:rPr>
                      <w:rFonts w:hint="eastAsia"/>
                      <w:b/>
                    </w:rPr>
                    <w:t>控制思路和要求</w:t>
                  </w:r>
                </w:p>
              </w:tc>
              <w:tc>
                <w:tcPr>
                  <w:tcW w:w="791" w:type="pct"/>
                  <w:vAlign w:val="center"/>
                </w:tcPr>
                <w:p>
                  <w:pPr>
                    <w:keepNext w:val="0"/>
                    <w:keepLines w:val="0"/>
                    <w:suppressLineNumbers w:val="0"/>
                    <w:spacing w:before="0" w:beforeAutospacing="0" w:after="0" w:afterAutospacing="0"/>
                    <w:ind w:left="0" w:right="0"/>
                    <w:jc w:val="center"/>
                    <w:rPr>
                      <w:b/>
                    </w:rPr>
                  </w:pPr>
                  <w:r>
                    <w:rPr>
                      <w:rFonts w:hint="eastAsia"/>
                      <w:b/>
                    </w:rPr>
                    <w:t>本项目情况</w:t>
                  </w:r>
                </w:p>
              </w:tc>
              <w:tc>
                <w:tcPr>
                  <w:tcW w:w="590" w:type="pct"/>
                  <w:vAlign w:val="center"/>
                </w:tcPr>
                <w:p>
                  <w:pPr>
                    <w:keepNext w:val="0"/>
                    <w:keepLines w:val="0"/>
                    <w:suppressLineNumbers w:val="0"/>
                    <w:spacing w:before="0" w:beforeAutospacing="0" w:after="0" w:afterAutospacing="0"/>
                    <w:ind w:left="0" w:right="0"/>
                    <w:jc w:val="center"/>
                    <w:rPr>
                      <w:b/>
                    </w:rPr>
                  </w:pPr>
                  <w:r>
                    <w:rPr>
                      <w:rFonts w:hint="eastAsia"/>
                      <w:b/>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4" w:type="pct"/>
                  <w:vAlign w:val="center"/>
                </w:tcPr>
                <w:p>
                  <w:pPr>
                    <w:keepNext w:val="0"/>
                    <w:keepLines w:val="0"/>
                    <w:suppressLineNumbers w:val="0"/>
                    <w:spacing w:before="0" w:beforeAutospacing="0" w:after="0" w:afterAutospacing="0"/>
                    <w:ind w:left="0" w:right="0"/>
                    <w:jc w:val="center"/>
                  </w:pPr>
                  <w:r>
                    <w:rPr>
                      <w:rFonts w:hint="eastAsia"/>
                    </w:rPr>
                    <w:t>大力推进源头替代</w:t>
                  </w:r>
                </w:p>
              </w:tc>
              <w:tc>
                <w:tcPr>
                  <w:tcW w:w="3075" w:type="pct"/>
                  <w:vAlign w:val="center"/>
                </w:tcPr>
                <w:p>
                  <w:pPr>
                    <w:keepNext w:val="0"/>
                    <w:keepLines w:val="0"/>
                    <w:suppressLineNumbers w:val="0"/>
                    <w:spacing w:before="0" w:beforeAutospacing="0" w:after="0" w:afterAutospacing="0"/>
                    <w:ind w:left="0" w:right="0" w:firstLine="420" w:firstLineChars="200"/>
                  </w:pPr>
                  <w:r>
                    <w:rPr>
                      <w:rFonts w:hint="eastAsia"/>
                    </w:rPr>
                    <w:t>通过使用水性、粉末、高固体分、无溶剂、辐射固化等低VOCs含量的涂料，水性、辐射固化、植物基等低VOCs含量的油墨，水基、热熔、无溶剂、辐射固化、改性、生物降解等低VOCs含量的胶粘剂，以及低VOCs含量、低反应活性的清洗剂等，替代溶剂型涂料、油墨、胶粘剂、清洗剂等，从源头减少VOCs产生。在技术成熟的行业，推广使用低VOCs含量油墨和胶粘剂，重点区域到2020年年底前基本完成。</w:t>
                  </w:r>
                </w:p>
              </w:tc>
              <w:tc>
                <w:tcPr>
                  <w:tcW w:w="791" w:type="pct"/>
                  <w:vAlign w:val="center"/>
                </w:tcPr>
                <w:p>
                  <w:pPr>
                    <w:keepNext w:val="0"/>
                    <w:keepLines w:val="0"/>
                    <w:suppressLineNumbers w:val="0"/>
                    <w:spacing w:before="0" w:beforeAutospacing="0" w:after="0" w:afterAutospacing="0"/>
                    <w:ind w:left="0" w:right="0" w:firstLine="420" w:firstLineChars="200"/>
                  </w:pPr>
                  <w:r>
                    <w:rPr>
                      <w:rFonts w:hint="eastAsia"/>
                    </w:rPr>
                    <w:t>本项目不涉及溶剂型涂料、油墨、胶粘剂、清洗剂等。</w:t>
                  </w:r>
                </w:p>
              </w:tc>
              <w:tc>
                <w:tcPr>
                  <w:tcW w:w="590" w:type="pct"/>
                  <w:vAlign w:val="center"/>
                </w:tcPr>
                <w:p>
                  <w:pPr>
                    <w:keepNext w:val="0"/>
                    <w:keepLines w:val="0"/>
                    <w:suppressLineNumbers w:val="0"/>
                    <w:spacing w:before="0" w:beforeAutospacing="0" w:after="0" w:afterAutospacing="0"/>
                    <w:ind w:left="0" w:right="0"/>
                    <w:jc w:val="center"/>
                  </w:pPr>
                  <w:r>
                    <w:rPr>
                      <w:rFonts w:hint="eastAsia"/>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44" w:type="pct"/>
                  <w:vMerge w:val="restart"/>
                  <w:vAlign w:val="center"/>
                </w:tcPr>
                <w:p>
                  <w:pPr>
                    <w:keepNext w:val="0"/>
                    <w:keepLines w:val="0"/>
                    <w:suppressLineNumbers w:val="0"/>
                    <w:spacing w:before="0" w:beforeAutospacing="0" w:after="0" w:afterAutospacing="0"/>
                    <w:ind w:left="0" w:right="0"/>
                    <w:jc w:val="center"/>
                  </w:pPr>
                  <w:r>
                    <w:rPr>
                      <w:rFonts w:hint="eastAsia"/>
                    </w:rPr>
                    <w:t>全面加强无组织排放控制</w:t>
                  </w:r>
                </w:p>
              </w:tc>
              <w:tc>
                <w:tcPr>
                  <w:tcW w:w="3075" w:type="pct"/>
                  <w:vAlign w:val="center"/>
                </w:tcPr>
                <w:p>
                  <w:pPr>
                    <w:keepNext w:val="0"/>
                    <w:keepLines w:val="0"/>
                    <w:suppressLineNumbers w:val="0"/>
                    <w:spacing w:before="0" w:beforeAutospacing="0" w:after="0" w:afterAutospacing="0"/>
                    <w:ind w:left="0" w:right="0" w:firstLine="420" w:firstLineChars="200"/>
                  </w:pPr>
                  <w:r>
                    <w:rPr>
                      <w:rFonts w:hint="eastAsia"/>
                    </w:rPr>
                    <w:t>重点对含VOCs物料（包括含VOCs原辅材料、含VOCs产品、含VOCs废料以及有机聚合物材料等）储存、转移和输送、设备与管线组件泄漏、敞开液面逸散以及工艺过程等五类排放源实施管控，通过采取设备与场所密闭、工艺改进、废气有效收集等措施，削减VOCs无组织排放。</w:t>
                  </w:r>
                </w:p>
              </w:tc>
              <w:tc>
                <w:tcPr>
                  <w:tcW w:w="791" w:type="pct"/>
                  <w:vMerge w:val="restart"/>
                  <w:vAlign w:val="center"/>
                </w:tcPr>
                <w:p>
                  <w:pPr>
                    <w:keepNext w:val="0"/>
                    <w:keepLines w:val="0"/>
                    <w:suppressLineNumbers w:val="0"/>
                    <w:spacing w:before="0" w:beforeAutospacing="0" w:after="0" w:afterAutospacing="0"/>
                    <w:ind w:left="0" w:right="0" w:firstLine="420" w:firstLineChars="200"/>
                  </w:pPr>
                  <w:r>
                    <w:rPr>
                      <w:rFonts w:hint="eastAsia"/>
                    </w:rPr>
                    <w:t>本项目产生的有机废气经集气罩收集后，通过二级活性炭吸附装置处理，最后通过1根15米高排气筒排放，废气捕集率为90%。</w:t>
                  </w:r>
                </w:p>
              </w:tc>
              <w:tc>
                <w:tcPr>
                  <w:tcW w:w="590" w:type="pct"/>
                  <w:vMerge w:val="restart"/>
                  <w:vAlign w:val="center"/>
                </w:tcPr>
                <w:p>
                  <w:pPr>
                    <w:keepNext w:val="0"/>
                    <w:keepLines w:val="0"/>
                    <w:suppressLineNumbers w:val="0"/>
                    <w:spacing w:before="0" w:beforeAutospacing="0" w:after="0" w:afterAutospacing="0"/>
                    <w:ind w:left="0" w:right="0"/>
                    <w:jc w:val="center"/>
                  </w:pPr>
                  <w:r>
                    <w:rPr>
                      <w:rFonts w:hint="eastAsia"/>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44" w:type="pct"/>
                  <w:vMerge w:val="continue"/>
                  <w:vAlign w:val="center"/>
                </w:tcPr>
                <w:p>
                  <w:pPr>
                    <w:keepNext w:val="0"/>
                    <w:keepLines w:val="0"/>
                    <w:suppressLineNumbers w:val="0"/>
                    <w:spacing w:before="0" w:beforeAutospacing="0" w:after="0" w:afterAutospacing="0"/>
                    <w:ind w:left="0" w:right="0"/>
                    <w:jc w:val="center"/>
                  </w:pPr>
                </w:p>
              </w:tc>
              <w:tc>
                <w:tcPr>
                  <w:tcW w:w="3075" w:type="pct"/>
                  <w:vAlign w:val="center"/>
                </w:tcPr>
                <w:p>
                  <w:pPr>
                    <w:keepNext w:val="0"/>
                    <w:keepLines w:val="0"/>
                    <w:suppressLineNumbers w:val="0"/>
                    <w:spacing w:before="0" w:beforeAutospacing="0" w:after="0" w:afterAutospacing="0"/>
                    <w:ind w:left="0" w:right="0" w:firstLine="420" w:firstLineChars="200"/>
                  </w:pPr>
                  <w:r>
                    <w:rPr>
                      <w:rFonts w:hint="eastAsia"/>
                    </w:rPr>
                    <w:t>加强设备与场所密闭管理。含VOCs物料应储存于密闭容器、包装袋，高效密封储罐，封闭式储库、料仓等。含VOCs物料转移和输送，应采用密闭管道或密闭容器、罐车等。高VOCs含量废水（废水液面上方100毫米处VOCs检测浓度超过200ppm，其中，重点区域超过100ppm，以碳计）的集输、储存和处理过程，应加盖密闭。含VOCs物料生产和使用过程，应采取有效收集措施或在密闭空间中操作。</w:t>
                  </w:r>
                </w:p>
              </w:tc>
              <w:tc>
                <w:tcPr>
                  <w:tcW w:w="791" w:type="pct"/>
                  <w:vMerge w:val="continue"/>
                  <w:vAlign w:val="center"/>
                </w:tcPr>
                <w:p>
                  <w:pPr>
                    <w:keepNext w:val="0"/>
                    <w:keepLines w:val="0"/>
                    <w:suppressLineNumbers w:val="0"/>
                    <w:spacing w:before="0" w:beforeAutospacing="0" w:after="0" w:afterAutospacing="0"/>
                    <w:ind w:left="0" w:right="0" w:firstLine="420" w:firstLineChars="200"/>
                  </w:pPr>
                </w:p>
              </w:tc>
              <w:tc>
                <w:tcPr>
                  <w:tcW w:w="590" w:type="pct"/>
                  <w:vMerge w:val="continue"/>
                  <w:vAlign w:val="center"/>
                </w:tcPr>
                <w:p>
                  <w:pPr>
                    <w:keepNext w:val="0"/>
                    <w:keepLines w:val="0"/>
                    <w:suppressLineNumbers w:val="0"/>
                    <w:spacing w:before="0" w:beforeAutospacing="0" w:after="0" w:afterAutospacing="0"/>
                    <w:ind w:left="0" w:right="0"/>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44" w:type="pct"/>
                  <w:vMerge w:val="continue"/>
                  <w:vAlign w:val="center"/>
                </w:tcPr>
                <w:p>
                  <w:pPr>
                    <w:keepNext w:val="0"/>
                    <w:keepLines w:val="0"/>
                    <w:suppressLineNumbers w:val="0"/>
                    <w:spacing w:before="0" w:beforeAutospacing="0" w:after="0" w:afterAutospacing="0"/>
                    <w:ind w:left="0" w:right="0"/>
                    <w:jc w:val="center"/>
                  </w:pPr>
                </w:p>
              </w:tc>
              <w:tc>
                <w:tcPr>
                  <w:tcW w:w="3075" w:type="pct"/>
                  <w:vAlign w:val="center"/>
                </w:tcPr>
                <w:p>
                  <w:pPr>
                    <w:keepNext w:val="0"/>
                    <w:keepLines w:val="0"/>
                    <w:suppressLineNumbers w:val="0"/>
                    <w:spacing w:before="0" w:beforeAutospacing="0" w:after="0" w:afterAutospacing="0"/>
                    <w:ind w:left="0" w:right="0" w:firstLine="420" w:firstLineChars="200"/>
                  </w:pPr>
                  <w:r>
                    <w:rPr>
                      <w:rFonts w:hint="eastAsia"/>
                    </w:rPr>
                    <w:t>推进使用先进生产工艺。通过采用全密闭、连续化、自动化等生产技术，以及高效工艺与设备等，减少工艺过程无组织排放。</w:t>
                  </w:r>
                </w:p>
              </w:tc>
              <w:tc>
                <w:tcPr>
                  <w:tcW w:w="791" w:type="pct"/>
                  <w:vMerge w:val="continue"/>
                  <w:vAlign w:val="center"/>
                </w:tcPr>
                <w:p>
                  <w:pPr>
                    <w:keepNext w:val="0"/>
                    <w:keepLines w:val="0"/>
                    <w:suppressLineNumbers w:val="0"/>
                    <w:spacing w:before="0" w:beforeAutospacing="0" w:after="0" w:afterAutospacing="0"/>
                    <w:ind w:left="0" w:right="0" w:firstLine="420" w:firstLineChars="200"/>
                  </w:pPr>
                </w:p>
              </w:tc>
              <w:tc>
                <w:tcPr>
                  <w:tcW w:w="590" w:type="pct"/>
                  <w:vMerge w:val="continue"/>
                  <w:vAlign w:val="center"/>
                </w:tcPr>
                <w:p>
                  <w:pPr>
                    <w:keepNext w:val="0"/>
                    <w:keepLines w:val="0"/>
                    <w:suppressLineNumbers w:val="0"/>
                    <w:spacing w:before="0" w:beforeAutospacing="0" w:after="0" w:afterAutospacing="0"/>
                    <w:ind w:left="0" w:right="0"/>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44" w:type="pct"/>
                  <w:vMerge w:val="continue"/>
                  <w:vAlign w:val="center"/>
                </w:tcPr>
                <w:p>
                  <w:pPr>
                    <w:keepNext w:val="0"/>
                    <w:keepLines w:val="0"/>
                    <w:suppressLineNumbers w:val="0"/>
                    <w:spacing w:before="0" w:beforeAutospacing="0" w:after="0" w:afterAutospacing="0"/>
                    <w:ind w:left="0" w:right="0"/>
                    <w:jc w:val="center"/>
                  </w:pPr>
                </w:p>
              </w:tc>
              <w:tc>
                <w:tcPr>
                  <w:tcW w:w="3075" w:type="pct"/>
                  <w:vAlign w:val="center"/>
                </w:tcPr>
                <w:p>
                  <w:pPr>
                    <w:keepNext w:val="0"/>
                    <w:keepLines w:val="0"/>
                    <w:suppressLineNumbers w:val="0"/>
                    <w:spacing w:before="0" w:beforeAutospacing="0" w:after="0" w:afterAutospacing="0"/>
                    <w:ind w:left="0" w:right="0" w:firstLine="420" w:firstLineChars="200"/>
                  </w:pPr>
                  <w:r>
                    <w:rPr>
                      <w:rFonts w:hint="eastAsia"/>
                    </w:rPr>
                    <w:t>提高废气收集率。遵循“应收尽收、分质收集”的原则，科学设计废气收集系统，将无组织排放转变为有组织排放进行控制。采用全密闭集气罩或密闭空间的，除行业有特殊要求外，应保持微负压状态，并根据相关规范合理设置通风量。采用局部集气罩的，距集气罩开口面最远处的VOCs无组织排放位置，控制风速应不低于0.3米/秒，有行业要求的按相关规定执行。</w:t>
                  </w:r>
                </w:p>
              </w:tc>
              <w:tc>
                <w:tcPr>
                  <w:tcW w:w="791" w:type="pct"/>
                  <w:vMerge w:val="continue"/>
                  <w:vAlign w:val="center"/>
                </w:tcPr>
                <w:p>
                  <w:pPr>
                    <w:keepNext w:val="0"/>
                    <w:keepLines w:val="0"/>
                    <w:suppressLineNumbers w:val="0"/>
                    <w:spacing w:before="0" w:beforeAutospacing="0" w:after="0" w:afterAutospacing="0"/>
                    <w:ind w:left="0" w:right="0" w:firstLine="420" w:firstLineChars="200"/>
                  </w:pPr>
                </w:p>
              </w:tc>
              <w:tc>
                <w:tcPr>
                  <w:tcW w:w="590" w:type="pct"/>
                  <w:vMerge w:val="continue"/>
                  <w:vAlign w:val="center"/>
                </w:tcPr>
                <w:p>
                  <w:pPr>
                    <w:keepNext w:val="0"/>
                    <w:keepLines w:val="0"/>
                    <w:suppressLineNumbers w:val="0"/>
                    <w:spacing w:before="0" w:beforeAutospacing="0" w:after="0" w:afterAutospacing="0"/>
                    <w:ind w:left="0" w:right="0"/>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44" w:type="pct"/>
                  <w:vAlign w:val="center"/>
                </w:tcPr>
                <w:p>
                  <w:pPr>
                    <w:keepNext w:val="0"/>
                    <w:keepLines w:val="0"/>
                    <w:suppressLineNumbers w:val="0"/>
                    <w:spacing w:before="0" w:beforeAutospacing="0" w:after="0" w:afterAutospacing="0"/>
                    <w:ind w:left="0" w:right="0"/>
                    <w:jc w:val="center"/>
                  </w:pPr>
                  <w:r>
                    <w:rPr>
                      <w:rFonts w:hint="eastAsia"/>
                    </w:rPr>
                    <w:t>推进建设适宜高效的治污设施</w:t>
                  </w:r>
                </w:p>
              </w:tc>
              <w:tc>
                <w:tcPr>
                  <w:tcW w:w="3075" w:type="pct"/>
                  <w:vAlign w:val="center"/>
                </w:tcPr>
                <w:p>
                  <w:pPr>
                    <w:keepNext w:val="0"/>
                    <w:keepLines w:val="0"/>
                    <w:suppressLineNumbers w:val="0"/>
                    <w:spacing w:before="0" w:beforeAutospacing="0" w:after="0" w:afterAutospacing="0"/>
                    <w:ind w:left="0" w:right="0" w:firstLine="420" w:firstLineChars="200"/>
                  </w:pPr>
                  <w:r>
                    <w:rPr>
                      <w:rFonts w:hint="eastAsia"/>
                    </w:rPr>
                    <w:t>企业新建治污设施或对现有治污设施实施改造，应依据排放废气的浓度、组分、风量，温度、湿度、压力，以及生产工况等，合理选择治理技术。鼓励企业采用多种技术的组合工艺，提高VOCs治理效率。低浓度、大风量废气，宜采用沸石转轮吸附、活性炭吸附、减风增浓等浓缩技术，提高VOCs浓度后净化处理；高浓度废气，优先进行溶剂回收，难以回收的，宜采用高温焚烧、催化燃烧技术。油气（溶剂）回收宜采用冷凝+吸附、吸附+吸收、膜分离+吸附等技术。低温等离子、光催化、光氧化技术主要适用于恶臭异味等治理；生物法主要适用于低浓度VOCs废气治理和恶臭异味治理。非水溶性的VOCs废气禁止采用水或水溶液喷淋吸收处理。采用一次性活性炭吸附技术的，应定期更换活性炭，废旧活性炭应再生或处理处置。</w:t>
                  </w:r>
                </w:p>
              </w:tc>
              <w:tc>
                <w:tcPr>
                  <w:tcW w:w="791" w:type="pct"/>
                  <w:vAlign w:val="center"/>
                </w:tcPr>
                <w:p>
                  <w:pPr>
                    <w:keepNext w:val="0"/>
                    <w:keepLines w:val="0"/>
                    <w:suppressLineNumbers w:val="0"/>
                    <w:spacing w:before="0" w:beforeAutospacing="0" w:after="0" w:afterAutospacing="0"/>
                    <w:ind w:left="0" w:right="0" w:firstLine="420" w:firstLineChars="200"/>
                  </w:pPr>
                  <w:r>
                    <w:rPr>
                      <w:rFonts w:hint="eastAsia"/>
                    </w:rPr>
                    <w:t>本项目产生的有机废气采用二级活性炭吸附装置处理，对废活性炭定期更换，废活性炭委托有资质单位处置。</w:t>
                  </w:r>
                </w:p>
              </w:tc>
              <w:tc>
                <w:tcPr>
                  <w:tcW w:w="590" w:type="pct"/>
                  <w:vAlign w:val="center"/>
                </w:tcPr>
                <w:p>
                  <w:pPr>
                    <w:keepNext w:val="0"/>
                    <w:keepLines w:val="0"/>
                    <w:suppressLineNumbers w:val="0"/>
                    <w:spacing w:before="0" w:beforeAutospacing="0" w:after="0" w:afterAutospacing="0"/>
                    <w:ind w:left="0" w:right="0"/>
                    <w:jc w:val="center"/>
                  </w:pPr>
                  <w:r>
                    <w:rPr>
                      <w:rFonts w:hint="eastAsia"/>
                    </w:rPr>
                    <w:t>相符</w:t>
                  </w:r>
                </w:p>
              </w:tc>
            </w:tr>
          </w:tbl>
          <w:p>
            <w:pPr>
              <w:keepNext w:val="0"/>
              <w:keepLines w:val="0"/>
              <w:suppressLineNumbers w:val="0"/>
              <w:autoSpaceDE w:val="0"/>
              <w:autoSpaceDN w:val="0"/>
              <w:snapToGrid w:val="0"/>
              <w:spacing w:before="0" w:beforeAutospacing="0" w:after="0" w:afterAutospacing="0" w:line="360" w:lineRule="auto"/>
              <w:ind w:left="0" w:right="0" w:firstLine="480" w:firstLineChars="200"/>
              <w:rPr>
                <w:sz w:val="24"/>
              </w:rPr>
            </w:pPr>
            <w:r>
              <w:rPr>
                <w:rFonts w:hint="eastAsia"/>
                <w:sz w:val="24"/>
              </w:rPr>
              <w:t>综上，本项目与《重点行业挥发性有机物综合治理方案》（环大气[2019]53号）的要求相符。</w:t>
            </w:r>
          </w:p>
          <w:p>
            <w:pPr>
              <w:keepNext w:val="0"/>
              <w:keepLines w:val="0"/>
              <w:suppressLineNumbers w:val="0"/>
              <w:autoSpaceDE w:val="0"/>
              <w:autoSpaceDN w:val="0"/>
              <w:snapToGrid w:val="0"/>
              <w:spacing w:before="0" w:beforeAutospacing="0" w:after="0" w:afterAutospacing="0" w:line="360" w:lineRule="auto"/>
              <w:ind w:left="0" w:right="0" w:firstLine="482" w:firstLineChars="200"/>
              <w:rPr>
                <w:b/>
                <w:sz w:val="24"/>
              </w:rPr>
            </w:pPr>
            <w:r>
              <w:rPr>
                <w:b/>
                <w:sz w:val="24"/>
              </w:rPr>
              <w:t>（</w:t>
            </w:r>
            <w:r>
              <w:rPr>
                <w:rFonts w:hint="eastAsia"/>
                <w:b/>
                <w:sz w:val="24"/>
              </w:rPr>
              <w:t>5</w:t>
            </w:r>
            <w:r>
              <w:rPr>
                <w:b/>
                <w:sz w:val="24"/>
              </w:rPr>
              <w:t>）</w:t>
            </w:r>
            <w:r>
              <w:rPr>
                <w:rFonts w:hint="eastAsia"/>
                <w:b/>
                <w:sz w:val="24"/>
              </w:rPr>
              <w:t>与</w:t>
            </w:r>
            <w:r>
              <w:rPr>
                <w:b/>
                <w:sz w:val="24"/>
              </w:rPr>
              <w:t>关于印发《2020年挥发性有机物治理攻坚方案》的通知</w:t>
            </w:r>
            <w:r>
              <w:rPr>
                <w:rFonts w:hint="eastAsia"/>
                <w:b/>
                <w:sz w:val="24"/>
              </w:rPr>
              <w:t>（</w:t>
            </w:r>
            <w:r>
              <w:rPr>
                <w:b/>
                <w:sz w:val="24"/>
              </w:rPr>
              <w:t>环大气〔2020〕33号</w:t>
            </w:r>
            <w:r>
              <w:rPr>
                <w:rFonts w:hint="eastAsia"/>
                <w:b/>
                <w:sz w:val="24"/>
              </w:rPr>
              <w:t>）</w:t>
            </w:r>
            <w:r>
              <w:rPr>
                <w:b/>
                <w:sz w:val="24"/>
              </w:rPr>
              <w:t>相符性分析</w:t>
            </w:r>
          </w:p>
          <w:p>
            <w:pPr>
              <w:pStyle w:val="27"/>
              <w:keepNext w:val="0"/>
              <w:keepLines w:val="0"/>
              <w:suppressLineNumbers w:val="0"/>
              <w:ind w:left="-84" w:firstLine="560"/>
            </w:pPr>
          </w:p>
          <w:p>
            <w:pPr>
              <w:pStyle w:val="27"/>
              <w:keepNext w:val="0"/>
              <w:keepLines w:val="0"/>
              <w:suppressLineNumbers w:val="0"/>
              <w:ind w:left="-84" w:firstLine="560"/>
            </w:pPr>
          </w:p>
          <w:p>
            <w:pPr>
              <w:keepNext w:val="0"/>
              <w:keepLines w:val="0"/>
              <w:suppressLineNumbers w:val="0"/>
              <w:autoSpaceDE w:val="0"/>
              <w:autoSpaceDN w:val="0"/>
              <w:adjustRightInd w:val="0"/>
              <w:snapToGrid w:val="0"/>
              <w:spacing w:before="0" w:beforeAutospacing="0" w:after="0" w:afterAutospacing="0"/>
              <w:ind w:left="0" w:right="0" w:firstLine="482" w:firstLineChars="200"/>
              <w:jc w:val="center"/>
              <w:rPr>
                <w:rFonts w:ascii="宋体" w:hAnsi="宋体"/>
                <w:sz w:val="24"/>
              </w:rPr>
            </w:pPr>
            <w:r>
              <w:rPr>
                <w:rFonts w:hint="eastAsia"/>
                <w:b/>
                <w:bCs/>
                <w:sz w:val="24"/>
              </w:rPr>
              <w:t>表1-12 与环大气[2020]33号相符性分析</w:t>
            </w:r>
          </w:p>
          <w:tbl>
            <w:tblPr>
              <w:tblStyle w:val="22"/>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733"/>
              <w:gridCol w:w="156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59" w:type="pct"/>
                  <w:vAlign w:val="center"/>
                </w:tcPr>
                <w:p>
                  <w:pPr>
                    <w:keepNext w:val="0"/>
                    <w:keepLines w:val="0"/>
                    <w:suppressLineNumbers w:val="0"/>
                    <w:spacing w:before="0" w:beforeAutospacing="0" w:after="0" w:afterAutospacing="0"/>
                    <w:ind w:left="0" w:right="0"/>
                    <w:jc w:val="center"/>
                    <w:rPr>
                      <w:b/>
                    </w:rPr>
                  </w:pPr>
                  <w:r>
                    <w:rPr>
                      <w:rFonts w:hint="eastAsia"/>
                      <w:b/>
                    </w:rPr>
                    <w:t>要求</w:t>
                  </w:r>
                </w:p>
              </w:tc>
              <w:tc>
                <w:tcPr>
                  <w:tcW w:w="941" w:type="pct"/>
                  <w:vAlign w:val="center"/>
                </w:tcPr>
                <w:p>
                  <w:pPr>
                    <w:keepNext w:val="0"/>
                    <w:keepLines w:val="0"/>
                    <w:suppressLineNumbers w:val="0"/>
                    <w:spacing w:before="0" w:beforeAutospacing="0" w:after="0" w:afterAutospacing="0"/>
                    <w:ind w:left="0" w:right="0"/>
                    <w:jc w:val="center"/>
                    <w:rPr>
                      <w:b/>
                    </w:rPr>
                  </w:pPr>
                  <w:r>
                    <w:rPr>
                      <w:rFonts w:hint="eastAsia"/>
                      <w:b/>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30" w:hRule="atLeast"/>
              </w:trPr>
              <w:tc>
                <w:tcPr>
                  <w:tcW w:w="4059" w:type="pct"/>
                  <w:vAlign w:val="center"/>
                </w:tcPr>
                <w:p>
                  <w:pPr>
                    <w:keepNext w:val="0"/>
                    <w:keepLines w:val="0"/>
                    <w:suppressLineNumbers w:val="0"/>
                    <w:spacing w:before="0" w:beforeAutospacing="0" w:after="0" w:afterAutospacing="0"/>
                    <w:ind w:left="0" w:right="0" w:firstLine="420" w:firstLineChars="200"/>
                  </w:pPr>
                  <w:r>
                    <w:rPr>
                      <w:rFonts w:hint="eastAsia"/>
                    </w:rPr>
                    <w:t>（三）聚焦治污设施“三率”，提升综合治理效率</w:t>
                  </w:r>
                </w:p>
                <w:p>
                  <w:pPr>
                    <w:keepNext w:val="0"/>
                    <w:keepLines w:val="0"/>
                    <w:suppressLineNumbers w:val="0"/>
                    <w:spacing w:before="0" w:beforeAutospacing="0" w:after="0" w:afterAutospacing="0"/>
                    <w:ind w:left="0" w:right="0" w:firstLine="420" w:firstLineChars="200"/>
                  </w:pPr>
                  <w:r>
                    <w:rPr>
                      <w:rFonts w:hint="eastAsia"/>
                    </w:rPr>
                    <w:t>组织企业对现有VOCs废气收集率、治理设施同步运行率和去除率开展自查，重点关注单一采用光氧化、光催化、低温等离子、一次性活性炭吸附、喷淋吸收等工艺的治理设施，7月15日前完成。对达不到要求的VOCs收集、治理设施进行更换或升级改造，确保实现达标排放。除恶臭异味治理外，一般不采用低温等离子、光催化、光氧化等技术。行业排放标准中规定特别排放限值和控制要求的，应按相关规定执行；未制定行业标准的应执行大气污染物综合排放标准和挥发性有机物无组织排放控制标准；已制定更严格地方排放标准的，按地方标准执行。</w:t>
                  </w:r>
                </w:p>
              </w:tc>
              <w:tc>
                <w:tcPr>
                  <w:tcW w:w="941" w:type="pct"/>
                  <w:vAlign w:val="center"/>
                </w:tcPr>
                <w:p>
                  <w:pPr>
                    <w:keepNext w:val="0"/>
                    <w:keepLines w:val="0"/>
                    <w:suppressLineNumbers w:val="0"/>
                    <w:spacing w:before="0" w:beforeAutospacing="0" w:after="0" w:afterAutospacing="0"/>
                    <w:ind w:left="0" w:right="0" w:firstLine="420" w:firstLineChars="200"/>
                  </w:pPr>
                  <w:r>
                    <w:rPr>
                      <w:rFonts w:hint="eastAsia"/>
                    </w:rPr>
                    <w:t>本项目生产过程中产生有机废气，根据有机废气种类及性质采取二级活性炭吸附装置进行处理，处理后通过15m高排气筒排放，与上述内容相符。</w:t>
                  </w:r>
                </w:p>
              </w:tc>
            </w:tr>
          </w:tbl>
          <w:p>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jc w:val="left"/>
              <w:rPr>
                <w:sz w:val="24"/>
              </w:rPr>
            </w:pPr>
            <w:r>
              <w:rPr>
                <w:rFonts w:hint="eastAsia"/>
                <w:sz w:val="24"/>
              </w:rPr>
              <w:t>综上，本项目与</w:t>
            </w:r>
            <w:r>
              <w:rPr>
                <w:sz w:val="24"/>
              </w:rPr>
              <w:t>《2020年挥发性有机物治理攻坚方案》的通知</w:t>
            </w:r>
            <w:r>
              <w:rPr>
                <w:rFonts w:hint="eastAsia"/>
                <w:sz w:val="24"/>
              </w:rPr>
              <w:t>（</w:t>
            </w:r>
            <w:r>
              <w:rPr>
                <w:sz w:val="24"/>
              </w:rPr>
              <w:t>环大气〔2020〕33号</w:t>
            </w:r>
            <w:r>
              <w:rPr>
                <w:rFonts w:hint="eastAsia"/>
                <w:sz w:val="24"/>
              </w:rPr>
              <w:t>）的要求相符。</w:t>
            </w:r>
          </w:p>
          <w:p>
            <w:pPr>
              <w:keepNext w:val="0"/>
              <w:keepLines w:val="0"/>
              <w:suppressLineNumbers w:val="0"/>
              <w:autoSpaceDE w:val="0"/>
              <w:autoSpaceDN w:val="0"/>
              <w:adjustRightInd w:val="0"/>
              <w:snapToGrid w:val="0"/>
              <w:spacing w:before="0" w:beforeAutospacing="0" w:after="0" w:afterAutospacing="0" w:line="360" w:lineRule="auto"/>
              <w:ind w:left="0" w:right="0" w:firstLine="482" w:firstLineChars="200"/>
              <w:jc w:val="left"/>
              <w:rPr>
                <w:b/>
                <w:bCs/>
                <w:sz w:val="24"/>
              </w:rPr>
            </w:pPr>
            <w:r>
              <w:rPr>
                <w:rFonts w:hint="eastAsia"/>
                <w:b/>
                <w:sz w:val="24"/>
              </w:rPr>
              <w:t>5、</w:t>
            </w:r>
            <w:r>
              <w:rPr>
                <w:b/>
                <w:bCs/>
                <w:sz w:val="24"/>
              </w:rPr>
              <w:t>与其他环境保护管理要求的相符性分析</w:t>
            </w:r>
          </w:p>
          <w:p>
            <w:pPr>
              <w:keepNext w:val="0"/>
              <w:keepLines w:val="0"/>
              <w:suppressLineNumbers w:val="0"/>
              <w:autoSpaceDE w:val="0"/>
              <w:autoSpaceDN w:val="0"/>
              <w:snapToGrid w:val="0"/>
              <w:spacing w:before="0" w:beforeAutospacing="0" w:after="0" w:afterAutospacing="0" w:line="360" w:lineRule="auto"/>
              <w:ind w:left="0" w:right="0" w:firstLine="482" w:firstLineChars="200"/>
              <w:jc w:val="left"/>
              <w:rPr>
                <w:b/>
                <w:sz w:val="24"/>
              </w:rPr>
            </w:pPr>
            <w:r>
              <w:rPr>
                <w:rFonts w:hint="eastAsia"/>
                <w:b/>
                <w:bCs/>
                <w:sz w:val="24"/>
              </w:rPr>
              <w:t>（1）</w:t>
            </w:r>
            <w:r>
              <w:rPr>
                <w:b/>
                <w:bCs/>
                <w:sz w:val="24"/>
              </w:rPr>
              <w:t>与</w:t>
            </w:r>
            <w:r>
              <w:rPr>
                <w:b/>
                <w:sz w:val="24"/>
                <w:lang w:val="zh-CN"/>
              </w:rPr>
              <w:t>《省生态环境厅关于进一步做好建设项目环评审批工作的通知》（苏环办[2019]36号）相符性分析</w:t>
            </w:r>
          </w:p>
          <w:p>
            <w:pPr>
              <w:keepNext w:val="0"/>
              <w:keepLines w:val="0"/>
              <w:suppressLineNumbers w:val="0"/>
              <w:autoSpaceDE w:val="0"/>
              <w:autoSpaceDN w:val="0"/>
              <w:adjustRightInd w:val="0"/>
              <w:snapToGrid w:val="0"/>
              <w:spacing w:before="0" w:beforeAutospacing="0" w:after="0" w:afterAutospacing="0"/>
              <w:ind w:left="0" w:right="0" w:firstLine="361" w:firstLineChars="150"/>
              <w:jc w:val="center"/>
              <w:rPr>
                <w:b/>
                <w:bCs/>
                <w:sz w:val="24"/>
                <w:lang w:val="zh-CN"/>
              </w:rPr>
            </w:pPr>
            <w:r>
              <w:rPr>
                <w:b/>
                <w:bCs/>
                <w:sz w:val="24"/>
                <w:lang w:val="zh-CN"/>
              </w:rPr>
              <w:t>表</w:t>
            </w:r>
            <w:r>
              <w:rPr>
                <w:b/>
                <w:bCs/>
                <w:sz w:val="24"/>
              </w:rPr>
              <w:t>1-</w:t>
            </w:r>
            <w:r>
              <w:rPr>
                <w:rFonts w:hint="eastAsia"/>
                <w:b/>
                <w:bCs/>
                <w:sz w:val="24"/>
              </w:rPr>
              <w:t>13</w:t>
            </w:r>
            <w:r>
              <w:rPr>
                <w:b/>
                <w:bCs/>
                <w:sz w:val="24"/>
                <w:lang w:val="zh-CN"/>
              </w:rPr>
              <w:t xml:space="preserve"> 与苏环办[2019]36号文对照分析</w:t>
            </w:r>
          </w:p>
          <w:tbl>
            <w:tblPr>
              <w:tblStyle w:val="21"/>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85"/>
              <w:gridCol w:w="3743"/>
              <w:gridCol w:w="2331"/>
              <w:gridCol w:w="83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9" w:hRule="atLeast"/>
                <w:jc w:val="center"/>
              </w:trPr>
              <w:tc>
                <w:tcPr>
                  <w:tcW w:w="835" w:type="pct"/>
                  <w:vAlign w:val="center"/>
                </w:tcPr>
                <w:p>
                  <w:pPr>
                    <w:keepNext w:val="0"/>
                    <w:keepLines w:val="0"/>
                    <w:suppressLineNumbers w:val="0"/>
                    <w:autoSpaceDE w:val="0"/>
                    <w:autoSpaceDN w:val="0"/>
                    <w:adjustRightInd w:val="0"/>
                    <w:snapToGrid w:val="0"/>
                    <w:spacing w:before="0" w:beforeAutospacing="0" w:after="0" w:afterAutospacing="0"/>
                    <w:ind w:left="0" w:right="0"/>
                    <w:jc w:val="center"/>
                    <w:rPr>
                      <w:b/>
                      <w:bCs/>
                      <w:szCs w:val="21"/>
                    </w:rPr>
                  </w:pPr>
                  <w:r>
                    <w:rPr>
                      <w:b/>
                      <w:bCs/>
                      <w:szCs w:val="21"/>
                    </w:rPr>
                    <w:t>类别</w:t>
                  </w:r>
                </w:p>
              </w:tc>
              <w:tc>
                <w:tcPr>
                  <w:tcW w:w="2257" w:type="pct"/>
                  <w:vAlign w:val="center"/>
                </w:tcPr>
                <w:p>
                  <w:pPr>
                    <w:keepNext w:val="0"/>
                    <w:keepLines w:val="0"/>
                    <w:suppressLineNumbers w:val="0"/>
                    <w:autoSpaceDE w:val="0"/>
                    <w:autoSpaceDN w:val="0"/>
                    <w:adjustRightInd w:val="0"/>
                    <w:snapToGrid w:val="0"/>
                    <w:spacing w:before="0" w:beforeAutospacing="0" w:after="0" w:afterAutospacing="0"/>
                    <w:ind w:left="0" w:right="0"/>
                    <w:jc w:val="center"/>
                    <w:rPr>
                      <w:b/>
                      <w:bCs/>
                      <w:szCs w:val="21"/>
                    </w:rPr>
                  </w:pPr>
                  <w:r>
                    <w:rPr>
                      <w:b/>
                      <w:bCs/>
                      <w:szCs w:val="21"/>
                    </w:rPr>
                    <w:t>文件要求（建设项目环评审批要点）</w:t>
                  </w:r>
                </w:p>
              </w:tc>
              <w:tc>
                <w:tcPr>
                  <w:tcW w:w="1406" w:type="pct"/>
                  <w:vAlign w:val="center"/>
                </w:tcPr>
                <w:p>
                  <w:pPr>
                    <w:keepNext w:val="0"/>
                    <w:keepLines w:val="0"/>
                    <w:suppressLineNumbers w:val="0"/>
                    <w:autoSpaceDE w:val="0"/>
                    <w:autoSpaceDN w:val="0"/>
                    <w:adjustRightInd w:val="0"/>
                    <w:snapToGrid w:val="0"/>
                    <w:spacing w:before="0" w:beforeAutospacing="0" w:after="0" w:afterAutospacing="0"/>
                    <w:ind w:left="0" w:right="0"/>
                    <w:jc w:val="center"/>
                    <w:rPr>
                      <w:b/>
                      <w:bCs/>
                      <w:szCs w:val="21"/>
                    </w:rPr>
                  </w:pPr>
                  <w:r>
                    <w:rPr>
                      <w:b/>
                      <w:bCs/>
                      <w:szCs w:val="21"/>
                    </w:rPr>
                    <w:t>本项目</w:t>
                  </w:r>
                </w:p>
              </w:tc>
              <w:tc>
                <w:tcPr>
                  <w:tcW w:w="502" w:type="pct"/>
                  <w:vAlign w:val="center"/>
                </w:tcPr>
                <w:p>
                  <w:pPr>
                    <w:keepNext w:val="0"/>
                    <w:keepLines w:val="0"/>
                    <w:suppressLineNumbers w:val="0"/>
                    <w:autoSpaceDE w:val="0"/>
                    <w:autoSpaceDN w:val="0"/>
                    <w:adjustRightInd w:val="0"/>
                    <w:snapToGrid w:val="0"/>
                    <w:spacing w:before="0" w:beforeAutospacing="0" w:after="0" w:afterAutospacing="0"/>
                    <w:ind w:left="0" w:right="0"/>
                    <w:jc w:val="center"/>
                    <w:rPr>
                      <w:b/>
                      <w:bCs/>
                      <w:szCs w:val="21"/>
                    </w:rPr>
                  </w:pPr>
                  <w:r>
                    <w:rPr>
                      <w:b/>
                      <w:bCs/>
                      <w:szCs w:val="21"/>
                    </w:rPr>
                    <w:t>是否相符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9" w:hRule="atLeast"/>
                <w:jc w:val="center"/>
              </w:trPr>
              <w:tc>
                <w:tcPr>
                  <w:tcW w:w="835" w:type="pct"/>
                  <w:vAlign w:val="center"/>
                </w:tcPr>
                <w:p>
                  <w:pPr>
                    <w:keepNext w:val="0"/>
                    <w:keepLines w:val="0"/>
                    <w:suppressLineNumbers w:val="0"/>
                    <w:autoSpaceDE w:val="0"/>
                    <w:autoSpaceDN w:val="0"/>
                    <w:adjustRightInd w:val="0"/>
                    <w:snapToGrid w:val="0"/>
                    <w:spacing w:before="0" w:beforeAutospacing="0" w:after="0" w:afterAutospacing="0"/>
                    <w:ind w:left="0" w:right="0"/>
                    <w:jc w:val="center"/>
                    <w:rPr>
                      <w:szCs w:val="21"/>
                    </w:rPr>
                  </w:pPr>
                  <w:r>
                    <w:rPr>
                      <w:szCs w:val="21"/>
                    </w:rPr>
                    <w:t>《建设项目环境保护管理条例》</w:t>
                  </w:r>
                </w:p>
              </w:tc>
              <w:tc>
                <w:tcPr>
                  <w:tcW w:w="2257" w:type="pct"/>
                  <w:vAlign w:val="center"/>
                </w:tcPr>
                <w:p>
                  <w:pPr>
                    <w:keepNext w:val="0"/>
                    <w:keepLines w:val="0"/>
                    <w:suppressLineNumbers w:val="0"/>
                    <w:autoSpaceDE w:val="0"/>
                    <w:autoSpaceDN w:val="0"/>
                    <w:adjustRightInd w:val="0"/>
                    <w:snapToGrid w:val="0"/>
                    <w:spacing w:before="0" w:beforeAutospacing="0" w:after="0" w:afterAutospacing="0"/>
                    <w:ind w:left="0" w:right="0" w:firstLine="420" w:firstLineChars="200"/>
                    <w:jc w:val="left"/>
                    <w:rPr>
                      <w:szCs w:val="21"/>
                    </w:rPr>
                  </w:pPr>
                  <w:r>
                    <w:rPr>
                      <w:szCs w:val="21"/>
                    </w:rPr>
                    <w:t>有下列情形之一的，不予批准：（1）建设项目类型及其选址、布局、规模等不符合环境保护法律法规和相关法定规划；（2）所在区域环境质量未达到国家或者地方环境质量标准，且建设项目拟采取的措施不能满足区域环境质量改善目标管理要求；（3）建设项目采取的污染防治措施无法确保污染物排放达到国家和地方排放标准，或者未采取必要措施预防和控制生态破坏；（4）改建、扩建和技术改造项目，未针对项目原有环境污染和生态破坏提出有效防</w:t>
                  </w:r>
                  <w:r>
                    <w:rPr>
                      <w:rFonts w:hint="eastAsia"/>
                      <w:szCs w:val="21"/>
                      <w:lang w:eastAsia="zh-CN"/>
                    </w:rPr>
                    <w:t>治</w:t>
                  </w:r>
                  <w:r>
                    <w:rPr>
                      <w:szCs w:val="21"/>
                    </w:rPr>
                    <w:t>措施；（5）建设项目的环境影响报告书、环境影响报告表的基础资料数据明显不实，内容存在重大缺陷、遗漏，或者环境影响评价结论不明确、不合理。</w:t>
                  </w:r>
                </w:p>
              </w:tc>
              <w:tc>
                <w:tcPr>
                  <w:tcW w:w="1406" w:type="pct"/>
                  <w:vAlign w:val="center"/>
                </w:tcPr>
                <w:p>
                  <w:pPr>
                    <w:keepNext w:val="0"/>
                    <w:keepLines w:val="0"/>
                    <w:suppressLineNumbers w:val="0"/>
                    <w:autoSpaceDE w:val="0"/>
                    <w:autoSpaceDN w:val="0"/>
                    <w:adjustRightInd w:val="0"/>
                    <w:snapToGrid w:val="0"/>
                    <w:spacing w:before="0" w:beforeAutospacing="0" w:after="0" w:afterAutospacing="0"/>
                    <w:ind w:left="0" w:right="0" w:firstLine="420" w:firstLineChars="200"/>
                    <w:jc w:val="left"/>
                    <w:rPr>
                      <w:szCs w:val="21"/>
                    </w:rPr>
                  </w:pPr>
                  <w:r>
                    <w:rPr>
                      <w:szCs w:val="21"/>
                    </w:rPr>
                    <w:t>①本项目位于江苏省常州市武进区洛阳镇新科西路21号，选址、布局、规模符合环境保护法律法规和相关法定规划要求；②项目所在区域环境控制质量不达标，本项目采取的措施有效可行，确保污染物稳定达标，区域已经制定限期达标规划，项目建设满足区域环境质量改善目标管理要求；③项目污染物经处理后可稳定达到国家和地方排放标准；④本项目基础数据真实有效，评价结论合理可信，本项目不存在不予批准的情形</w:t>
                  </w:r>
                </w:p>
              </w:tc>
              <w:tc>
                <w:tcPr>
                  <w:tcW w:w="502" w:type="pct"/>
                  <w:vAlign w:val="center"/>
                </w:tcPr>
                <w:p>
                  <w:pPr>
                    <w:keepNext w:val="0"/>
                    <w:keepLines w:val="0"/>
                    <w:suppressLineNumbers w:val="0"/>
                    <w:autoSpaceDE w:val="0"/>
                    <w:autoSpaceDN w:val="0"/>
                    <w:adjustRightInd w:val="0"/>
                    <w:snapToGrid w:val="0"/>
                    <w:spacing w:before="0" w:beforeAutospacing="0" w:after="0" w:afterAutospacing="0"/>
                    <w:ind w:left="0" w:right="0"/>
                    <w:jc w:val="center"/>
                    <w:rPr>
                      <w:szCs w:val="21"/>
                    </w:rPr>
                  </w:pPr>
                  <w:r>
                    <w:rPr>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835" w:type="pct"/>
                  <w:vAlign w:val="center"/>
                </w:tcPr>
                <w:p>
                  <w:pPr>
                    <w:keepNext w:val="0"/>
                    <w:keepLines w:val="0"/>
                    <w:suppressLineNumbers w:val="0"/>
                    <w:autoSpaceDE w:val="0"/>
                    <w:autoSpaceDN w:val="0"/>
                    <w:adjustRightInd w:val="0"/>
                    <w:snapToGrid w:val="0"/>
                    <w:spacing w:before="0" w:beforeAutospacing="0" w:after="0" w:afterAutospacing="0"/>
                    <w:ind w:left="0" w:right="0"/>
                    <w:jc w:val="center"/>
                    <w:rPr>
                      <w:szCs w:val="21"/>
                    </w:rPr>
                  </w:pPr>
                  <w:r>
                    <w:rPr>
                      <w:szCs w:val="21"/>
                    </w:rPr>
                    <w:t>《农用地土壤环境管理办法（试行）》</w:t>
                  </w:r>
                </w:p>
              </w:tc>
              <w:tc>
                <w:tcPr>
                  <w:tcW w:w="2257" w:type="pct"/>
                  <w:vAlign w:val="center"/>
                </w:tcPr>
                <w:p>
                  <w:pPr>
                    <w:keepNext w:val="0"/>
                    <w:keepLines w:val="0"/>
                    <w:suppressLineNumbers w:val="0"/>
                    <w:autoSpaceDE w:val="0"/>
                    <w:autoSpaceDN w:val="0"/>
                    <w:adjustRightInd w:val="0"/>
                    <w:snapToGrid w:val="0"/>
                    <w:spacing w:before="0" w:beforeAutospacing="0" w:after="0" w:afterAutospacing="0"/>
                    <w:ind w:left="0" w:right="0" w:firstLine="420" w:firstLineChars="200"/>
                    <w:jc w:val="left"/>
                    <w:rPr>
                      <w:szCs w:val="21"/>
                    </w:rPr>
                  </w:pPr>
                  <w:r>
                    <w:rPr>
                      <w:szCs w:val="21"/>
                    </w:rPr>
                    <w:t>严格控制在优先保护类耕地集中区域新建有色金属冶炼、石油加工、化工、焦化、电镀、制革等行业企业，有关环境保护主管部门依法不予审批可能造成耕地土壤污染的建设项目环境影响报告书或者报告表。</w:t>
                  </w:r>
                </w:p>
              </w:tc>
              <w:tc>
                <w:tcPr>
                  <w:tcW w:w="1406" w:type="pct"/>
                  <w:vAlign w:val="center"/>
                </w:tcPr>
                <w:p>
                  <w:pPr>
                    <w:keepNext w:val="0"/>
                    <w:keepLines w:val="0"/>
                    <w:suppressLineNumbers w:val="0"/>
                    <w:autoSpaceDE w:val="0"/>
                    <w:autoSpaceDN w:val="0"/>
                    <w:adjustRightInd w:val="0"/>
                    <w:snapToGrid w:val="0"/>
                    <w:spacing w:before="0" w:beforeAutospacing="0" w:after="0" w:afterAutospacing="0"/>
                    <w:ind w:left="0" w:right="0" w:firstLine="420" w:firstLineChars="200"/>
                    <w:jc w:val="left"/>
                    <w:rPr>
                      <w:szCs w:val="21"/>
                    </w:rPr>
                  </w:pPr>
                  <w:r>
                    <w:rPr>
                      <w:szCs w:val="21"/>
                    </w:rPr>
                    <w:t>本项目位于江苏省常州市武进区洛阳镇新科西路21号，用地性质为工业用地</w:t>
                  </w:r>
                </w:p>
              </w:tc>
              <w:tc>
                <w:tcPr>
                  <w:tcW w:w="502" w:type="pct"/>
                  <w:vAlign w:val="center"/>
                </w:tcPr>
                <w:p>
                  <w:pPr>
                    <w:keepNext w:val="0"/>
                    <w:keepLines w:val="0"/>
                    <w:suppressLineNumbers w:val="0"/>
                    <w:autoSpaceDE w:val="0"/>
                    <w:autoSpaceDN w:val="0"/>
                    <w:adjustRightInd w:val="0"/>
                    <w:snapToGrid w:val="0"/>
                    <w:spacing w:before="0" w:beforeAutospacing="0" w:after="0" w:afterAutospacing="0"/>
                    <w:ind w:left="0" w:right="0"/>
                    <w:jc w:val="center"/>
                    <w:rPr>
                      <w:szCs w:val="21"/>
                    </w:rPr>
                  </w:pPr>
                  <w:r>
                    <w:rPr>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53" w:hRule="atLeast"/>
                <w:jc w:val="center"/>
              </w:trPr>
              <w:tc>
                <w:tcPr>
                  <w:tcW w:w="835" w:type="pct"/>
                  <w:vAlign w:val="center"/>
                </w:tcPr>
                <w:p>
                  <w:pPr>
                    <w:keepNext w:val="0"/>
                    <w:keepLines w:val="0"/>
                    <w:suppressLineNumbers w:val="0"/>
                    <w:autoSpaceDE w:val="0"/>
                    <w:autoSpaceDN w:val="0"/>
                    <w:adjustRightInd w:val="0"/>
                    <w:snapToGrid w:val="0"/>
                    <w:spacing w:before="0" w:beforeAutospacing="0" w:after="0" w:afterAutospacing="0"/>
                    <w:ind w:left="0" w:right="0"/>
                    <w:jc w:val="center"/>
                    <w:rPr>
                      <w:szCs w:val="21"/>
                    </w:rPr>
                  </w:pPr>
                  <w:r>
                    <w:rPr>
                      <w:rFonts w:hint="eastAsia"/>
                      <w:szCs w:val="21"/>
                    </w:rPr>
                    <w:t>《关于印发&lt;建设项目主要污染物排放总量指标审核及管理暂行办法&gt;的通知》（环发〔2014〕197号）</w:t>
                  </w:r>
                </w:p>
              </w:tc>
              <w:tc>
                <w:tcPr>
                  <w:tcW w:w="2257" w:type="pct"/>
                  <w:vAlign w:val="center"/>
                </w:tcPr>
                <w:p>
                  <w:pPr>
                    <w:keepNext w:val="0"/>
                    <w:keepLines w:val="0"/>
                    <w:suppressLineNumbers w:val="0"/>
                    <w:autoSpaceDE w:val="0"/>
                    <w:autoSpaceDN w:val="0"/>
                    <w:adjustRightInd w:val="0"/>
                    <w:snapToGrid w:val="0"/>
                    <w:spacing w:before="0" w:beforeAutospacing="0" w:after="0" w:afterAutospacing="0"/>
                    <w:ind w:left="0" w:right="0" w:firstLine="420" w:firstLineChars="200"/>
                    <w:jc w:val="left"/>
                    <w:rPr>
                      <w:szCs w:val="21"/>
                    </w:rPr>
                  </w:pPr>
                  <w:r>
                    <w:rPr>
                      <w:szCs w:val="21"/>
                    </w:rPr>
                    <w:t>严格落实污染物排放总量控制制度，把主要污染物排放总量指标作为建设项目环境影响评价审批的前置条件。排放主要污染物的建设项目，在环境影响评价文件审批前，须取得主要污染物排放总量指标。</w:t>
                  </w:r>
                </w:p>
              </w:tc>
              <w:tc>
                <w:tcPr>
                  <w:tcW w:w="1406" w:type="pct"/>
                  <w:vAlign w:val="center"/>
                </w:tcPr>
                <w:p>
                  <w:pPr>
                    <w:keepNext w:val="0"/>
                    <w:keepLines w:val="0"/>
                    <w:suppressLineNumbers w:val="0"/>
                    <w:autoSpaceDE w:val="0"/>
                    <w:autoSpaceDN w:val="0"/>
                    <w:adjustRightInd w:val="0"/>
                    <w:snapToGrid w:val="0"/>
                    <w:spacing w:before="0" w:beforeAutospacing="0" w:after="0" w:afterAutospacing="0"/>
                    <w:ind w:left="0" w:right="0" w:firstLine="420" w:firstLineChars="200"/>
                    <w:jc w:val="left"/>
                    <w:rPr>
                      <w:szCs w:val="21"/>
                    </w:rPr>
                  </w:pPr>
                  <w:r>
                    <w:rPr>
                      <w:szCs w:val="21"/>
                    </w:rPr>
                    <w:t>本项目拟在环境影响评价文件审批前，取得主要污染物排放总量指标</w:t>
                  </w:r>
                </w:p>
              </w:tc>
              <w:tc>
                <w:tcPr>
                  <w:tcW w:w="502" w:type="pct"/>
                  <w:vAlign w:val="center"/>
                </w:tcPr>
                <w:p>
                  <w:pPr>
                    <w:keepNext w:val="0"/>
                    <w:keepLines w:val="0"/>
                    <w:suppressLineNumbers w:val="0"/>
                    <w:autoSpaceDE w:val="0"/>
                    <w:autoSpaceDN w:val="0"/>
                    <w:adjustRightInd w:val="0"/>
                    <w:snapToGrid w:val="0"/>
                    <w:spacing w:before="0" w:beforeAutospacing="0" w:after="0" w:afterAutospacing="0"/>
                    <w:ind w:left="0" w:right="0"/>
                    <w:jc w:val="center"/>
                    <w:rPr>
                      <w:szCs w:val="21"/>
                    </w:rPr>
                  </w:pPr>
                  <w:r>
                    <w:rPr>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53" w:hRule="atLeast"/>
                <w:jc w:val="center"/>
              </w:trPr>
              <w:tc>
                <w:tcPr>
                  <w:tcW w:w="835" w:type="pct"/>
                  <w:vAlign w:val="center"/>
                </w:tcPr>
                <w:p>
                  <w:pPr>
                    <w:keepNext w:val="0"/>
                    <w:keepLines w:val="0"/>
                    <w:suppressLineNumbers w:val="0"/>
                    <w:autoSpaceDE w:val="0"/>
                    <w:autoSpaceDN w:val="0"/>
                    <w:snapToGrid w:val="0"/>
                    <w:spacing w:before="0" w:beforeAutospacing="0" w:after="0" w:afterAutospacing="0"/>
                    <w:ind w:left="0" w:right="0"/>
                    <w:jc w:val="center"/>
                    <w:rPr>
                      <w:szCs w:val="21"/>
                    </w:rPr>
                  </w:pPr>
                  <w:r>
                    <w:rPr>
                      <w:rFonts w:hint="eastAsia"/>
                      <w:szCs w:val="21"/>
                    </w:rPr>
                    <w:t>《关于以改善环境质量为核心加强环境影响评价管理的通知》（环环评〔2016〕150号）</w:t>
                  </w:r>
                </w:p>
              </w:tc>
              <w:tc>
                <w:tcPr>
                  <w:tcW w:w="2257" w:type="pct"/>
                  <w:vAlign w:val="center"/>
                </w:tcPr>
                <w:p>
                  <w:pPr>
                    <w:keepNext w:val="0"/>
                    <w:keepLines w:val="0"/>
                    <w:suppressLineNumbers w:val="0"/>
                    <w:autoSpaceDE w:val="0"/>
                    <w:autoSpaceDN w:val="0"/>
                    <w:snapToGrid w:val="0"/>
                    <w:spacing w:before="0" w:beforeAutospacing="0" w:after="0" w:afterAutospacing="0"/>
                    <w:ind w:left="0" w:right="0" w:firstLine="420" w:firstLineChars="200"/>
                    <w:jc w:val="left"/>
                    <w:rPr>
                      <w:szCs w:val="21"/>
                    </w:rPr>
                  </w:pPr>
                  <w:r>
                    <w:rPr>
                      <w:rFonts w:hint="eastAsia"/>
                      <w:szCs w:val="21"/>
                    </w:rPr>
                    <w:t>（1）规划环评要作为规划所包含项目环评的重要依据，对于不符合规划环评结论及审查意见的项目环评，依法不予审批。（2）对于现有同类型项目环境污染或生态破坏严重、环境违法违规现象多发，致使环境容量接近或超过承载能力的地区，在现有问题整改到位前，依法暂停审批该地区同类行业的项目环评文件。（3）对环境质量现状超标的地区，项目拟采取的措施不能满足区域环境质量改善目标管理要求的，依法不予审批其环评文件。对未达到环境质量目标考核要求的地区，除民生项目与节能减排项目外，依法暂停审批该地区新增排放相应重点污染物的项目环评文件。除受自然条件限制、确实无法避让的铁路、公路、航道、防洪、管道、干渠、通讯、输变电等重要基础设施项目外，在生态保护红线范围内，严控各类开发建设活动，依法不予审批新建工业项目和矿产开发项目的环评文件。</w:t>
                  </w:r>
                </w:p>
              </w:tc>
              <w:tc>
                <w:tcPr>
                  <w:tcW w:w="1406" w:type="pct"/>
                  <w:vAlign w:val="center"/>
                </w:tcPr>
                <w:p>
                  <w:pPr>
                    <w:keepNext w:val="0"/>
                    <w:keepLines w:val="0"/>
                    <w:suppressLineNumbers w:val="0"/>
                    <w:autoSpaceDE w:val="0"/>
                    <w:autoSpaceDN w:val="0"/>
                    <w:snapToGrid w:val="0"/>
                    <w:spacing w:before="0" w:beforeAutospacing="0" w:after="0" w:afterAutospacing="0"/>
                    <w:ind w:left="0" w:right="0" w:firstLine="420" w:firstLineChars="200"/>
                    <w:jc w:val="left"/>
                    <w:rPr>
                      <w:szCs w:val="21"/>
                    </w:rPr>
                  </w:pPr>
                  <w:r>
                    <w:rPr>
                      <w:rFonts w:hint="eastAsia"/>
                      <w:szCs w:val="21"/>
                    </w:rPr>
                    <w:t>（1）本项目建设内容符合所在区域定位，且不在生态保护红线范围内</w:t>
                  </w:r>
                </w:p>
                <w:p>
                  <w:pPr>
                    <w:keepNext w:val="0"/>
                    <w:keepLines w:val="0"/>
                    <w:suppressLineNumbers w:val="0"/>
                    <w:autoSpaceDE w:val="0"/>
                    <w:autoSpaceDN w:val="0"/>
                    <w:snapToGrid w:val="0"/>
                    <w:spacing w:before="0" w:beforeAutospacing="0" w:after="0" w:afterAutospacing="0"/>
                    <w:ind w:left="0" w:right="0" w:firstLine="420" w:firstLineChars="200"/>
                    <w:jc w:val="left"/>
                    <w:rPr>
                      <w:szCs w:val="21"/>
                    </w:rPr>
                  </w:pPr>
                  <w:r>
                    <w:rPr>
                      <w:rFonts w:hint="eastAsia"/>
                      <w:szCs w:val="21"/>
                    </w:rPr>
                    <w:t>（2）项目所在地为</w:t>
                  </w:r>
                  <w:r>
                    <w:rPr>
                      <w:rFonts w:hint="eastAsia"/>
                      <w:szCs w:val="21"/>
                      <w:lang w:eastAsia="zh-CN"/>
                    </w:rPr>
                    <w:t>非</w:t>
                  </w:r>
                  <w:r>
                    <w:rPr>
                      <w:rFonts w:hint="eastAsia"/>
                      <w:szCs w:val="21"/>
                    </w:rPr>
                    <w:t>达标区，本项目各废气因子排放量较小，对周围保护目标影响均较小，均未超过各因子的环境质量标准。因此，项目排放的大气污染物对周围空气环境影响较小</w:t>
                  </w:r>
                </w:p>
              </w:tc>
              <w:tc>
                <w:tcPr>
                  <w:tcW w:w="502" w:type="pct"/>
                  <w:vAlign w:val="center"/>
                </w:tcPr>
                <w:p>
                  <w:pPr>
                    <w:keepNext w:val="0"/>
                    <w:keepLines w:val="0"/>
                    <w:suppressLineNumbers w:val="0"/>
                    <w:autoSpaceDE w:val="0"/>
                    <w:autoSpaceDN w:val="0"/>
                    <w:adjustRightInd w:val="0"/>
                    <w:snapToGrid w:val="0"/>
                    <w:spacing w:before="0" w:beforeAutospacing="0" w:after="0" w:afterAutospacing="0"/>
                    <w:ind w:left="0" w:right="0"/>
                    <w:jc w:val="center"/>
                    <w:rPr>
                      <w:szCs w:val="21"/>
                    </w:rPr>
                  </w:pPr>
                  <w:r>
                    <w:rPr>
                      <w:rFonts w:hint="eastAsia"/>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835" w:type="pct"/>
                  <w:vAlign w:val="center"/>
                </w:tcPr>
                <w:p>
                  <w:pPr>
                    <w:keepNext w:val="0"/>
                    <w:keepLines w:val="0"/>
                    <w:suppressLineNumbers w:val="0"/>
                    <w:autoSpaceDE w:val="0"/>
                    <w:autoSpaceDN w:val="0"/>
                    <w:snapToGrid w:val="0"/>
                    <w:spacing w:before="0" w:beforeAutospacing="0" w:after="0" w:afterAutospacing="0"/>
                    <w:ind w:left="0" w:right="0"/>
                    <w:jc w:val="center"/>
                    <w:rPr>
                      <w:szCs w:val="21"/>
                    </w:rPr>
                  </w:pPr>
                  <w:r>
                    <w:rPr>
                      <w:rFonts w:hint="eastAsia"/>
                      <w:szCs w:val="21"/>
                    </w:rPr>
                    <w:t>《关于全面加强生态环境保护坚决打好污染防治攻坚战的实施意见》（苏发〔2018〕24号）</w:t>
                  </w:r>
                </w:p>
              </w:tc>
              <w:tc>
                <w:tcPr>
                  <w:tcW w:w="2257" w:type="pct"/>
                  <w:vAlign w:val="center"/>
                </w:tcPr>
                <w:p>
                  <w:pPr>
                    <w:keepNext w:val="0"/>
                    <w:keepLines w:val="0"/>
                    <w:suppressLineNumbers w:val="0"/>
                    <w:autoSpaceDE w:val="0"/>
                    <w:autoSpaceDN w:val="0"/>
                    <w:snapToGrid w:val="0"/>
                    <w:spacing w:before="0" w:beforeAutospacing="0" w:after="0" w:afterAutospacing="0"/>
                    <w:ind w:left="0" w:right="0" w:firstLine="420" w:firstLineChars="200"/>
                    <w:jc w:val="left"/>
                    <w:rPr>
                      <w:szCs w:val="21"/>
                    </w:rPr>
                  </w:pPr>
                  <w:r>
                    <w:rPr>
                      <w:rFonts w:hint="eastAsia"/>
                      <w:szCs w:val="21"/>
                    </w:rPr>
                    <w:t>严禁在长江干流及主要支流岸线1公里范围内新建布局化工园区和化工企业。严格化工项目环评审批，提高准入门槛，新建化工项目原则上投资额不得低于10亿元，不得新建、改建、扩建三类中间体项目。</w:t>
                  </w:r>
                </w:p>
              </w:tc>
              <w:tc>
                <w:tcPr>
                  <w:tcW w:w="1406" w:type="pct"/>
                  <w:vAlign w:val="center"/>
                </w:tcPr>
                <w:p>
                  <w:pPr>
                    <w:keepNext w:val="0"/>
                    <w:keepLines w:val="0"/>
                    <w:suppressLineNumbers w:val="0"/>
                    <w:autoSpaceDE w:val="0"/>
                    <w:autoSpaceDN w:val="0"/>
                    <w:snapToGrid w:val="0"/>
                    <w:spacing w:before="0" w:beforeAutospacing="0" w:after="0" w:afterAutospacing="0"/>
                    <w:ind w:left="0" w:right="0" w:firstLine="420" w:firstLineChars="200"/>
                    <w:jc w:val="left"/>
                    <w:rPr>
                      <w:szCs w:val="21"/>
                    </w:rPr>
                  </w:pPr>
                  <w:r>
                    <w:rPr>
                      <w:rFonts w:hint="eastAsia"/>
                      <w:szCs w:val="21"/>
                    </w:rPr>
                    <w:t>本项目不属于化工企业</w:t>
                  </w:r>
                </w:p>
              </w:tc>
              <w:tc>
                <w:tcPr>
                  <w:tcW w:w="502" w:type="pct"/>
                  <w:vAlign w:val="center"/>
                </w:tcPr>
                <w:p>
                  <w:pPr>
                    <w:keepNext w:val="0"/>
                    <w:keepLines w:val="0"/>
                    <w:suppressLineNumbers w:val="0"/>
                    <w:autoSpaceDE w:val="0"/>
                    <w:autoSpaceDN w:val="0"/>
                    <w:snapToGrid w:val="0"/>
                    <w:spacing w:before="0" w:beforeAutospacing="0" w:after="0" w:afterAutospacing="0"/>
                    <w:ind w:left="0" w:right="0"/>
                    <w:jc w:val="left"/>
                    <w:rPr>
                      <w:szCs w:val="21"/>
                    </w:rPr>
                  </w:pPr>
                  <w:r>
                    <w:rPr>
                      <w:rFonts w:hint="eastAsia"/>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835" w:type="pct"/>
                  <w:vAlign w:val="center"/>
                </w:tcPr>
                <w:p>
                  <w:pPr>
                    <w:keepNext w:val="0"/>
                    <w:keepLines w:val="0"/>
                    <w:suppressLineNumbers w:val="0"/>
                    <w:autoSpaceDE w:val="0"/>
                    <w:autoSpaceDN w:val="0"/>
                    <w:adjustRightInd w:val="0"/>
                    <w:snapToGrid w:val="0"/>
                    <w:spacing w:before="0" w:beforeAutospacing="0" w:after="0" w:afterAutospacing="0"/>
                    <w:ind w:left="0" w:right="0"/>
                    <w:jc w:val="center"/>
                    <w:rPr>
                      <w:szCs w:val="21"/>
                    </w:rPr>
                  </w:pPr>
                  <w:r>
                    <w:rPr>
                      <w:szCs w:val="21"/>
                    </w:rPr>
                    <w:t>《省政府关于印发江苏省国家级生态保护红线规划的通知》</w:t>
                  </w:r>
                </w:p>
              </w:tc>
              <w:tc>
                <w:tcPr>
                  <w:tcW w:w="2257" w:type="pct"/>
                  <w:vAlign w:val="center"/>
                </w:tcPr>
                <w:p>
                  <w:pPr>
                    <w:keepNext w:val="0"/>
                    <w:keepLines w:val="0"/>
                    <w:suppressLineNumbers w:val="0"/>
                    <w:autoSpaceDE w:val="0"/>
                    <w:autoSpaceDN w:val="0"/>
                    <w:adjustRightInd w:val="0"/>
                    <w:snapToGrid w:val="0"/>
                    <w:spacing w:before="0" w:beforeAutospacing="0" w:after="0" w:afterAutospacing="0"/>
                    <w:ind w:left="0" w:right="0" w:firstLine="420" w:firstLineChars="200"/>
                    <w:jc w:val="left"/>
                    <w:rPr>
                      <w:szCs w:val="21"/>
                    </w:rPr>
                  </w:pPr>
                  <w:r>
                    <w:rPr>
                      <w:szCs w:val="21"/>
                    </w:rPr>
                    <w:t>生态保护红线原则上按禁止开发区域的要求进行管理，严禁不符合主体功能定位的各类开发活动，严禁任意改变用途。</w:t>
                  </w:r>
                </w:p>
              </w:tc>
              <w:tc>
                <w:tcPr>
                  <w:tcW w:w="1406" w:type="pct"/>
                  <w:vAlign w:val="center"/>
                </w:tcPr>
                <w:p>
                  <w:pPr>
                    <w:keepNext w:val="0"/>
                    <w:keepLines w:val="0"/>
                    <w:suppressLineNumbers w:val="0"/>
                    <w:autoSpaceDE w:val="0"/>
                    <w:autoSpaceDN w:val="0"/>
                    <w:adjustRightInd w:val="0"/>
                    <w:snapToGrid w:val="0"/>
                    <w:spacing w:before="0" w:beforeAutospacing="0" w:after="0" w:afterAutospacing="0"/>
                    <w:ind w:left="0" w:right="0" w:firstLine="420" w:firstLineChars="200"/>
                    <w:jc w:val="left"/>
                    <w:rPr>
                      <w:szCs w:val="21"/>
                    </w:rPr>
                  </w:pPr>
                  <w:r>
                    <w:rPr>
                      <w:szCs w:val="21"/>
                    </w:rPr>
                    <w:t>本项目不在生态保护红线内</w:t>
                  </w:r>
                </w:p>
              </w:tc>
              <w:tc>
                <w:tcPr>
                  <w:tcW w:w="502" w:type="pct"/>
                  <w:vAlign w:val="center"/>
                </w:tcPr>
                <w:p>
                  <w:pPr>
                    <w:keepNext w:val="0"/>
                    <w:keepLines w:val="0"/>
                    <w:suppressLineNumbers w:val="0"/>
                    <w:autoSpaceDE w:val="0"/>
                    <w:autoSpaceDN w:val="0"/>
                    <w:adjustRightInd w:val="0"/>
                    <w:snapToGrid w:val="0"/>
                    <w:spacing w:before="0" w:beforeAutospacing="0" w:after="0" w:afterAutospacing="0"/>
                    <w:ind w:left="0" w:right="0"/>
                    <w:jc w:val="center"/>
                    <w:rPr>
                      <w:szCs w:val="21"/>
                    </w:rPr>
                  </w:pPr>
                  <w:r>
                    <w:rPr>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835" w:type="pct"/>
                  <w:vAlign w:val="center"/>
                </w:tcPr>
                <w:p>
                  <w:pPr>
                    <w:keepNext w:val="0"/>
                    <w:keepLines w:val="0"/>
                    <w:suppressLineNumbers w:val="0"/>
                    <w:autoSpaceDE w:val="0"/>
                    <w:autoSpaceDN w:val="0"/>
                    <w:snapToGrid w:val="0"/>
                    <w:spacing w:before="0" w:beforeAutospacing="0" w:after="0" w:afterAutospacing="0"/>
                    <w:ind w:left="0" w:right="0"/>
                    <w:jc w:val="center"/>
                    <w:rPr>
                      <w:szCs w:val="21"/>
                    </w:rPr>
                  </w:pPr>
                  <w:r>
                    <w:rPr>
                      <w:rFonts w:hint="eastAsia"/>
                      <w:szCs w:val="21"/>
                    </w:rPr>
                    <w:t>《省政府办公厅关于加强危险废物污染防治工作的意见》（苏政办发〔2018〕91号）</w:t>
                  </w:r>
                </w:p>
              </w:tc>
              <w:tc>
                <w:tcPr>
                  <w:tcW w:w="2257" w:type="pct"/>
                  <w:vAlign w:val="center"/>
                </w:tcPr>
                <w:p>
                  <w:pPr>
                    <w:keepNext w:val="0"/>
                    <w:keepLines w:val="0"/>
                    <w:suppressLineNumbers w:val="0"/>
                    <w:autoSpaceDE w:val="0"/>
                    <w:autoSpaceDN w:val="0"/>
                    <w:snapToGrid w:val="0"/>
                    <w:spacing w:before="0" w:beforeAutospacing="0" w:after="0" w:afterAutospacing="0"/>
                    <w:ind w:left="0" w:right="0" w:firstLine="420" w:firstLineChars="200"/>
                    <w:jc w:val="left"/>
                    <w:rPr>
                      <w:szCs w:val="21"/>
                    </w:rPr>
                  </w:pPr>
                  <w:r>
                    <w:rPr>
                      <w:rFonts w:hint="eastAsia"/>
                      <w:szCs w:val="21"/>
                    </w:rPr>
                    <w:t>禁止审批无法落实危险废物利用、处置途径的项目，从严审批危险废物产生量大、本地无配套利用处置能力且需设区市统筹解决的项目。</w:t>
                  </w:r>
                </w:p>
              </w:tc>
              <w:tc>
                <w:tcPr>
                  <w:tcW w:w="1406" w:type="pct"/>
                  <w:vAlign w:val="center"/>
                </w:tcPr>
                <w:p>
                  <w:pPr>
                    <w:keepNext w:val="0"/>
                    <w:keepLines w:val="0"/>
                    <w:suppressLineNumbers w:val="0"/>
                    <w:autoSpaceDE w:val="0"/>
                    <w:autoSpaceDN w:val="0"/>
                    <w:snapToGrid w:val="0"/>
                    <w:spacing w:before="0" w:beforeAutospacing="0" w:after="0" w:afterAutospacing="0"/>
                    <w:ind w:left="0" w:right="0" w:firstLine="420" w:firstLineChars="200"/>
                    <w:jc w:val="left"/>
                    <w:rPr>
                      <w:szCs w:val="21"/>
                    </w:rPr>
                  </w:pPr>
                  <w:r>
                    <w:rPr>
                      <w:rFonts w:hint="eastAsia"/>
                      <w:szCs w:val="21"/>
                    </w:rPr>
                    <w:t>本项目危险废物合理合法利用、处置。固废处置率100%</w:t>
                  </w:r>
                </w:p>
              </w:tc>
              <w:tc>
                <w:tcPr>
                  <w:tcW w:w="502" w:type="pct"/>
                  <w:vAlign w:val="center"/>
                </w:tcPr>
                <w:p>
                  <w:pPr>
                    <w:keepNext w:val="0"/>
                    <w:keepLines w:val="0"/>
                    <w:suppressLineNumbers w:val="0"/>
                    <w:autoSpaceDE w:val="0"/>
                    <w:autoSpaceDN w:val="0"/>
                    <w:snapToGrid w:val="0"/>
                    <w:spacing w:before="0" w:beforeAutospacing="0" w:after="0" w:afterAutospacing="0"/>
                    <w:ind w:left="0" w:right="0"/>
                    <w:jc w:val="left"/>
                    <w:rPr>
                      <w:szCs w:val="21"/>
                    </w:rPr>
                  </w:pPr>
                  <w:r>
                    <w:rPr>
                      <w:rFonts w:hint="eastAsia"/>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835" w:type="pct"/>
                  <w:vAlign w:val="center"/>
                </w:tcPr>
                <w:p>
                  <w:pPr>
                    <w:keepNext w:val="0"/>
                    <w:keepLines w:val="0"/>
                    <w:suppressLineNumbers w:val="0"/>
                    <w:autoSpaceDE w:val="0"/>
                    <w:autoSpaceDN w:val="0"/>
                    <w:snapToGrid w:val="0"/>
                    <w:spacing w:before="0" w:beforeAutospacing="0" w:after="0" w:afterAutospacing="0"/>
                    <w:ind w:left="0" w:right="0"/>
                    <w:jc w:val="left"/>
                    <w:rPr>
                      <w:szCs w:val="21"/>
                    </w:rPr>
                  </w:pPr>
                  <w:r>
                    <w:rPr>
                      <w:szCs w:val="21"/>
                    </w:rPr>
                    <w:t>推动长江经济带发展领导小组办公室关于印发《长江经济带发展负面清单指南（试行，2022年版）》的通知（长江办〔2022〕7号）</w:t>
                  </w:r>
                </w:p>
              </w:tc>
              <w:tc>
                <w:tcPr>
                  <w:tcW w:w="2257" w:type="pct"/>
                  <w:vAlign w:val="center"/>
                </w:tcPr>
                <w:p>
                  <w:pPr>
                    <w:keepNext w:val="0"/>
                    <w:keepLines w:val="0"/>
                    <w:suppressLineNumbers w:val="0"/>
                    <w:autoSpaceDE w:val="0"/>
                    <w:autoSpaceDN w:val="0"/>
                    <w:snapToGrid w:val="0"/>
                    <w:spacing w:before="0" w:beforeAutospacing="0" w:after="0" w:afterAutospacing="0"/>
                    <w:ind w:left="0" w:right="0"/>
                    <w:jc w:val="left"/>
                    <w:rPr>
                      <w:szCs w:val="21"/>
                    </w:rPr>
                  </w:pPr>
                  <w:r>
                    <w:rPr>
                      <w:szCs w:val="21"/>
                    </w:rPr>
                    <w:t>1.禁止建设不符合全国和省级港口布局规划以及港口总体规划的码头项目，禁止建设不符合《长江干线过江通道布局规划》的过长江通道项目。2.禁止在自然保护区核心区、缓冲区的岸线和河段范围内投资建设旅游和生产经营项目。禁止在风景名胜区核心景区的岸线和河段范围内投资建设与风景名胜资源保护无关的项目。3.禁止在饮用水水源一级保护区的岸线和河段范围内新建、改建、扩建与供水设施和保护水源无关的项目，以及网箱养殖、畜禽养殖、旅游等可能污染饮用水水体的投资建设项目。禁止在饮用水水源二级保护区的岸线和河段范围内新建、改建、扩建排放污染物的投资建设项目。4.禁止在水产种质资源保护区的岸线和河段范围内新建围湖造田、</w:t>
                  </w:r>
                  <w:r>
                    <w:rPr>
                      <w:rFonts w:hint="eastAsia"/>
                      <w:szCs w:val="21"/>
                      <w:lang w:eastAsia="zh-CN"/>
                    </w:rPr>
                    <w:t>围</w:t>
                  </w:r>
                  <w:r>
                    <w:rPr>
                      <w:szCs w:val="21"/>
                    </w:rPr>
                    <w:t>海造地或围填海等投资建设项目。禁止在国家湿地公园的岸线和河段范围内挖沙、采矿，以及任何不符合主体功能定位的投资建设项目。5.禁止违法利用、占用</w:t>
                  </w:r>
                  <w:r>
                    <w:rPr>
                      <w:rFonts w:hint="eastAsia"/>
                      <w:szCs w:val="21"/>
                      <w:lang w:eastAsia="zh-CN"/>
                    </w:rPr>
                    <w:t>长江流域</w:t>
                  </w:r>
                  <w:r>
                    <w:rPr>
                      <w:szCs w:val="21"/>
                    </w:rPr>
                    <w:t>河湖岸线。禁止在《长江岸线保护和开发利用总体规划》划定的岸线保护区和保留区内投资建设除事关公共安全及公众利益的防洪护岸、河道治理、供水、生态环境保护、航道整治、国家重要基础设施以外的项目。禁止在《全国重要江河湖油水功能区划》划定的河段及湖泊保护区、保留区内投资建设不利于水资源及自然生态保护的项目。6．禁止未经许可在长江千支流及湖泊新设、改设或扩大排污口。7．禁止在“一江一口两湖七河”和332个水生生物保护区开展生产性捕捞。8.禁止在长江于支流、重要湖泊岸线一公里范围内新建、扩建化工园区和化工项目。禁止在长江干流岸线三公里范围内和重要支流岸线一公里范围内新建、改建、扩建尾矿库、冶炼渣库和磷石膏库，以提升安全、生态环境保护水平为目的的改建除外。9.禁止在合规园区外新建、扩建钢铁、石化、化工、焦化、建材、有色、制浆造纸等高污染项目。10.禁止新建、扩建不符合国家石化、现代煤化工等产业布局规划的项目。11.禁止新建、扩建法律法规和相关政策明令禁止的落后产能项目。禁止新建、扩建不符合国家产能置换要求的严重过剩产能行业的项目。禁止新建、扩建不符合要求的高耗能高排放项目。12，法律法规及相关政策文件有更加严格规定的从其规定。</w:t>
                  </w:r>
                </w:p>
              </w:tc>
              <w:tc>
                <w:tcPr>
                  <w:tcW w:w="1406" w:type="pct"/>
                  <w:vAlign w:val="center"/>
                </w:tcPr>
                <w:p>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ind w:left="0" w:right="0" w:firstLine="420" w:firstLineChars="200"/>
                    <w:jc w:val="left"/>
                    <w:textAlignment w:val="auto"/>
                    <w:rPr>
                      <w:szCs w:val="21"/>
                    </w:rPr>
                  </w:pPr>
                  <w:r>
                    <w:rPr>
                      <w:rFonts w:hint="eastAsia"/>
                      <w:szCs w:val="21"/>
                    </w:rPr>
                    <w:t>本</w:t>
                  </w:r>
                  <w:r>
                    <w:rPr>
                      <w:szCs w:val="21"/>
                    </w:rPr>
                    <w:t>项目不属于禁止建设项目</w:t>
                  </w:r>
                </w:p>
              </w:tc>
              <w:tc>
                <w:tcPr>
                  <w:tcW w:w="502" w:type="pct"/>
                  <w:vAlign w:val="center"/>
                </w:tcPr>
                <w:p>
                  <w:pPr>
                    <w:keepNext w:val="0"/>
                    <w:keepLines w:val="0"/>
                    <w:suppressLineNumbers w:val="0"/>
                    <w:autoSpaceDE w:val="0"/>
                    <w:autoSpaceDN w:val="0"/>
                    <w:adjustRightInd w:val="0"/>
                    <w:snapToGrid w:val="0"/>
                    <w:spacing w:before="0" w:beforeAutospacing="0" w:after="0" w:afterAutospacing="0"/>
                    <w:ind w:left="0" w:right="0"/>
                    <w:jc w:val="center"/>
                    <w:rPr>
                      <w:szCs w:val="21"/>
                    </w:rPr>
                  </w:pPr>
                  <w:r>
                    <w:rPr>
                      <w:szCs w:val="21"/>
                    </w:rPr>
                    <w:t>符合</w:t>
                  </w:r>
                </w:p>
              </w:tc>
            </w:tr>
          </w:tbl>
          <w:p>
            <w:pPr>
              <w:keepNext w:val="0"/>
              <w:keepLines w:val="0"/>
              <w:suppressLineNumbers w:val="0"/>
              <w:autoSpaceDE w:val="0"/>
              <w:autoSpaceDN w:val="0"/>
              <w:adjustRightInd w:val="0"/>
              <w:snapToGrid w:val="0"/>
              <w:spacing w:before="0" w:beforeAutospacing="0" w:after="0" w:afterAutospacing="0" w:line="360" w:lineRule="auto"/>
              <w:ind w:left="0" w:right="0" w:firstLine="482" w:firstLineChars="200"/>
              <w:rPr>
                <w:b/>
                <w:bCs/>
                <w:sz w:val="24"/>
              </w:rPr>
            </w:pPr>
            <w:r>
              <w:rPr>
                <w:rFonts w:hint="eastAsia"/>
                <w:b/>
                <w:bCs/>
                <w:sz w:val="24"/>
              </w:rPr>
              <w:t>（2）</w:t>
            </w:r>
            <w:r>
              <w:rPr>
                <w:b/>
                <w:bCs/>
                <w:sz w:val="24"/>
              </w:rPr>
              <w:t>与《关于加强高耗能、高排放建设项目生态环境源头防控的指导意见》（环环评【2021】45号）相符性分析</w:t>
            </w:r>
          </w:p>
          <w:p>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rPr>
                <w:sz w:val="24"/>
              </w:rPr>
            </w:pPr>
            <w:r>
              <w:rPr>
                <w:sz w:val="24"/>
              </w:rPr>
              <w:t>二、严格“两高”项目环评审批</w:t>
            </w:r>
          </w:p>
          <w:p>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rPr>
                <w:sz w:val="24"/>
              </w:rPr>
            </w:pPr>
            <w:r>
              <w:rPr>
                <w:sz w:val="24"/>
              </w:rPr>
              <w:t>（三）严把建设项目环境准入关。新建、改建、扩建“两高”项目须符合生态环境保护法律法规和相关法定规划，满足重点污染物排放总量控制、碳排放达峰目标、生态环境准入清单、相关规划环评和相应行业建设项目环境准入条件、环评文件审批原则要求。石化、现代煤化工项目应纳入国家产业规划。新建、扩建石化、化工、焦化、有色金属冶炼、平板玻璃项目应布设在依法合规设立并经规划环评的产业园区。各级生态环境部门和行政审批部门要严格把关，对于不符合相关法律法规的，依法不予审批。</w:t>
            </w:r>
          </w:p>
          <w:p>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rPr>
                <w:sz w:val="24"/>
              </w:rPr>
            </w:pPr>
            <w:r>
              <w:rPr>
                <w:sz w:val="24"/>
              </w:rPr>
              <w:t>本项目</w:t>
            </w:r>
            <w:r>
              <w:rPr>
                <w:rFonts w:hint="eastAsia"/>
                <w:sz w:val="24"/>
                <w:lang w:eastAsia="zh-CN"/>
              </w:rPr>
              <w:t>建设性质为迁建，</w:t>
            </w:r>
            <w:r>
              <w:rPr>
                <w:sz w:val="24"/>
              </w:rPr>
              <w:t>主要从事</w:t>
            </w:r>
            <w:r>
              <w:rPr>
                <w:rFonts w:hint="eastAsia"/>
                <w:sz w:val="24"/>
              </w:rPr>
              <w:t>电机铁芯和电机机壳</w:t>
            </w:r>
            <w:r>
              <w:rPr>
                <w:sz w:val="24"/>
              </w:rPr>
              <w:t>制造</w:t>
            </w:r>
            <w:r>
              <w:rPr>
                <w:rFonts w:hint="eastAsia"/>
                <w:sz w:val="24"/>
              </w:rPr>
              <w:t>，不属于“两高”项目</w:t>
            </w:r>
            <w:r>
              <w:rPr>
                <w:sz w:val="24"/>
              </w:rPr>
              <w:t>，不属于上述管控行业，与《关于加强高耗能、高排放建设项目生态环境源头防控的指导意见》相符。</w:t>
            </w:r>
          </w:p>
          <w:p>
            <w:pPr>
              <w:keepNext w:val="0"/>
              <w:keepLines w:val="0"/>
              <w:suppressLineNumbers w:val="0"/>
              <w:autoSpaceDE w:val="0"/>
              <w:autoSpaceDN w:val="0"/>
              <w:adjustRightInd w:val="0"/>
              <w:snapToGrid w:val="0"/>
              <w:spacing w:before="0" w:beforeAutospacing="0" w:after="0" w:afterAutospacing="0" w:line="360" w:lineRule="auto"/>
              <w:ind w:left="0" w:right="0" w:firstLine="482" w:firstLineChars="200"/>
              <w:rPr>
                <w:b/>
                <w:bCs/>
                <w:sz w:val="24"/>
              </w:rPr>
            </w:pPr>
            <w:r>
              <w:rPr>
                <w:rFonts w:hint="eastAsia"/>
                <w:b/>
                <w:bCs/>
                <w:sz w:val="24"/>
              </w:rPr>
              <w:t>（3）</w:t>
            </w:r>
            <w:r>
              <w:rPr>
                <w:b/>
                <w:bCs/>
                <w:sz w:val="24"/>
              </w:rPr>
              <w:t>根据《市生态环境局关于建设项目的审批指导意见（试行）》（常州市生态环境局，2021年4月7日）分析</w:t>
            </w:r>
          </w:p>
          <w:p>
            <w:pPr>
              <w:keepNext w:val="0"/>
              <w:keepLines w:val="0"/>
              <w:suppressLineNumbers w:val="0"/>
              <w:snapToGrid w:val="0"/>
              <w:spacing w:before="0" w:beforeAutospacing="0" w:after="0" w:afterAutospacing="0" w:line="360" w:lineRule="auto"/>
              <w:ind w:left="0" w:right="0" w:firstLine="480" w:firstLineChars="200"/>
              <w:rPr>
                <w:sz w:val="24"/>
                <w:highlight w:val="yellow"/>
              </w:rPr>
            </w:pPr>
            <w:r>
              <w:rPr>
                <w:sz w:val="24"/>
              </w:rPr>
              <w:t>本项目位于江苏省常州市武进区洛阳镇新科西路21号，对照常州市大气质量国控站点，</w:t>
            </w:r>
            <w:r>
              <w:rPr>
                <w:rFonts w:hint="eastAsia"/>
                <w:bCs/>
                <w:sz w:val="24"/>
              </w:rPr>
              <w:t>常州市武进生态环境局位于本项目西北侧13.5km，星韵学校位于本项目西北侧20.5km</w:t>
            </w:r>
            <w:r>
              <w:rPr>
                <w:sz w:val="24"/>
              </w:rPr>
              <w:t>；本项目从事</w:t>
            </w:r>
            <w:r>
              <w:rPr>
                <w:rFonts w:hint="eastAsia"/>
                <w:sz w:val="24"/>
              </w:rPr>
              <w:t>电机铁芯和电机机壳</w:t>
            </w:r>
            <w:r>
              <w:rPr>
                <w:sz w:val="24"/>
              </w:rPr>
              <w:t>制造，不属于高能耗项目。</w:t>
            </w:r>
          </w:p>
          <w:p>
            <w:pPr>
              <w:keepNext w:val="0"/>
              <w:keepLines w:val="0"/>
              <w:suppressLineNumbers w:val="0"/>
              <w:autoSpaceDE w:val="0"/>
              <w:autoSpaceDN w:val="0"/>
              <w:adjustRightInd w:val="0"/>
              <w:snapToGrid w:val="0"/>
              <w:spacing w:before="0" w:beforeAutospacing="0" w:after="0" w:afterAutospacing="0" w:line="360" w:lineRule="auto"/>
              <w:ind w:left="0" w:right="0" w:firstLine="482" w:firstLineChars="200"/>
              <w:jc w:val="left"/>
              <w:rPr>
                <w:b/>
                <w:bCs/>
                <w:sz w:val="24"/>
              </w:rPr>
            </w:pPr>
            <w:r>
              <w:rPr>
                <w:b/>
                <w:bCs/>
                <w:sz w:val="24"/>
              </w:rPr>
              <w:t>（</w:t>
            </w:r>
            <w:r>
              <w:rPr>
                <w:rFonts w:hint="eastAsia"/>
                <w:b/>
                <w:bCs/>
                <w:sz w:val="24"/>
              </w:rPr>
              <w:t>4</w:t>
            </w:r>
            <w:r>
              <w:rPr>
                <w:b/>
                <w:bCs/>
                <w:sz w:val="24"/>
              </w:rPr>
              <w:t>）《长江经济带发展负面清单指南</w:t>
            </w:r>
            <w:r>
              <w:rPr>
                <w:rFonts w:hint="eastAsia"/>
                <w:b/>
                <w:bCs/>
                <w:sz w:val="24"/>
                <w:lang w:eastAsia="zh-CN"/>
              </w:rPr>
              <w:t>－</w:t>
            </w:r>
            <w:r>
              <w:rPr>
                <w:b/>
                <w:bCs/>
                <w:sz w:val="24"/>
              </w:rPr>
              <w:t>江苏省实施细则（试行）》（苏长江办发〔2019〕136号）相符性分析</w:t>
            </w:r>
          </w:p>
          <w:p>
            <w:pPr>
              <w:pStyle w:val="2"/>
              <w:keepNext w:val="0"/>
              <w:keepLines w:val="0"/>
              <w:suppressLineNumbers w:val="0"/>
              <w:spacing w:before="0" w:beforeAutospacing="0" w:after="0" w:afterAutospacing="0"/>
              <w:ind w:left="0" w:leftChars="0" w:right="0" w:rightChars="0"/>
              <w:jc w:val="center"/>
              <w:rPr>
                <w:rFonts w:ascii="Times New Roman" w:hAnsi="Times New Roman"/>
                <w:b/>
                <w:bCs/>
                <w:sz w:val="24"/>
                <w:szCs w:val="24"/>
              </w:rPr>
            </w:pPr>
          </w:p>
          <w:p>
            <w:pPr>
              <w:pStyle w:val="2"/>
              <w:keepNext w:val="0"/>
              <w:keepLines w:val="0"/>
              <w:suppressLineNumbers w:val="0"/>
              <w:spacing w:before="0" w:beforeAutospacing="0" w:after="0" w:afterAutospacing="0"/>
              <w:ind w:left="0" w:leftChars="0" w:right="0" w:rightChars="0"/>
              <w:jc w:val="center"/>
              <w:rPr>
                <w:rFonts w:ascii="Times New Roman" w:hAnsi="Times New Roman"/>
                <w:b/>
                <w:bCs/>
                <w:sz w:val="24"/>
                <w:szCs w:val="24"/>
              </w:rPr>
            </w:pPr>
            <w:r>
              <w:rPr>
                <w:rFonts w:ascii="Times New Roman" w:hAnsi="Times New Roman"/>
                <w:b/>
                <w:bCs/>
                <w:sz w:val="24"/>
                <w:szCs w:val="24"/>
              </w:rPr>
              <w:t>表1-</w:t>
            </w:r>
            <w:r>
              <w:rPr>
                <w:rFonts w:hint="eastAsia" w:ascii="Times New Roman" w:hAnsi="Times New Roman"/>
                <w:b/>
                <w:bCs/>
                <w:sz w:val="24"/>
                <w:szCs w:val="24"/>
              </w:rPr>
              <w:t>14</w:t>
            </w:r>
            <w:r>
              <w:rPr>
                <w:rFonts w:ascii="Times New Roman" w:hAnsi="Times New Roman"/>
                <w:b/>
                <w:bCs/>
                <w:sz w:val="24"/>
                <w:szCs w:val="24"/>
              </w:rPr>
              <w:t xml:space="preserve"> </w:t>
            </w:r>
            <w:r>
              <w:rPr>
                <w:rFonts w:hint="eastAsia" w:ascii="Times New Roman" w:hAnsi="Times New Roman"/>
                <w:b/>
                <w:bCs/>
                <w:sz w:val="24"/>
                <w:szCs w:val="24"/>
              </w:rPr>
              <w:t>与</w:t>
            </w:r>
            <w:r>
              <w:rPr>
                <w:rFonts w:ascii="Times New Roman" w:hAnsi="Times New Roman"/>
                <w:b/>
                <w:bCs/>
                <w:sz w:val="24"/>
                <w:szCs w:val="24"/>
              </w:rPr>
              <w:t>苏长江办发〔2019〕136号相符性分析</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262"/>
              <w:gridCol w:w="203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75" w:type="pct"/>
                  <w:vAlign w:val="center"/>
                </w:tcPr>
                <w:p>
                  <w:pPr>
                    <w:keepNext w:val="0"/>
                    <w:keepLines w:val="0"/>
                    <w:suppressLineNumbers w:val="0"/>
                    <w:spacing w:before="0" w:beforeAutospacing="0" w:after="0" w:afterAutospacing="0"/>
                    <w:ind w:left="0" w:right="0"/>
                    <w:jc w:val="center"/>
                    <w:rPr>
                      <w:b/>
                    </w:rPr>
                  </w:pPr>
                  <w:r>
                    <w:rPr>
                      <w:b/>
                    </w:rPr>
                    <w:t>要求</w:t>
                  </w:r>
                </w:p>
              </w:tc>
              <w:tc>
                <w:tcPr>
                  <w:tcW w:w="1225" w:type="pct"/>
                  <w:vAlign w:val="center"/>
                </w:tcPr>
                <w:p>
                  <w:pPr>
                    <w:keepNext w:val="0"/>
                    <w:keepLines w:val="0"/>
                    <w:suppressLineNumbers w:val="0"/>
                    <w:spacing w:before="0" w:beforeAutospacing="0" w:after="0" w:afterAutospacing="0"/>
                    <w:ind w:left="0" w:right="0"/>
                    <w:jc w:val="center"/>
                    <w:rPr>
                      <w:b/>
                    </w:rPr>
                  </w:pPr>
                  <w:r>
                    <w:rPr>
                      <w:b/>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3775" w:type="pct"/>
                  <w:vAlign w:val="center"/>
                </w:tcPr>
                <w:p>
                  <w:pPr>
                    <w:keepNext w:val="0"/>
                    <w:keepLines w:val="0"/>
                    <w:suppressLineNumbers w:val="0"/>
                    <w:spacing w:before="0" w:beforeAutospacing="0" w:after="0" w:afterAutospacing="0"/>
                    <w:ind w:left="0" w:right="0" w:firstLine="420" w:firstLineChars="200"/>
                  </w:pPr>
                  <w:r>
                    <w:t>1）禁止建设不符合全国和省级港口布局规划以及港口</w:t>
                  </w:r>
                  <w:r>
                    <w:rPr>
                      <w:rFonts w:hint="eastAsia"/>
                      <w:lang w:eastAsia="zh-CN"/>
                    </w:rPr>
                    <w:t>总体规划</w:t>
                  </w:r>
                  <w:r>
                    <w:t>的码头项目，禁止建设不符合《长江干线过江通道布局规划》的过长江通道项目。</w:t>
                  </w:r>
                </w:p>
              </w:tc>
              <w:tc>
                <w:tcPr>
                  <w:tcW w:w="1225" w:type="pct"/>
                  <w:vAlign w:val="center"/>
                </w:tcPr>
                <w:p>
                  <w:pPr>
                    <w:keepNext w:val="0"/>
                    <w:keepLines w:val="0"/>
                    <w:suppressLineNumbers w:val="0"/>
                    <w:spacing w:before="0" w:beforeAutospacing="0" w:after="0" w:afterAutospacing="0"/>
                    <w:ind w:left="0" w:right="0" w:firstLine="420" w:firstLineChars="200"/>
                    <w:jc w:val="left"/>
                  </w:pPr>
                  <w:r>
                    <w:t>本项目不属于码头和通道项目。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3775" w:type="pct"/>
                  <w:vAlign w:val="center"/>
                </w:tcPr>
                <w:p>
                  <w:pPr>
                    <w:keepNext w:val="0"/>
                    <w:keepLines w:val="0"/>
                    <w:suppressLineNumbers w:val="0"/>
                    <w:spacing w:before="0" w:beforeAutospacing="0" w:after="0" w:afterAutospacing="0"/>
                    <w:ind w:left="0" w:right="0" w:firstLine="420" w:firstLineChars="200"/>
                  </w:pPr>
                  <w:r>
                    <w:t>2）禁止在自然保护区核心区、缓冲区的岸线和河段范围内投资建设旅游和生产经营项目。禁止在风景名胜区核心景区的岸线和河段范围内投资建设与风景名胜资源保护无关的项目。</w:t>
                  </w:r>
                </w:p>
              </w:tc>
              <w:tc>
                <w:tcPr>
                  <w:tcW w:w="1225" w:type="pct"/>
                  <w:vMerge w:val="restart"/>
                  <w:vAlign w:val="center"/>
                </w:tcPr>
                <w:p>
                  <w:pPr>
                    <w:keepNext w:val="0"/>
                    <w:keepLines w:val="0"/>
                    <w:suppressLineNumbers w:val="0"/>
                    <w:spacing w:before="0" w:beforeAutospacing="0" w:after="0" w:afterAutospacing="0"/>
                    <w:ind w:left="0" w:right="0" w:firstLine="420" w:firstLineChars="200"/>
                    <w:jc w:val="left"/>
                  </w:pPr>
                  <w:r>
                    <w:rPr>
                      <w:szCs w:val="21"/>
                    </w:rPr>
                    <w:t>本项目不属于</w:t>
                  </w:r>
                  <w:r>
                    <w:t>上述区域范围内。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3775" w:type="pct"/>
                  <w:vAlign w:val="center"/>
                </w:tcPr>
                <w:p>
                  <w:pPr>
                    <w:keepNext w:val="0"/>
                    <w:keepLines w:val="0"/>
                    <w:suppressLineNumbers w:val="0"/>
                    <w:spacing w:before="0" w:beforeAutospacing="0" w:after="0" w:afterAutospacing="0"/>
                    <w:ind w:left="0" w:right="0" w:firstLine="420" w:firstLineChars="200"/>
                  </w:pPr>
                  <w:r>
                    <w:t>3）禁止在饮用水水源一级保护区的岸线和河段范围内新建、改建、扩建与供水设施和保护水源无关的项目，以及网箱养殖、旅游等可能污染饮用水水体的投资建设项目。禁止在饮用水水源二级保护区的岸线和河段范围内新建、改建、扩建排放污染物的投资建设项目。</w:t>
                  </w:r>
                </w:p>
              </w:tc>
              <w:tc>
                <w:tcPr>
                  <w:tcW w:w="1225" w:type="pct"/>
                  <w:vMerge w:val="continue"/>
                  <w:vAlign w:val="center"/>
                </w:tcPr>
                <w:p>
                  <w:pPr>
                    <w:keepNext w:val="0"/>
                    <w:keepLines w:val="0"/>
                    <w:suppressLineNumbers w:val="0"/>
                    <w:spacing w:before="0" w:beforeAutospacing="0" w:after="0" w:afterAutospacing="0"/>
                    <w:ind w:left="0" w:right="0"/>
                    <w:jc w:val="left"/>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3775" w:type="pct"/>
                  <w:vAlign w:val="center"/>
                </w:tcPr>
                <w:p>
                  <w:pPr>
                    <w:keepNext w:val="0"/>
                    <w:keepLines w:val="0"/>
                    <w:suppressLineNumbers w:val="0"/>
                    <w:spacing w:before="0" w:beforeAutospacing="0" w:after="0" w:afterAutospacing="0"/>
                    <w:ind w:left="0" w:right="0" w:firstLine="420" w:firstLineChars="200"/>
                  </w:pPr>
                  <w:r>
                    <w:t>4）禁止在水产种质资源保护区的岸线和河段范围内新建排污口，以及围湖造田、围海造地或围填海等投资建设项目。禁止在国家湿地公园的岸线和河段范围内挖沙、采矿，以及任何不符合主体功能定位的投资建设项目。</w:t>
                  </w:r>
                </w:p>
              </w:tc>
              <w:tc>
                <w:tcPr>
                  <w:tcW w:w="1225" w:type="pct"/>
                  <w:vMerge w:val="continue"/>
                  <w:vAlign w:val="center"/>
                </w:tcPr>
                <w:p>
                  <w:pPr>
                    <w:keepNext w:val="0"/>
                    <w:keepLines w:val="0"/>
                    <w:suppressLineNumbers w:val="0"/>
                    <w:spacing w:before="0" w:beforeAutospacing="0" w:after="0" w:afterAutospacing="0"/>
                    <w:ind w:left="0" w:right="0" w:firstLine="420" w:firstLineChars="200"/>
                    <w:jc w:val="left"/>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3775" w:type="pct"/>
                  <w:vAlign w:val="center"/>
                </w:tcPr>
                <w:p>
                  <w:pPr>
                    <w:keepNext w:val="0"/>
                    <w:keepLines w:val="0"/>
                    <w:suppressLineNumbers w:val="0"/>
                    <w:spacing w:before="0" w:beforeAutospacing="0" w:after="0" w:afterAutospacing="0"/>
                    <w:ind w:left="0" w:right="0" w:firstLine="420" w:firstLineChars="200"/>
                  </w:pPr>
                  <w:r>
                    <w:t>5）投资建设除保障防洪安全、河势稳定、供水安全以及保护生态环境、已建重要枢纽工程以外的项目，禁止在岸线保留区内投资建设除保障防洪安全、河势稳定、供水安全、航道稳定以及保护生态环境以外的项目。禁止在《全国重要江河湖泊水功能区划》划定的河段保护区、保留区内投资建设不利于水资源及自然生态保护的项目。</w:t>
                  </w:r>
                </w:p>
              </w:tc>
              <w:tc>
                <w:tcPr>
                  <w:tcW w:w="1225" w:type="pct"/>
                  <w:vAlign w:val="center"/>
                </w:tcPr>
                <w:p>
                  <w:pPr>
                    <w:keepNext w:val="0"/>
                    <w:keepLines w:val="0"/>
                    <w:suppressLineNumbers w:val="0"/>
                    <w:spacing w:before="0" w:beforeAutospacing="0" w:after="0" w:afterAutospacing="0"/>
                    <w:ind w:left="0" w:right="0" w:firstLine="420" w:firstLineChars="200"/>
                    <w:jc w:val="left"/>
                  </w:pPr>
                  <w:r>
                    <w:t>本项目不属于划定的岸线保护区、河段保护区、保留区内。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75" w:type="pct"/>
                  <w:vAlign w:val="center"/>
                </w:tcPr>
                <w:p>
                  <w:pPr>
                    <w:keepNext w:val="0"/>
                    <w:keepLines w:val="0"/>
                    <w:suppressLineNumbers w:val="0"/>
                    <w:spacing w:before="0" w:beforeAutospacing="0" w:after="0" w:afterAutospacing="0"/>
                    <w:ind w:left="0" w:right="0" w:firstLine="420" w:firstLineChars="200"/>
                  </w:pPr>
                  <w:r>
                    <w:t>6）禁止在生态保护红线和永久基本农田范围内投资建设除国家重大战略资源勘查项目、生态保护修复和环境治理项目、重大基础设施项目、军事国防项目以及农牧民基本生产生活等必要的民生项目以外的项目。</w:t>
                  </w:r>
                </w:p>
              </w:tc>
              <w:tc>
                <w:tcPr>
                  <w:tcW w:w="1225" w:type="pct"/>
                  <w:vAlign w:val="center"/>
                </w:tcPr>
                <w:p>
                  <w:pPr>
                    <w:keepNext w:val="0"/>
                    <w:keepLines w:val="0"/>
                    <w:suppressLineNumbers w:val="0"/>
                    <w:spacing w:before="0" w:beforeAutospacing="0" w:after="0" w:afterAutospacing="0"/>
                    <w:ind w:left="0" w:right="0" w:firstLine="420" w:firstLineChars="200"/>
                    <w:jc w:val="left"/>
                  </w:pPr>
                  <w:r>
                    <w:t>本项目不在生态保护红线和永久基本农田范围内。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75" w:type="pct"/>
                  <w:vAlign w:val="center"/>
                </w:tcPr>
                <w:p>
                  <w:pPr>
                    <w:keepNext w:val="0"/>
                    <w:keepLines w:val="0"/>
                    <w:suppressLineNumbers w:val="0"/>
                    <w:spacing w:before="0" w:beforeAutospacing="0" w:after="0" w:afterAutospacing="0"/>
                    <w:ind w:left="0" w:right="0" w:firstLine="420" w:firstLineChars="200"/>
                  </w:pPr>
                  <w:r>
                    <w:t>7）禁止在长江干支流1公里范围内新建、扩建化工园区和化工项目。禁止在合规园区外新建、扩建钢铁、石化、化工、焦化、建材、有色等高污染项目。</w:t>
                  </w:r>
                </w:p>
              </w:tc>
              <w:tc>
                <w:tcPr>
                  <w:tcW w:w="1225" w:type="pct"/>
                  <w:vAlign w:val="center"/>
                </w:tcPr>
                <w:p>
                  <w:pPr>
                    <w:keepNext w:val="0"/>
                    <w:keepLines w:val="0"/>
                    <w:suppressLineNumbers w:val="0"/>
                    <w:spacing w:before="0" w:beforeAutospacing="0" w:after="0" w:afterAutospacing="0"/>
                    <w:ind w:left="0" w:right="0" w:firstLine="420" w:firstLineChars="200"/>
                    <w:jc w:val="left"/>
                  </w:pPr>
                  <w:r>
                    <w:t>本项目不在长江干流和主要支流岸线1公里范围内。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75" w:type="pct"/>
                  <w:vAlign w:val="center"/>
                </w:tcPr>
                <w:p>
                  <w:pPr>
                    <w:keepNext w:val="0"/>
                    <w:keepLines w:val="0"/>
                    <w:suppressLineNumbers w:val="0"/>
                    <w:spacing w:before="0" w:beforeAutospacing="0" w:after="0" w:afterAutospacing="0"/>
                    <w:ind w:left="0" w:right="0" w:firstLine="420" w:firstLineChars="200"/>
                  </w:pPr>
                  <w:r>
                    <w:t>8）禁止新建、扩建不符合国家石化、现代煤化工等产业布局规划的项目。</w:t>
                  </w:r>
                </w:p>
              </w:tc>
              <w:tc>
                <w:tcPr>
                  <w:tcW w:w="1225" w:type="pct"/>
                  <w:vMerge w:val="restart"/>
                  <w:vAlign w:val="center"/>
                </w:tcPr>
                <w:p>
                  <w:pPr>
                    <w:keepNext w:val="0"/>
                    <w:keepLines w:val="0"/>
                    <w:suppressLineNumbers w:val="0"/>
                    <w:spacing w:before="0" w:beforeAutospacing="0" w:after="0" w:afterAutospacing="0"/>
                    <w:ind w:left="0" w:right="0" w:firstLine="420" w:firstLineChars="200"/>
                    <w:jc w:val="left"/>
                  </w:pPr>
                  <w:r>
                    <w:t>本项目不属于落后产能和严重过剩产能行业项目。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75" w:type="pct"/>
                  <w:vAlign w:val="center"/>
                </w:tcPr>
                <w:p>
                  <w:pPr>
                    <w:keepNext w:val="0"/>
                    <w:keepLines w:val="0"/>
                    <w:suppressLineNumbers w:val="0"/>
                    <w:spacing w:before="0" w:beforeAutospacing="0" w:after="0" w:afterAutospacing="0"/>
                    <w:ind w:left="0" w:right="0" w:firstLine="420" w:firstLineChars="200"/>
                  </w:pPr>
                  <w:r>
                    <w:t>9）禁止新建、扩建法律法规和相关政策明令禁止的落后产能项目。</w:t>
                  </w:r>
                </w:p>
              </w:tc>
              <w:tc>
                <w:tcPr>
                  <w:tcW w:w="1225" w:type="pct"/>
                  <w:vMerge w:val="continue"/>
                  <w:vAlign w:val="center"/>
                </w:tcPr>
                <w:p>
                  <w:pPr>
                    <w:keepNext w:val="0"/>
                    <w:keepLines w:val="0"/>
                    <w:suppressLineNumbers w:val="0"/>
                    <w:spacing w:before="0" w:beforeAutospacing="0" w:after="0" w:afterAutospacing="0"/>
                    <w:ind w:left="0" w:right="0" w:firstLine="420" w:firstLineChars="200"/>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75" w:type="pct"/>
                  <w:vAlign w:val="center"/>
                </w:tcPr>
                <w:p>
                  <w:pPr>
                    <w:keepNext w:val="0"/>
                    <w:keepLines w:val="0"/>
                    <w:suppressLineNumbers w:val="0"/>
                    <w:spacing w:before="0" w:beforeAutospacing="0" w:after="0" w:afterAutospacing="0"/>
                    <w:ind w:left="0" w:right="0" w:firstLine="420" w:firstLineChars="200"/>
                  </w:pPr>
                  <w:r>
                    <w:t>10）禁止新建、扩建不符合国家产能置换要求的严重过剩产能行业的项目。</w:t>
                  </w:r>
                </w:p>
              </w:tc>
              <w:tc>
                <w:tcPr>
                  <w:tcW w:w="1225" w:type="pct"/>
                  <w:vMerge w:val="continue"/>
                  <w:vAlign w:val="center"/>
                </w:tcPr>
                <w:p>
                  <w:pPr>
                    <w:keepNext w:val="0"/>
                    <w:keepLines w:val="0"/>
                    <w:suppressLineNumbers w:val="0"/>
                    <w:spacing w:before="0" w:beforeAutospacing="0" w:after="0" w:afterAutospacing="0"/>
                    <w:ind w:left="0" w:right="0" w:firstLine="420" w:firstLineChars="200"/>
                  </w:pPr>
                </w:p>
              </w:tc>
            </w:tr>
          </w:tbl>
          <w:p>
            <w:pPr>
              <w:pStyle w:val="27"/>
              <w:keepNext w:val="0"/>
              <w:keepLines w:val="0"/>
              <w:suppressLineNumbers w:val="0"/>
              <w:ind w:left="-84" w:firstLine="560"/>
            </w:pPr>
          </w:p>
          <w:p>
            <w:pPr>
              <w:pStyle w:val="27"/>
              <w:keepNext w:val="0"/>
              <w:keepLines w:val="0"/>
              <w:suppressLineNumbers w:val="0"/>
              <w:ind w:left="-84" w:firstLine="560"/>
            </w:pPr>
          </w:p>
          <w:p>
            <w:pPr>
              <w:pStyle w:val="27"/>
              <w:keepNext w:val="0"/>
              <w:keepLines w:val="0"/>
              <w:suppressLineNumbers w:val="0"/>
              <w:ind w:left="-84" w:firstLine="560"/>
            </w:pPr>
          </w:p>
          <w:p>
            <w:pPr>
              <w:pStyle w:val="27"/>
              <w:keepNext w:val="0"/>
              <w:keepLines w:val="0"/>
              <w:suppressLineNumbers w:val="0"/>
              <w:ind w:left="-84" w:firstLine="560"/>
            </w:pPr>
          </w:p>
          <w:p>
            <w:pPr>
              <w:pStyle w:val="27"/>
              <w:keepNext w:val="0"/>
              <w:keepLines w:val="0"/>
              <w:suppressLineNumbers w:val="0"/>
              <w:ind w:left="0" w:leftChars="0" w:firstLine="383" w:firstLineChars="137"/>
              <w:rPr>
                <w:rFonts w:eastAsiaTheme="minorEastAsia"/>
              </w:rPr>
            </w:pPr>
          </w:p>
        </w:tc>
      </w:tr>
    </w:tbl>
    <w:p>
      <w:pPr>
        <w:spacing w:line="360" w:lineRule="auto"/>
        <w:outlineLvl w:val="9"/>
        <w:rPr>
          <w:rFonts w:eastAsia="黑体"/>
          <w:sz w:val="30"/>
        </w:rPr>
        <w:sectPr>
          <w:footerReference r:id="rId6" w:type="default"/>
          <w:pgSz w:w="11906" w:h="16838"/>
          <w:pgMar w:top="1701" w:right="1531" w:bottom="1701" w:left="1531" w:header="851" w:footer="1077" w:gutter="0"/>
          <w:pgNumType w:start="1"/>
          <w:cols w:space="720" w:num="1"/>
          <w:docGrid w:linePitch="312" w:charSpace="0"/>
        </w:sectPr>
      </w:pPr>
    </w:p>
    <w:p>
      <w:pPr>
        <w:pStyle w:val="18"/>
        <w:spacing w:before="0" w:beforeAutospacing="0" w:after="0" w:afterAutospacing="0"/>
        <w:jc w:val="center"/>
        <w:outlineLvl w:val="0"/>
        <w:rPr>
          <w:rFonts w:ascii="黑体" w:hAnsi="黑体" w:eastAsia="黑体"/>
          <w:snapToGrid w:val="0"/>
          <w:sz w:val="30"/>
          <w:szCs w:val="30"/>
        </w:rPr>
      </w:pPr>
      <w:bookmarkStart w:id="3" w:name="_Toc28123"/>
      <w:r>
        <w:rPr>
          <w:rFonts w:hint="eastAsia" w:ascii="黑体" w:hAnsi="黑体" w:eastAsia="黑体"/>
          <w:snapToGrid w:val="0"/>
          <w:sz w:val="30"/>
          <w:szCs w:val="30"/>
        </w:rPr>
        <w:t>二、建设项目工程分析</w:t>
      </w:r>
      <w:bookmarkEnd w:id="3"/>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2"/>
        <w:gridCol w:w="8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2" w:type="dxa"/>
            <w:vAlign w:val="center"/>
          </w:tcPr>
          <w:p>
            <w:pPr>
              <w:pStyle w:val="18"/>
              <w:keepNext w:val="0"/>
              <w:keepLines w:val="0"/>
              <w:suppressLineNumbers w:val="0"/>
              <w:adjustRightInd w:val="0"/>
              <w:snapToGrid w:val="0"/>
              <w:spacing w:before="0" w:beforeAutospacing="0" w:after="0" w:afterAutospacing="0"/>
              <w:ind w:left="0" w:right="0"/>
              <w:jc w:val="center"/>
              <w:rPr>
                <w:rFonts w:cs="宋体"/>
                <w:sz w:val="21"/>
                <w:szCs w:val="21"/>
              </w:rPr>
            </w:pPr>
            <w:r>
              <w:rPr>
                <w:rFonts w:hint="eastAsia" w:cs="宋体"/>
                <w:sz w:val="21"/>
                <w:szCs w:val="21"/>
              </w:rPr>
              <w:t>建设内容</w:t>
            </w:r>
          </w:p>
        </w:tc>
        <w:tc>
          <w:tcPr>
            <w:tcW w:w="8668" w:type="dxa"/>
          </w:tcPr>
          <w:p>
            <w:pPr>
              <w:keepNext w:val="0"/>
              <w:keepLines w:val="0"/>
              <w:suppressLineNumbers w:val="0"/>
              <w:snapToGrid w:val="0"/>
              <w:spacing w:before="0" w:beforeAutospacing="0" w:after="0" w:afterAutospacing="0" w:line="360" w:lineRule="auto"/>
              <w:ind w:left="0" w:right="0"/>
              <w:rPr>
                <w:b/>
                <w:sz w:val="24"/>
              </w:rPr>
            </w:pPr>
            <w:r>
              <w:rPr>
                <w:b/>
                <w:sz w:val="24"/>
              </w:rPr>
              <w:t>1、项目</w:t>
            </w:r>
            <w:r>
              <w:rPr>
                <w:rFonts w:hint="eastAsia"/>
                <w:b/>
                <w:sz w:val="24"/>
              </w:rPr>
              <w:t>由来</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sz w:val="24"/>
              </w:rPr>
              <w:t>常州宝捷冲片有限公司成立于2003年09月25日，注册资本1000万元，原</w:t>
            </w:r>
            <w:r>
              <w:rPr>
                <w:rFonts w:hAnsi="宋体"/>
                <w:sz w:val="24"/>
              </w:rPr>
              <w:t>位于常州市东方东路</w:t>
            </w:r>
            <w:r>
              <w:rPr>
                <w:sz w:val="24"/>
              </w:rPr>
              <w:t>161</w:t>
            </w:r>
            <w:r>
              <w:rPr>
                <w:rFonts w:hAnsi="宋体"/>
                <w:sz w:val="24"/>
              </w:rPr>
              <w:t>号，经营范围为：</w:t>
            </w:r>
            <w:r>
              <w:rPr>
                <w:sz w:val="24"/>
              </w:rPr>
              <w:t>金属冲片、橡塑制品的制造、加工及销售；五金、交电的销售；货物进出口业务；铝压铸件的加工及销售；道路普通货物运输。（依法须经批准的项目，经相关部门批准后方可开展经营活动）一般项目：金属材料销售（除依法须经批准的项目外，凭营业执照依法自主开展经营活动）。</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sz w:val="24"/>
              </w:rPr>
              <w:t>常州宝捷冲片有限公司“新建金属冲片生产厂房项目环境影响评价报告表”于2007年4月9日取得了常州市戚墅堰区环境保护局的环评批复，并于2019年9月3日通过常州市生态环境局环保竣工验收（常环经开验【2019】66号）；“新建金属纵剪及冲压车间项目环境影响报告表”于2015年6月2日取得了常州市戚墅堰区环境保护局的环评批复，批复文号：戚环管表【2015】5号，并于2019年9月3日通过常州市生态环境局环保竣工验收（常环经开验【2019】66号）；“废气治理设施提升改造项目环境影响登记表”于2019年7月1日完成备案，备案号：20193204000100000659；“中小电机铁芯项目环境影响报告表”于2018年1月2日取得了江苏常州经济开发区管理委员会的环评批复，批复文号：常经审建【2017】364号。</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rFonts w:hAnsi="宋体"/>
                <w:sz w:val="24"/>
              </w:rPr>
              <w:t>由于</w:t>
            </w:r>
            <w:r>
              <w:rPr>
                <w:rFonts w:hint="eastAsia" w:hAnsi="宋体"/>
                <w:sz w:val="24"/>
                <w:lang w:eastAsia="zh-CN"/>
              </w:rPr>
              <w:t>市场经济发展，</w:t>
            </w:r>
            <w:r>
              <w:rPr>
                <w:rFonts w:hAnsi="宋体"/>
                <w:sz w:val="24"/>
              </w:rPr>
              <w:t>城镇规划</w:t>
            </w:r>
            <w:r>
              <w:rPr>
                <w:rFonts w:hint="eastAsia" w:hAnsi="宋体"/>
                <w:sz w:val="24"/>
                <w:lang w:eastAsia="zh-CN"/>
              </w:rPr>
              <w:t>调整</w:t>
            </w:r>
            <w:r>
              <w:rPr>
                <w:rFonts w:hAnsi="宋体"/>
                <w:sz w:val="24"/>
              </w:rPr>
              <w:t>，企业原厂址拟拆迁，常州宝捷冲片有限公司购买</w:t>
            </w:r>
            <w:r>
              <w:rPr>
                <w:rFonts w:hint="eastAsia" w:hAnsi="宋体"/>
                <w:sz w:val="24"/>
                <w:lang w:eastAsia="zh-CN"/>
              </w:rPr>
              <w:t>常州武进武新资产经营有限公司</w:t>
            </w:r>
            <w:r>
              <w:rPr>
                <w:rFonts w:hAnsi="宋体"/>
                <w:sz w:val="24"/>
              </w:rPr>
              <w:t>存量土地</w:t>
            </w:r>
            <w:r>
              <w:rPr>
                <w:sz w:val="24"/>
              </w:rPr>
              <w:t>68</w:t>
            </w:r>
            <w:r>
              <w:rPr>
                <w:rFonts w:hAnsi="宋体"/>
                <w:sz w:val="24"/>
              </w:rPr>
              <w:t>亩、存量厂房</w:t>
            </w:r>
            <w:r>
              <w:rPr>
                <w:sz w:val="24"/>
              </w:rPr>
              <w:t>26541.73</w:t>
            </w:r>
            <w:r>
              <w:rPr>
                <w:rFonts w:hAnsi="宋体"/>
                <w:sz w:val="24"/>
              </w:rPr>
              <w:t>平方米，并进行厂房改造，拟将生产项目</w:t>
            </w:r>
            <w:r>
              <w:rPr>
                <w:rFonts w:hint="eastAsia" w:hAnsi="宋体"/>
                <w:sz w:val="24"/>
                <w:lang w:eastAsia="zh-CN"/>
              </w:rPr>
              <w:t>整体</w:t>
            </w:r>
            <w:r>
              <w:rPr>
                <w:rFonts w:hAnsi="宋体"/>
                <w:sz w:val="24"/>
              </w:rPr>
              <w:t>搬迁</w:t>
            </w:r>
            <w:r>
              <w:rPr>
                <w:rFonts w:hint="eastAsia" w:hAnsi="宋体"/>
                <w:sz w:val="24"/>
                <w:lang w:eastAsia="zh-CN"/>
              </w:rPr>
              <w:t>至</w:t>
            </w:r>
            <w:r>
              <w:rPr>
                <w:rFonts w:hAnsi="宋体"/>
                <w:sz w:val="24"/>
              </w:rPr>
              <w:t>江苏省常州市武进区洛阳镇新科西路</w:t>
            </w:r>
            <w:r>
              <w:rPr>
                <w:sz w:val="24"/>
              </w:rPr>
              <w:t>21</w:t>
            </w:r>
            <w:r>
              <w:rPr>
                <w:rFonts w:hAnsi="宋体"/>
                <w:sz w:val="24"/>
              </w:rPr>
              <w:t>号。</w:t>
            </w:r>
          </w:p>
          <w:p>
            <w:pPr>
              <w:keepNext w:val="0"/>
              <w:keepLines w:val="0"/>
              <w:suppressLineNumbers w:val="0"/>
              <w:adjustRightInd w:val="0"/>
              <w:snapToGrid w:val="0"/>
              <w:spacing w:before="0" w:beforeAutospacing="0" w:after="0" w:afterAutospacing="0" w:line="360" w:lineRule="auto"/>
              <w:ind w:left="0" w:right="0" w:firstLine="480" w:firstLineChars="200"/>
              <w:rPr>
                <w:rFonts w:hAnsi="宋体"/>
                <w:sz w:val="24"/>
              </w:rPr>
            </w:pPr>
            <w:r>
              <w:rPr>
                <w:rFonts w:hAnsi="宋体"/>
                <w:sz w:val="24"/>
              </w:rPr>
              <w:t>本项目投资</w:t>
            </w:r>
            <w:r>
              <w:rPr>
                <w:sz w:val="24"/>
              </w:rPr>
              <w:t>3</w:t>
            </w:r>
            <w:r>
              <w:rPr>
                <w:rFonts w:hint="eastAsia"/>
                <w:sz w:val="24"/>
              </w:rPr>
              <w:t>05</w:t>
            </w:r>
            <w:r>
              <w:rPr>
                <w:sz w:val="24"/>
              </w:rPr>
              <w:t>00</w:t>
            </w:r>
            <w:r>
              <w:rPr>
                <w:rFonts w:hAnsi="宋体"/>
                <w:sz w:val="24"/>
              </w:rPr>
              <w:t>万元，购置高速冲床、</w:t>
            </w:r>
            <w:r>
              <w:rPr>
                <w:rFonts w:hint="eastAsia" w:hAnsi="宋体"/>
                <w:sz w:val="24"/>
              </w:rPr>
              <w:t>机壳精冲机、液压机、金属纵剪机</w:t>
            </w:r>
            <w:r>
              <w:rPr>
                <w:rFonts w:hAnsi="宋体"/>
                <w:sz w:val="24"/>
              </w:rPr>
              <w:t>等设备</w:t>
            </w:r>
            <w:r>
              <w:rPr>
                <w:sz w:val="24"/>
              </w:rPr>
              <w:t>1</w:t>
            </w:r>
            <w:r>
              <w:rPr>
                <w:rFonts w:hint="eastAsia"/>
                <w:sz w:val="24"/>
              </w:rPr>
              <w:t>03</w:t>
            </w:r>
            <w:r>
              <w:rPr>
                <w:rFonts w:hint="eastAsia"/>
                <w:sz w:val="24"/>
                <w:lang w:val="en-US" w:eastAsia="zh-CN"/>
              </w:rPr>
              <w:t>4</w:t>
            </w:r>
            <w:r>
              <w:rPr>
                <w:rFonts w:hAnsi="宋体"/>
                <w:sz w:val="24"/>
              </w:rPr>
              <w:t>台（套），项目建成后可形成年产电机</w:t>
            </w:r>
            <w:r>
              <w:rPr>
                <w:rFonts w:hint="eastAsia" w:hAnsi="宋体"/>
                <w:sz w:val="24"/>
              </w:rPr>
              <w:t>铁芯</w:t>
            </w:r>
            <w:r>
              <w:rPr>
                <w:sz w:val="24"/>
              </w:rPr>
              <w:t>3000</w:t>
            </w:r>
            <w:r>
              <w:rPr>
                <w:rFonts w:hAnsi="宋体"/>
                <w:sz w:val="24"/>
              </w:rPr>
              <w:t>万套、电机机壳</w:t>
            </w:r>
            <w:r>
              <w:rPr>
                <w:sz w:val="24"/>
              </w:rPr>
              <w:t>2000</w:t>
            </w:r>
            <w:r>
              <w:rPr>
                <w:rFonts w:hAnsi="宋体"/>
                <w:sz w:val="24"/>
              </w:rPr>
              <w:t>万只的生产能力。</w:t>
            </w:r>
            <w:r>
              <w:rPr>
                <w:rFonts w:hint="eastAsia" w:hAnsi="宋体"/>
                <w:sz w:val="24"/>
              </w:rPr>
              <w:t>企业目前处于项目前期准备阶段，预计于</w:t>
            </w:r>
            <w:r>
              <w:rPr>
                <w:rFonts w:hint="eastAsia" w:hAnsi="宋体"/>
                <w:sz w:val="24"/>
                <w:lang w:val="en-US" w:eastAsia="zh-CN"/>
              </w:rPr>
              <w:t>9</w:t>
            </w:r>
            <w:r>
              <w:rPr>
                <w:rFonts w:hint="eastAsia" w:hAnsi="宋体"/>
                <w:sz w:val="24"/>
              </w:rPr>
              <w:t>月可建成投产。</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rFonts w:hAnsi="宋体"/>
                <w:sz w:val="24"/>
              </w:rPr>
              <w:t>该项目于</w:t>
            </w:r>
            <w:r>
              <w:rPr>
                <w:sz w:val="24"/>
              </w:rPr>
              <w:t>202</w:t>
            </w:r>
            <w:r>
              <w:rPr>
                <w:rFonts w:hint="eastAsia"/>
                <w:sz w:val="24"/>
              </w:rPr>
              <w:t>2</w:t>
            </w:r>
            <w:r>
              <w:rPr>
                <w:rFonts w:hAnsi="宋体"/>
                <w:sz w:val="24"/>
              </w:rPr>
              <w:t>年</w:t>
            </w:r>
            <w:r>
              <w:rPr>
                <w:rFonts w:hint="eastAsia"/>
                <w:sz w:val="24"/>
              </w:rPr>
              <w:t>3</w:t>
            </w:r>
            <w:r>
              <w:rPr>
                <w:rFonts w:hAnsi="宋体"/>
                <w:sz w:val="24"/>
              </w:rPr>
              <w:t>月</w:t>
            </w:r>
            <w:r>
              <w:rPr>
                <w:rFonts w:hint="eastAsia"/>
                <w:sz w:val="24"/>
              </w:rPr>
              <w:t>4</w:t>
            </w:r>
            <w:r>
              <w:rPr>
                <w:rFonts w:hAnsi="宋体"/>
                <w:sz w:val="24"/>
              </w:rPr>
              <w:t>日取得了常州市武进区行政审批局的项目备案证明，备案证号：武行审备【</w:t>
            </w:r>
            <w:r>
              <w:rPr>
                <w:sz w:val="24"/>
              </w:rPr>
              <w:t>202</w:t>
            </w:r>
            <w:r>
              <w:rPr>
                <w:rFonts w:hint="eastAsia"/>
                <w:sz w:val="24"/>
              </w:rPr>
              <w:t>2</w:t>
            </w:r>
            <w:r>
              <w:rPr>
                <w:rFonts w:hAnsi="宋体"/>
                <w:sz w:val="24"/>
              </w:rPr>
              <w:t>】</w:t>
            </w:r>
            <w:r>
              <w:rPr>
                <w:rFonts w:hint="eastAsia"/>
                <w:sz w:val="24"/>
              </w:rPr>
              <w:t>57</w:t>
            </w:r>
            <w:r>
              <w:rPr>
                <w:rFonts w:hAnsi="宋体"/>
                <w:sz w:val="24"/>
              </w:rPr>
              <w:t>号，项目代码：</w:t>
            </w:r>
            <w:r>
              <w:rPr>
                <w:sz w:val="24"/>
              </w:rPr>
              <w:t>2</w:t>
            </w:r>
            <w:r>
              <w:rPr>
                <w:rFonts w:hint="eastAsia"/>
                <w:sz w:val="24"/>
              </w:rPr>
              <w:t>203</w:t>
            </w:r>
            <w:r>
              <w:rPr>
                <w:sz w:val="24"/>
              </w:rPr>
              <w:t>-320412-89-01-</w:t>
            </w:r>
            <w:r>
              <w:rPr>
                <w:rFonts w:hint="eastAsia"/>
                <w:sz w:val="24"/>
              </w:rPr>
              <w:t>219787</w:t>
            </w:r>
            <w:r>
              <w:rPr>
                <w:rFonts w:hAnsi="宋体"/>
                <w:sz w:val="24"/>
              </w:rPr>
              <w:t>。</w:t>
            </w:r>
          </w:p>
          <w:p>
            <w:pPr>
              <w:pStyle w:val="27"/>
              <w:keepNext w:val="0"/>
              <w:keepLines w:val="0"/>
              <w:suppressLineNumbers w:val="0"/>
              <w:spacing w:before="0" w:beforeAutospacing="0" w:after="0" w:afterAutospacing="0" w:line="360" w:lineRule="auto"/>
              <w:ind w:left="0" w:leftChars="0" w:right="0" w:firstLine="480"/>
              <w:rPr>
                <w:rFonts w:ascii="Times New Roman" w:hAnsi="Times New Roman" w:eastAsia="宋体"/>
                <w:sz w:val="24"/>
              </w:rPr>
            </w:pPr>
            <w:r>
              <w:rPr>
                <w:rFonts w:ascii="Times New Roman" w:eastAsia="宋体"/>
                <w:sz w:val="24"/>
              </w:rPr>
              <w:t>根据《中华人民共和国环境保护法》（</w:t>
            </w:r>
            <w:r>
              <w:rPr>
                <w:rFonts w:ascii="Times New Roman" w:hAnsi="Times New Roman" w:eastAsia="宋体"/>
                <w:sz w:val="24"/>
              </w:rPr>
              <w:t>2014</w:t>
            </w:r>
            <w:r>
              <w:rPr>
                <w:rFonts w:ascii="Times New Roman" w:eastAsia="宋体"/>
                <w:sz w:val="24"/>
              </w:rPr>
              <w:t>年修订）、《中华人民共和国环境影响评价法》（</w:t>
            </w:r>
            <w:r>
              <w:rPr>
                <w:rFonts w:ascii="Times New Roman" w:hAnsi="Times New Roman" w:eastAsia="宋体"/>
                <w:sz w:val="24"/>
              </w:rPr>
              <w:t>2018</w:t>
            </w:r>
            <w:r>
              <w:rPr>
                <w:rFonts w:ascii="Times New Roman" w:eastAsia="宋体"/>
                <w:sz w:val="24"/>
              </w:rPr>
              <w:t>年修订）和《建设项目环境影响评价分类管理名录》（</w:t>
            </w:r>
            <w:r>
              <w:rPr>
                <w:rFonts w:ascii="Times New Roman" w:hAnsi="Times New Roman" w:eastAsia="宋体"/>
                <w:sz w:val="24"/>
              </w:rPr>
              <w:t>2021</w:t>
            </w:r>
            <w:r>
              <w:rPr>
                <w:rFonts w:ascii="Times New Roman" w:eastAsia="宋体"/>
                <w:sz w:val="24"/>
              </w:rPr>
              <w:t>年）的有关规定，本项目应进行环境影响评价。根据《建设项目环境影响评价分类管理名录》（</w:t>
            </w:r>
            <w:r>
              <w:rPr>
                <w:rFonts w:ascii="Times New Roman" w:hAnsi="Times New Roman" w:eastAsia="宋体"/>
                <w:sz w:val="24"/>
              </w:rPr>
              <w:t>2021</w:t>
            </w:r>
            <w:r>
              <w:rPr>
                <w:rFonts w:ascii="Times New Roman" w:eastAsia="宋体"/>
                <w:sz w:val="24"/>
              </w:rPr>
              <w:t>年）相关规定，本项目归于</w:t>
            </w:r>
            <w:r>
              <w:rPr>
                <w:rFonts w:ascii="Times New Roman" w:hAnsi="Times New Roman" w:eastAsia="宋体"/>
                <w:sz w:val="24"/>
              </w:rPr>
              <w:t>“</w:t>
            </w:r>
            <w:r>
              <w:rPr>
                <w:rFonts w:ascii="Times New Roman" w:eastAsia="宋体"/>
                <w:sz w:val="24"/>
              </w:rPr>
              <w:t>三十五、电气机械和器材制造业</w:t>
            </w:r>
            <w:r>
              <w:rPr>
                <w:rFonts w:ascii="Times New Roman" w:hAnsi="Times New Roman" w:eastAsia="宋体"/>
                <w:sz w:val="24"/>
              </w:rPr>
              <w:t>”</w:t>
            </w:r>
            <w:r>
              <w:rPr>
                <w:rFonts w:ascii="Times New Roman" w:eastAsia="宋体"/>
                <w:sz w:val="24"/>
              </w:rPr>
              <w:t>大类中的</w:t>
            </w:r>
            <w:r>
              <w:rPr>
                <w:rFonts w:ascii="Times New Roman" w:hAnsi="Times New Roman" w:eastAsia="宋体"/>
                <w:sz w:val="24"/>
              </w:rPr>
              <w:t>“77</w:t>
            </w:r>
            <w:r>
              <w:rPr>
                <w:rFonts w:ascii="Times New Roman" w:eastAsia="宋体"/>
                <w:sz w:val="24"/>
              </w:rPr>
              <w:t>电机制造</w:t>
            </w:r>
            <w:r>
              <w:rPr>
                <w:rFonts w:ascii="Times New Roman" w:hAnsi="Times New Roman" w:eastAsia="宋体"/>
                <w:sz w:val="24"/>
              </w:rPr>
              <w:t>381</w:t>
            </w:r>
            <w:r>
              <w:rPr>
                <w:rFonts w:hint="eastAsia" w:ascii="Times New Roman" w:hAnsi="Times New Roman" w:eastAsia="宋体"/>
                <w:sz w:val="24"/>
              </w:rPr>
              <w:t>”</w:t>
            </w:r>
            <w:r>
              <w:rPr>
                <w:rFonts w:ascii="Times New Roman" w:eastAsia="宋体"/>
                <w:sz w:val="24"/>
              </w:rPr>
              <w:t>中</w:t>
            </w:r>
            <w:r>
              <w:rPr>
                <w:rFonts w:hint="eastAsia" w:ascii="Times New Roman" w:eastAsia="宋体"/>
                <w:sz w:val="24"/>
              </w:rPr>
              <w:t>“</w:t>
            </w:r>
            <w:r>
              <w:rPr>
                <w:rFonts w:ascii="Times New Roman" w:eastAsia="宋体"/>
                <w:sz w:val="24"/>
              </w:rPr>
              <w:t>其他（仅分割、焊接、组装的除外；年用非溶剂型低</w:t>
            </w:r>
            <w:r>
              <w:rPr>
                <w:rFonts w:ascii="Times New Roman" w:hAnsi="Times New Roman" w:eastAsia="宋体"/>
                <w:sz w:val="24"/>
              </w:rPr>
              <w:t>VOCs</w:t>
            </w:r>
            <w:r>
              <w:rPr>
                <w:rFonts w:ascii="Times New Roman" w:eastAsia="宋体"/>
                <w:sz w:val="24"/>
              </w:rPr>
              <w:t>含量涂料</w:t>
            </w:r>
            <w:r>
              <w:rPr>
                <w:rFonts w:ascii="Times New Roman" w:hAnsi="Times New Roman" w:eastAsia="宋体"/>
                <w:sz w:val="24"/>
              </w:rPr>
              <w:t>10</w:t>
            </w:r>
            <w:r>
              <w:rPr>
                <w:rFonts w:ascii="Times New Roman" w:eastAsia="宋体"/>
                <w:sz w:val="24"/>
              </w:rPr>
              <w:t>吨以下的除外）</w:t>
            </w:r>
            <w:r>
              <w:rPr>
                <w:rFonts w:ascii="Times New Roman" w:hAnsi="Times New Roman" w:eastAsia="宋体"/>
                <w:sz w:val="24"/>
              </w:rPr>
              <w:t>”</w:t>
            </w:r>
            <w:r>
              <w:rPr>
                <w:rFonts w:ascii="Times New Roman" w:eastAsia="宋体"/>
                <w:sz w:val="24"/>
              </w:rPr>
              <w:t>类别，应编制环境影响评价报告表。为此，常州宝捷冲片有限公司委托江苏晶昱宝环境科技有限公司承担该项目环境影响评价报告表的编制工作，作为环保审批部门的审批依据。</w:t>
            </w:r>
          </w:p>
          <w:p>
            <w:pPr>
              <w:keepNext w:val="0"/>
              <w:keepLines w:val="0"/>
              <w:suppressLineNumbers w:val="0"/>
              <w:adjustRightInd w:val="0"/>
              <w:snapToGrid w:val="0"/>
              <w:spacing w:before="0" w:beforeAutospacing="0" w:after="0" w:afterAutospacing="0" w:line="360" w:lineRule="auto"/>
              <w:ind w:left="0" w:right="0"/>
              <w:rPr>
                <w:b/>
                <w:sz w:val="24"/>
              </w:rPr>
            </w:pPr>
            <w:r>
              <w:rPr>
                <w:rFonts w:hint="eastAsia"/>
                <w:b/>
                <w:sz w:val="24"/>
              </w:rPr>
              <w:t>2</w:t>
            </w:r>
            <w:r>
              <w:rPr>
                <w:b/>
                <w:sz w:val="24"/>
              </w:rPr>
              <w:t>、</w:t>
            </w:r>
            <w:r>
              <w:rPr>
                <w:rFonts w:hint="eastAsia"/>
                <w:b/>
                <w:sz w:val="24"/>
              </w:rPr>
              <w:t>主体工程</w:t>
            </w:r>
          </w:p>
          <w:p>
            <w:pPr>
              <w:keepNext w:val="0"/>
              <w:keepLines w:val="0"/>
              <w:suppressLineNumbers w:val="0"/>
              <w:spacing w:before="0" w:beforeAutospacing="0" w:after="0" w:afterAutospacing="0"/>
              <w:ind w:left="0" w:right="0"/>
              <w:jc w:val="center"/>
              <w:rPr>
                <w:b/>
                <w:bCs/>
                <w:sz w:val="24"/>
              </w:rPr>
            </w:pPr>
            <w:r>
              <w:rPr>
                <w:rFonts w:hint="eastAsia"/>
                <w:b/>
                <w:bCs/>
                <w:sz w:val="24"/>
              </w:rPr>
              <w:t>表2-1  主体工程一览表</w:t>
            </w:r>
          </w:p>
          <w:tbl>
            <w:tblPr>
              <w:tblStyle w:val="21"/>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227"/>
              <w:gridCol w:w="1630"/>
              <w:gridCol w:w="1788"/>
              <w:gridCol w:w="1050"/>
              <w:gridCol w:w="2757"/>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26" w:type="pct"/>
                  <w:tcBorders>
                    <w:top w:val="single" w:color="000000" w:sz="12" w:space="0"/>
                  </w:tcBorders>
                  <w:vAlign w:val="center"/>
                </w:tcPr>
                <w:p>
                  <w:pPr>
                    <w:keepNext w:val="0"/>
                    <w:keepLines w:val="0"/>
                    <w:widowControl/>
                    <w:suppressLineNumbers w:val="0"/>
                    <w:spacing w:before="0" w:beforeAutospacing="0" w:after="0" w:afterAutospacing="0"/>
                    <w:ind w:left="0" w:right="0"/>
                    <w:jc w:val="center"/>
                    <w:textAlignment w:val="center"/>
                    <w:rPr>
                      <w:b/>
                      <w:bCs/>
                      <w:szCs w:val="21"/>
                    </w:rPr>
                  </w:pPr>
                  <w:r>
                    <w:rPr>
                      <w:b/>
                      <w:kern w:val="0"/>
                      <w:szCs w:val="21"/>
                    </w:rPr>
                    <w:t>名称</w:t>
                  </w:r>
                </w:p>
              </w:tc>
              <w:tc>
                <w:tcPr>
                  <w:tcW w:w="964" w:type="pct"/>
                  <w:tcBorders>
                    <w:top w:val="single" w:color="000000" w:sz="12" w:space="0"/>
                  </w:tcBorders>
                  <w:vAlign w:val="center"/>
                </w:tcPr>
                <w:p>
                  <w:pPr>
                    <w:keepNext w:val="0"/>
                    <w:keepLines w:val="0"/>
                    <w:widowControl/>
                    <w:suppressLineNumbers w:val="0"/>
                    <w:spacing w:before="0" w:beforeAutospacing="0" w:after="0" w:afterAutospacing="0"/>
                    <w:ind w:left="0" w:right="0"/>
                    <w:jc w:val="center"/>
                    <w:textAlignment w:val="center"/>
                    <w:rPr>
                      <w:b/>
                      <w:bCs/>
                      <w:szCs w:val="21"/>
                    </w:rPr>
                  </w:pPr>
                  <w:r>
                    <w:rPr>
                      <w:b/>
                      <w:kern w:val="0"/>
                      <w:szCs w:val="21"/>
                    </w:rPr>
                    <w:t>基底面积</w:t>
                  </w:r>
                  <w:r>
                    <w:rPr>
                      <w:rFonts w:hint="eastAsia"/>
                      <w:b/>
                      <w:kern w:val="0"/>
                      <w:szCs w:val="21"/>
                    </w:rPr>
                    <w:t>/m</w:t>
                  </w:r>
                  <w:r>
                    <w:rPr>
                      <w:b/>
                      <w:kern w:val="0"/>
                      <w:szCs w:val="21"/>
                      <w:vertAlign w:val="superscript"/>
                    </w:rPr>
                    <w:t>2</w:t>
                  </w:r>
                </w:p>
              </w:tc>
              <w:tc>
                <w:tcPr>
                  <w:tcW w:w="1058" w:type="pct"/>
                  <w:tcBorders>
                    <w:top w:val="single" w:color="000000" w:sz="12" w:space="0"/>
                  </w:tcBorders>
                  <w:vAlign w:val="center"/>
                </w:tcPr>
                <w:p>
                  <w:pPr>
                    <w:keepNext w:val="0"/>
                    <w:keepLines w:val="0"/>
                    <w:widowControl/>
                    <w:suppressLineNumbers w:val="0"/>
                    <w:spacing w:before="0" w:beforeAutospacing="0" w:after="0" w:afterAutospacing="0"/>
                    <w:ind w:left="0" w:right="0"/>
                    <w:jc w:val="center"/>
                    <w:textAlignment w:val="center"/>
                    <w:rPr>
                      <w:b/>
                      <w:bCs/>
                      <w:szCs w:val="21"/>
                    </w:rPr>
                  </w:pPr>
                  <w:r>
                    <w:rPr>
                      <w:b/>
                      <w:kern w:val="0"/>
                      <w:szCs w:val="21"/>
                    </w:rPr>
                    <w:t>建筑面积</w:t>
                  </w:r>
                  <w:r>
                    <w:rPr>
                      <w:rFonts w:hint="eastAsia"/>
                      <w:b/>
                      <w:kern w:val="0"/>
                      <w:szCs w:val="21"/>
                    </w:rPr>
                    <w:t>/m</w:t>
                  </w:r>
                  <w:r>
                    <w:rPr>
                      <w:b/>
                      <w:kern w:val="0"/>
                      <w:szCs w:val="21"/>
                      <w:vertAlign w:val="superscript"/>
                    </w:rPr>
                    <w:t>2</w:t>
                  </w:r>
                </w:p>
              </w:tc>
              <w:tc>
                <w:tcPr>
                  <w:tcW w:w="621" w:type="pct"/>
                  <w:tcBorders>
                    <w:top w:val="single" w:color="000000" w:sz="12" w:space="0"/>
                  </w:tcBorders>
                  <w:vAlign w:val="center"/>
                </w:tcPr>
                <w:p>
                  <w:pPr>
                    <w:keepNext w:val="0"/>
                    <w:keepLines w:val="0"/>
                    <w:widowControl/>
                    <w:suppressLineNumbers w:val="0"/>
                    <w:spacing w:before="0" w:beforeAutospacing="0" w:after="0" w:afterAutospacing="0"/>
                    <w:ind w:left="0" w:right="0"/>
                    <w:jc w:val="center"/>
                    <w:textAlignment w:val="center"/>
                    <w:rPr>
                      <w:b/>
                      <w:kern w:val="0"/>
                      <w:szCs w:val="21"/>
                    </w:rPr>
                  </w:pPr>
                  <w:r>
                    <w:rPr>
                      <w:rFonts w:hint="eastAsia"/>
                      <w:b/>
                      <w:kern w:val="0"/>
                      <w:szCs w:val="21"/>
                    </w:rPr>
                    <w:t>层数</w:t>
                  </w:r>
                </w:p>
              </w:tc>
              <w:tc>
                <w:tcPr>
                  <w:tcW w:w="1631" w:type="pct"/>
                  <w:tcBorders>
                    <w:top w:val="single" w:color="000000" w:sz="12" w:space="0"/>
                  </w:tcBorders>
                  <w:vAlign w:val="center"/>
                </w:tcPr>
                <w:p>
                  <w:pPr>
                    <w:keepNext w:val="0"/>
                    <w:keepLines w:val="0"/>
                    <w:widowControl/>
                    <w:suppressLineNumbers w:val="0"/>
                    <w:spacing w:before="0" w:beforeAutospacing="0" w:after="0" w:afterAutospacing="0"/>
                    <w:ind w:left="0" w:right="0"/>
                    <w:jc w:val="center"/>
                    <w:textAlignment w:val="center"/>
                    <w:rPr>
                      <w:rFonts w:ascii="宋体" w:hAnsi="宋体" w:cs="宋体"/>
                      <w:sz w:val="22"/>
                      <w:szCs w:val="22"/>
                    </w:rPr>
                  </w:pPr>
                  <w:r>
                    <w:rPr>
                      <w:rFonts w:hint="eastAsia"/>
                      <w:b/>
                      <w:kern w:val="0"/>
                      <w:szCs w:val="21"/>
                    </w:rPr>
                    <w:t>备注</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26" w:type="pct"/>
                  <w:vAlign w:val="center"/>
                </w:tcPr>
                <w:p>
                  <w:pPr>
                    <w:pStyle w:val="48"/>
                    <w:keepNext w:val="0"/>
                    <w:keepLines w:val="0"/>
                    <w:suppressLineNumbers w:val="0"/>
                    <w:spacing w:before="8" w:beforeAutospacing="0" w:after="0" w:afterAutospacing="0" w:line="255" w:lineRule="exact"/>
                    <w:ind w:left="133" w:right="120"/>
                    <w:jc w:val="center"/>
                    <w:rPr>
                      <w:rFonts w:ascii="Times New Roman" w:hAnsi="Times New Roman"/>
                      <w:sz w:val="21"/>
                      <w:szCs w:val="21"/>
                    </w:rPr>
                  </w:pPr>
                  <w:r>
                    <w:rPr>
                      <w:rFonts w:hint="eastAsia" w:ascii="Times New Roman" w:hAnsi="Times New Roman"/>
                      <w:sz w:val="21"/>
                      <w:szCs w:val="21"/>
                    </w:rPr>
                    <w:t>生产车间1</w:t>
                  </w:r>
                </w:p>
              </w:tc>
              <w:tc>
                <w:tcPr>
                  <w:tcW w:w="964" w:type="pct"/>
                  <w:vAlign w:val="center"/>
                </w:tcPr>
                <w:p>
                  <w:pPr>
                    <w:pStyle w:val="48"/>
                    <w:keepNext w:val="0"/>
                    <w:keepLines w:val="0"/>
                    <w:suppressLineNumbers w:val="0"/>
                    <w:spacing w:before="15" w:beforeAutospacing="0" w:after="0" w:afterAutospacing="0"/>
                    <w:ind w:left="83" w:right="68"/>
                    <w:jc w:val="center"/>
                    <w:rPr>
                      <w:rFonts w:ascii="Times New Roman" w:hAnsi="Times New Roman"/>
                      <w:sz w:val="21"/>
                      <w:szCs w:val="21"/>
                    </w:rPr>
                  </w:pPr>
                  <w:r>
                    <w:rPr>
                      <w:rFonts w:hint="eastAsia" w:ascii="Times New Roman" w:hAnsi="Times New Roman"/>
                      <w:sz w:val="21"/>
                      <w:szCs w:val="21"/>
                    </w:rPr>
                    <w:t>4500</w:t>
                  </w:r>
                </w:p>
              </w:tc>
              <w:tc>
                <w:tcPr>
                  <w:tcW w:w="1058" w:type="pct"/>
                  <w:vAlign w:val="center"/>
                </w:tcPr>
                <w:p>
                  <w:pPr>
                    <w:pStyle w:val="48"/>
                    <w:keepNext w:val="0"/>
                    <w:keepLines w:val="0"/>
                    <w:suppressLineNumbers w:val="0"/>
                    <w:spacing w:before="15" w:beforeAutospacing="0" w:after="0" w:afterAutospacing="0"/>
                    <w:ind w:left="83" w:right="68"/>
                    <w:jc w:val="center"/>
                    <w:rPr>
                      <w:rFonts w:ascii="Times New Roman" w:hAnsi="Times New Roman"/>
                      <w:sz w:val="21"/>
                      <w:szCs w:val="21"/>
                    </w:rPr>
                  </w:pPr>
                  <w:r>
                    <w:rPr>
                      <w:rFonts w:hint="eastAsia" w:ascii="Times New Roman" w:hAnsi="Times New Roman"/>
                      <w:sz w:val="21"/>
                      <w:szCs w:val="21"/>
                    </w:rPr>
                    <w:t>4500</w:t>
                  </w:r>
                </w:p>
              </w:tc>
              <w:tc>
                <w:tcPr>
                  <w:tcW w:w="621" w:type="pct"/>
                  <w:vAlign w:val="center"/>
                </w:tcPr>
                <w:p>
                  <w:pPr>
                    <w:keepNext w:val="0"/>
                    <w:keepLines w:val="0"/>
                    <w:suppressLineNumbers w:val="0"/>
                    <w:spacing w:before="8" w:beforeAutospacing="0" w:after="0" w:afterAutospacing="0" w:line="255" w:lineRule="exact"/>
                    <w:ind w:left="207" w:right="183"/>
                    <w:jc w:val="center"/>
                    <w:rPr>
                      <w:szCs w:val="21"/>
                    </w:rPr>
                  </w:pPr>
                  <w:r>
                    <w:rPr>
                      <w:rFonts w:hint="eastAsia"/>
                      <w:szCs w:val="21"/>
                    </w:rPr>
                    <w:t>1</w:t>
                  </w:r>
                </w:p>
              </w:tc>
              <w:tc>
                <w:tcPr>
                  <w:tcW w:w="1631" w:type="pct"/>
                  <w:vAlign w:val="center"/>
                </w:tcPr>
                <w:p>
                  <w:pPr>
                    <w:keepNext w:val="0"/>
                    <w:keepLines w:val="0"/>
                    <w:suppressLineNumbers w:val="0"/>
                    <w:spacing w:before="8" w:beforeAutospacing="0" w:after="0" w:afterAutospacing="0" w:line="255" w:lineRule="exact"/>
                    <w:ind w:left="207" w:right="183"/>
                    <w:jc w:val="center"/>
                    <w:rPr>
                      <w:szCs w:val="21"/>
                    </w:rPr>
                  </w:pPr>
                  <w:r>
                    <w:rPr>
                      <w:rFonts w:hint="eastAsia"/>
                      <w:szCs w:val="21"/>
                    </w:rPr>
                    <w:t>冲压</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26" w:type="pct"/>
                  <w:vAlign w:val="center"/>
                </w:tcPr>
                <w:p>
                  <w:pPr>
                    <w:pStyle w:val="48"/>
                    <w:keepNext w:val="0"/>
                    <w:keepLines w:val="0"/>
                    <w:suppressLineNumbers w:val="0"/>
                    <w:spacing w:before="8" w:beforeAutospacing="0" w:after="0" w:afterAutospacing="0" w:line="255" w:lineRule="exact"/>
                    <w:ind w:left="133" w:right="120"/>
                    <w:jc w:val="center"/>
                    <w:rPr>
                      <w:rFonts w:ascii="Times New Roman" w:hAnsi="Times New Roman"/>
                      <w:sz w:val="21"/>
                      <w:szCs w:val="21"/>
                    </w:rPr>
                  </w:pPr>
                  <w:r>
                    <w:rPr>
                      <w:rFonts w:hint="eastAsia" w:ascii="Times New Roman" w:hAnsi="Times New Roman"/>
                      <w:sz w:val="21"/>
                      <w:szCs w:val="21"/>
                    </w:rPr>
                    <w:t>生产车间2</w:t>
                  </w:r>
                </w:p>
              </w:tc>
              <w:tc>
                <w:tcPr>
                  <w:tcW w:w="964" w:type="pct"/>
                  <w:vAlign w:val="center"/>
                </w:tcPr>
                <w:p>
                  <w:pPr>
                    <w:pStyle w:val="48"/>
                    <w:keepNext w:val="0"/>
                    <w:keepLines w:val="0"/>
                    <w:suppressLineNumbers w:val="0"/>
                    <w:spacing w:before="15" w:beforeAutospacing="0" w:after="0" w:afterAutospacing="0"/>
                    <w:ind w:left="83" w:right="68"/>
                    <w:jc w:val="center"/>
                    <w:rPr>
                      <w:rFonts w:ascii="Times New Roman" w:hAnsi="Times New Roman"/>
                      <w:sz w:val="21"/>
                      <w:szCs w:val="21"/>
                    </w:rPr>
                  </w:pPr>
                  <w:r>
                    <w:rPr>
                      <w:rFonts w:hint="eastAsia" w:ascii="Times New Roman" w:hAnsi="Times New Roman"/>
                      <w:sz w:val="21"/>
                      <w:szCs w:val="21"/>
                    </w:rPr>
                    <w:t>4600</w:t>
                  </w:r>
                </w:p>
              </w:tc>
              <w:tc>
                <w:tcPr>
                  <w:tcW w:w="1058" w:type="pct"/>
                  <w:vAlign w:val="center"/>
                </w:tcPr>
                <w:p>
                  <w:pPr>
                    <w:pStyle w:val="48"/>
                    <w:keepNext w:val="0"/>
                    <w:keepLines w:val="0"/>
                    <w:suppressLineNumbers w:val="0"/>
                    <w:spacing w:before="15" w:beforeAutospacing="0" w:after="0" w:afterAutospacing="0"/>
                    <w:ind w:left="83" w:right="68"/>
                    <w:jc w:val="center"/>
                    <w:rPr>
                      <w:rFonts w:ascii="Times New Roman" w:hAnsi="Times New Roman"/>
                      <w:sz w:val="21"/>
                      <w:szCs w:val="21"/>
                    </w:rPr>
                  </w:pPr>
                  <w:r>
                    <w:rPr>
                      <w:rFonts w:hint="eastAsia" w:ascii="Times New Roman" w:hAnsi="Times New Roman"/>
                      <w:sz w:val="21"/>
                      <w:szCs w:val="21"/>
                    </w:rPr>
                    <w:t>6900</w:t>
                  </w:r>
                </w:p>
              </w:tc>
              <w:tc>
                <w:tcPr>
                  <w:tcW w:w="621" w:type="pct"/>
                  <w:vAlign w:val="center"/>
                </w:tcPr>
                <w:p>
                  <w:pPr>
                    <w:keepNext w:val="0"/>
                    <w:keepLines w:val="0"/>
                    <w:suppressLineNumbers w:val="0"/>
                    <w:spacing w:before="8" w:beforeAutospacing="0" w:after="0" w:afterAutospacing="0" w:line="255" w:lineRule="exact"/>
                    <w:ind w:left="207" w:right="183"/>
                    <w:jc w:val="center"/>
                    <w:rPr>
                      <w:szCs w:val="21"/>
                    </w:rPr>
                  </w:pPr>
                  <w:r>
                    <w:rPr>
                      <w:rFonts w:hint="eastAsia"/>
                      <w:szCs w:val="21"/>
                    </w:rPr>
                    <w:t>1</w:t>
                  </w:r>
                  <w:r>
                    <w:rPr>
                      <w:szCs w:val="21"/>
                    </w:rPr>
                    <w:t>（2）</w:t>
                  </w:r>
                </w:p>
              </w:tc>
              <w:tc>
                <w:tcPr>
                  <w:tcW w:w="1631" w:type="pct"/>
                  <w:vAlign w:val="center"/>
                </w:tcPr>
                <w:p>
                  <w:pPr>
                    <w:keepNext w:val="0"/>
                    <w:keepLines w:val="0"/>
                    <w:suppressLineNumbers w:val="0"/>
                    <w:spacing w:before="8" w:beforeAutospacing="0" w:after="0" w:afterAutospacing="0" w:line="255" w:lineRule="exact"/>
                    <w:ind w:left="207" w:right="183"/>
                    <w:jc w:val="center"/>
                    <w:rPr>
                      <w:szCs w:val="21"/>
                    </w:rPr>
                  </w:pPr>
                  <w:r>
                    <w:rPr>
                      <w:rFonts w:hint="eastAsia"/>
                      <w:szCs w:val="21"/>
                      <w:lang w:eastAsia="zh-CN"/>
                    </w:rPr>
                    <w:t>闲置</w:t>
                  </w:r>
                  <w:r>
                    <w:rPr>
                      <w:rFonts w:hint="eastAsia"/>
                      <w:szCs w:val="21"/>
                    </w:rPr>
                    <w:t>，部分区域</w:t>
                  </w:r>
                  <w:r>
                    <w:rPr>
                      <w:szCs w:val="21"/>
                    </w:rPr>
                    <w:t>为</w:t>
                  </w:r>
                  <w:r>
                    <w:rPr>
                      <w:rFonts w:hint="eastAsia"/>
                      <w:szCs w:val="21"/>
                    </w:rPr>
                    <w:t>一</w:t>
                  </w:r>
                  <w:r>
                    <w:rPr>
                      <w:szCs w:val="21"/>
                    </w:rPr>
                    <w:t>层，部分为</w:t>
                  </w:r>
                  <w:r>
                    <w:rPr>
                      <w:rFonts w:hint="eastAsia"/>
                      <w:szCs w:val="21"/>
                    </w:rPr>
                    <w:t>二</w:t>
                  </w:r>
                  <w:r>
                    <w:rPr>
                      <w:szCs w:val="21"/>
                    </w:rPr>
                    <w:t>层</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26" w:type="pct"/>
                  <w:vAlign w:val="center"/>
                </w:tcPr>
                <w:p>
                  <w:pPr>
                    <w:pStyle w:val="48"/>
                    <w:keepNext w:val="0"/>
                    <w:keepLines w:val="0"/>
                    <w:suppressLineNumbers w:val="0"/>
                    <w:spacing w:before="8" w:beforeAutospacing="0" w:after="0" w:afterAutospacing="0" w:line="255" w:lineRule="exact"/>
                    <w:ind w:left="133" w:right="120"/>
                    <w:jc w:val="center"/>
                    <w:rPr>
                      <w:rFonts w:ascii="Times New Roman" w:hAnsi="Times New Roman"/>
                      <w:sz w:val="21"/>
                      <w:szCs w:val="21"/>
                    </w:rPr>
                  </w:pPr>
                  <w:r>
                    <w:rPr>
                      <w:rFonts w:hint="eastAsia" w:ascii="Times New Roman" w:hAnsi="Times New Roman"/>
                      <w:sz w:val="21"/>
                      <w:szCs w:val="21"/>
                    </w:rPr>
                    <w:t>生产车间3</w:t>
                  </w:r>
                </w:p>
              </w:tc>
              <w:tc>
                <w:tcPr>
                  <w:tcW w:w="964" w:type="pct"/>
                  <w:vAlign w:val="center"/>
                </w:tcPr>
                <w:p>
                  <w:pPr>
                    <w:pStyle w:val="48"/>
                    <w:keepNext w:val="0"/>
                    <w:keepLines w:val="0"/>
                    <w:suppressLineNumbers w:val="0"/>
                    <w:spacing w:before="15" w:beforeAutospacing="0" w:after="0" w:afterAutospacing="0"/>
                    <w:ind w:left="83" w:right="68"/>
                    <w:jc w:val="center"/>
                    <w:rPr>
                      <w:rFonts w:ascii="Times New Roman" w:hAnsi="Times New Roman"/>
                      <w:sz w:val="21"/>
                      <w:szCs w:val="21"/>
                    </w:rPr>
                  </w:pPr>
                  <w:r>
                    <w:rPr>
                      <w:rFonts w:hint="eastAsia" w:ascii="Times New Roman" w:hAnsi="Times New Roman"/>
                      <w:sz w:val="21"/>
                      <w:szCs w:val="21"/>
                    </w:rPr>
                    <w:t>3500</w:t>
                  </w:r>
                </w:p>
              </w:tc>
              <w:tc>
                <w:tcPr>
                  <w:tcW w:w="1058" w:type="pct"/>
                  <w:vAlign w:val="center"/>
                </w:tcPr>
                <w:p>
                  <w:pPr>
                    <w:pStyle w:val="48"/>
                    <w:keepNext w:val="0"/>
                    <w:keepLines w:val="0"/>
                    <w:suppressLineNumbers w:val="0"/>
                    <w:spacing w:before="15" w:beforeAutospacing="0" w:after="0" w:afterAutospacing="0"/>
                    <w:ind w:left="83" w:right="68"/>
                    <w:jc w:val="center"/>
                    <w:rPr>
                      <w:rFonts w:ascii="Times New Roman" w:hAnsi="Times New Roman"/>
                      <w:sz w:val="21"/>
                      <w:szCs w:val="21"/>
                    </w:rPr>
                  </w:pPr>
                  <w:r>
                    <w:rPr>
                      <w:rFonts w:hint="eastAsia" w:ascii="Times New Roman" w:hAnsi="Times New Roman"/>
                      <w:sz w:val="21"/>
                      <w:szCs w:val="21"/>
                    </w:rPr>
                    <w:t>3500</w:t>
                  </w:r>
                </w:p>
              </w:tc>
              <w:tc>
                <w:tcPr>
                  <w:tcW w:w="621" w:type="pct"/>
                  <w:vAlign w:val="center"/>
                </w:tcPr>
                <w:p>
                  <w:pPr>
                    <w:keepNext w:val="0"/>
                    <w:keepLines w:val="0"/>
                    <w:suppressLineNumbers w:val="0"/>
                    <w:spacing w:before="8" w:beforeAutospacing="0" w:after="0" w:afterAutospacing="0" w:line="255" w:lineRule="exact"/>
                    <w:ind w:left="207" w:right="183"/>
                    <w:jc w:val="center"/>
                    <w:rPr>
                      <w:szCs w:val="21"/>
                    </w:rPr>
                  </w:pPr>
                  <w:r>
                    <w:rPr>
                      <w:rFonts w:hint="eastAsia"/>
                      <w:szCs w:val="21"/>
                    </w:rPr>
                    <w:t>1</w:t>
                  </w:r>
                </w:p>
              </w:tc>
              <w:tc>
                <w:tcPr>
                  <w:tcW w:w="1631" w:type="pct"/>
                  <w:vAlign w:val="center"/>
                </w:tcPr>
                <w:p>
                  <w:pPr>
                    <w:keepNext w:val="0"/>
                    <w:keepLines w:val="0"/>
                    <w:suppressLineNumbers w:val="0"/>
                    <w:spacing w:before="8" w:beforeAutospacing="0" w:after="0" w:afterAutospacing="0" w:line="255" w:lineRule="exact"/>
                    <w:ind w:left="207" w:right="183"/>
                    <w:jc w:val="center"/>
                    <w:rPr>
                      <w:szCs w:val="21"/>
                    </w:rPr>
                  </w:pPr>
                  <w:r>
                    <w:rPr>
                      <w:rFonts w:hint="eastAsia"/>
                      <w:szCs w:val="21"/>
                    </w:rPr>
                    <w:t>冲压</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26" w:type="pct"/>
                  <w:vAlign w:val="center"/>
                </w:tcPr>
                <w:p>
                  <w:pPr>
                    <w:pStyle w:val="48"/>
                    <w:keepNext w:val="0"/>
                    <w:keepLines w:val="0"/>
                    <w:suppressLineNumbers w:val="0"/>
                    <w:spacing w:before="8" w:beforeAutospacing="0" w:after="0" w:afterAutospacing="0" w:line="255" w:lineRule="exact"/>
                    <w:ind w:left="133" w:right="120"/>
                    <w:jc w:val="center"/>
                    <w:rPr>
                      <w:rFonts w:ascii="Times New Roman" w:hAnsi="Times New Roman"/>
                      <w:sz w:val="21"/>
                      <w:szCs w:val="21"/>
                    </w:rPr>
                  </w:pPr>
                  <w:r>
                    <w:rPr>
                      <w:rFonts w:hint="eastAsia" w:ascii="Times New Roman" w:hAnsi="Times New Roman"/>
                      <w:sz w:val="21"/>
                      <w:szCs w:val="21"/>
                    </w:rPr>
                    <w:t>生产车间4</w:t>
                  </w:r>
                </w:p>
              </w:tc>
              <w:tc>
                <w:tcPr>
                  <w:tcW w:w="964" w:type="pct"/>
                  <w:vAlign w:val="center"/>
                </w:tcPr>
                <w:p>
                  <w:pPr>
                    <w:pStyle w:val="48"/>
                    <w:keepNext w:val="0"/>
                    <w:keepLines w:val="0"/>
                    <w:suppressLineNumbers w:val="0"/>
                    <w:spacing w:before="15" w:beforeAutospacing="0" w:after="0" w:afterAutospacing="0"/>
                    <w:ind w:left="83" w:right="68"/>
                    <w:jc w:val="center"/>
                    <w:rPr>
                      <w:rFonts w:ascii="Times New Roman" w:hAnsi="Times New Roman"/>
                      <w:sz w:val="21"/>
                      <w:szCs w:val="21"/>
                    </w:rPr>
                  </w:pPr>
                  <w:r>
                    <w:rPr>
                      <w:rFonts w:hint="eastAsia" w:ascii="Times New Roman" w:hAnsi="Times New Roman"/>
                      <w:sz w:val="21"/>
                      <w:szCs w:val="21"/>
                    </w:rPr>
                    <w:t>3750</w:t>
                  </w:r>
                </w:p>
              </w:tc>
              <w:tc>
                <w:tcPr>
                  <w:tcW w:w="1058" w:type="pct"/>
                  <w:vAlign w:val="center"/>
                </w:tcPr>
                <w:p>
                  <w:pPr>
                    <w:pStyle w:val="48"/>
                    <w:keepNext w:val="0"/>
                    <w:keepLines w:val="0"/>
                    <w:suppressLineNumbers w:val="0"/>
                    <w:spacing w:before="15" w:beforeAutospacing="0" w:after="0" w:afterAutospacing="0"/>
                    <w:ind w:left="83" w:right="68"/>
                    <w:jc w:val="center"/>
                    <w:rPr>
                      <w:rFonts w:ascii="Times New Roman" w:hAnsi="Times New Roman"/>
                      <w:sz w:val="21"/>
                      <w:szCs w:val="21"/>
                    </w:rPr>
                  </w:pPr>
                  <w:r>
                    <w:rPr>
                      <w:rFonts w:hint="eastAsia" w:ascii="Times New Roman" w:hAnsi="Times New Roman"/>
                      <w:sz w:val="21"/>
                      <w:szCs w:val="21"/>
                    </w:rPr>
                    <w:t>3750</w:t>
                  </w:r>
                </w:p>
              </w:tc>
              <w:tc>
                <w:tcPr>
                  <w:tcW w:w="621" w:type="pct"/>
                  <w:vAlign w:val="center"/>
                </w:tcPr>
                <w:p>
                  <w:pPr>
                    <w:keepNext w:val="0"/>
                    <w:keepLines w:val="0"/>
                    <w:suppressLineNumbers w:val="0"/>
                    <w:spacing w:before="8" w:beforeAutospacing="0" w:after="0" w:afterAutospacing="0" w:line="255" w:lineRule="exact"/>
                    <w:ind w:left="207" w:right="183"/>
                    <w:jc w:val="center"/>
                    <w:rPr>
                      <w:szCs w:val="21"/>
                    </w:rPr>
                  </w:pPr>
                  <w:r>
                    <w:rPr>
                      <w:rFonts w:hint="eastAsia"/>
                      <w:szCs w:val="21"/>
                    </w:rPr>
                    <w:t>1</w:t>
                  </w:r>
                </w:p>
              </w:tc>
              <w:tc>
                <w:tcPr>
                  <w:tcW w:w="1631" w:type="pct"/>
                  <w:vAlign w:val="center"/>
                </w:tcPr>
                <w:p>
                  <w:pPr>
                    <w:keepNext w:val="0"/>
                    <w:keepLines w:val="0"/>
                    <w:suppressLineNumbers w:val="0"/>
                    <w:spacing w:before="8" w:beforeAutospacing="0" w:after="0" w:afterAutospacing="0" w:line="255" w:lineRule="exact"/>
                    <w:ind w:left="207" w:right="183"/>
                    <w:jc w:val="center"/>
                    <w:rPr>
                      <w:szCs w:val="21"/>
                    </w:rPr>
                  </w:pPr>
                  <w:r>
                    <w:rPr>
                      <w:rFonts w:hint="eastAsia"/>
                      <w:szCs w:val="21"/>
                    </w:rPr>
                    <w:t>纵剪、储存</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26" w:type="pct"/>
                  <w:tcBorders>
                    <w:bottom w:val="single" w:color="auto" w:sz="12" w:space="0"/>
                  </w:tcBorders>
                  <w:vAlign w:val="center"/>
                </w:tcPr>
                <w:p>
                  <w:pPr>
                    <w:pStyle w:val="48"/>
                    <w:keepNext w:val="0"/>
                    <w:keepLines w:val="0"/>
                    <w:suppressLineNumbers w:val="0"/>
                    <w:spacing w:before="8" w:beforeAutospacing="0" w:after="0" w:afterAutospacing="0" w:line="255" w:lineRule="exact"/>
                    <w:ind w:left="133" w:right="120"/>
                    <w:jc w:val="center"/>
                    <w:rPr>
                      <w:rFonts w:ascii="Times New Roman" w:hAnsi="Times New Roman"/>
                      <w:sz w:val="21"/>
                      <w:szCs w:val="21"/>
                    </w:rPr>
                  </w:pPr>
                  <w:r>
                    <w:rPr>
                      <w:rFonts w:hint="eastAsia" w:ascii="Times New Roman" w:hAnsi="Times New Roman"/>
                      <w:sz w:val="21"/>
                      <w:szCs w:val="21"/>
                    </w:rPr>
                    <w:t>生产车间5</w:t>
                  </w:r>
                </w:p>
              </w:tc>
              <w:tc>
                <w:tcPr>
                  <w:tcW w:w="964" w:type="pct"/>
                  <w:tcBorders>
                    <w:bottom w:val="single" w:color="auto" w:sz="12" w:space="0"/>
                  </w:tcBorders>
                  <w:vAlign w:val="center"/>
                </w:tcPr>
                <w:p>
                  <w:pPr>
                    <w:pStyle w:val="48"/>
                    <w:keepNext w:val="0"/>
                    <w:keepLines w:val="0"/>
                    <w:suppressLineNumbers w:val="0"/>
                    <w:spacing w:before="15" w:beforeAutospacing="0" w:after="0" w:afterAutospacing="0"/>
                    <w:ind w:left="83" w:right="68"/>
                    <w:jc w:val="center"/>
                    <w:rPr>
                      <w:rFonts w:ascii="Times New Roman" w:hAnsi="Times New Roman"/>
                      <w:sz w:val="21"/>
                      <w:szCs w:val="21"/>
                    </w:rPr>
                  </w:pPr>
                  <w:r>
                    <w:rPr>
                      <w:rFonts w:hint="eastAsia" w:ascii="Times New Roman" w:hAnsi="Times New Roman"/>
                      <w:sz w:val="21"/>
                      <w:szCs w:val="21"/>
                    </w:rPr>
                    <w:t>3500</w:t>
                  </w:r>
                </w:p>
              </w:tc>
              <w:tc>
                <w:tcPr>
                  <w:tcW w:w="1058" w:type="pct"/>
                  <w:tcBorders>
                    <w:bottom w:val="single" w:color="auto" w:sz="12" w:space="0"/>
                  </w:tcBorders>
                  <w:vAlign w:val="center"/>
                </w:tcPr>
                <w:p>
                  <w:pPr>
                    <w:pStyle w:val="48"/>
                    <w:keepNext w:val="0"/>
                    <w:keepLines w:val="0"/>
                    <w:suppressLineNumbers w:val="0"/>
                    <w:spacing w:before="15" w:beforeAutospacing="0" w:after="0" w:afterAutospacing="0"/>
                    <w:ind w:left="83" w:right="68"/>
                    <w:jc w:val="center"/>
                    <w:rPr>
                      <w:rFonts w:ascii="Times New Roman" w:hAnsi="Times New Roman"/>
                      <w:sz w:val="21"/>
                      <w:szCs w:val="21"/>
                    </w:rPr>
                  </w:pPr>
                  <w:r>
                    <w:rPr>
                      <w:rFonts w:hint="eastAsia" w:ascii="Times New Roman" w:hAnsi="Times New Roman"/>
                      <w:sz w:val="21"/>
                      <w:szCs w:val="21"/>
                    </w:rPr>
                    <w:t>3500</w:t>
                  </w:r>
                </w:p>
              </w:tc>
              <w:tc>
                <w:tcPr>
                  <w:tcW w:w="621" w:type="pct"/>
                  <w:tcBorders>
                    <w:bottom w:val="single" w:color="auto" w:sz="12" w:space="0"/>
                  </w:tcBorders>
                  <w:vAlign w:val="center"/>
                </w:tcPr>
                <w:p>
                  <w:pPr>
                    <w:keepNext w:val="0"/>
                    <w:keepLines w:val="0"/>
                    <w:suppressLineNumbers w:val="0"/>
                    <w:spacing w:before="8" w:beforeAutospacing="0" w:after="0" w:afterAutospacing="0" w:line="255" w:lineRule="exact"/>
                    <w:ind w:left="207" w:right="183"/>
                    <w:jc w:val="center"/>
                    <w:rPr>
                      <w:szCs w:val="21"/>
                    </w:rPr>
                  </w:pPr>
                  <w:r>
                    <w:rPr>
                      <w:rFonts w:hint="eastAsia"/>
                      <w:szCs w:val="21"/>
                    </w:rPr>
                    <w:t>1</w:t>
                  </w:r>
                </w:p>
              </w:tc>
              <w:tc>
                <w:tcPr>
                  <w:tcW w:w="1631" w:type="pct"/>
                  <w:tcBorders>
                    <w:bottom w:val="single" w:color="auto" w:sz="12" w:space="0"/>
                  </w:tcBorders>
                  <w:vAlign w:val="center"/>
                </w:tcPr>
                <w:p>
                  <w:pPr>
                    <w:keepNext w:val="0"/>
                    <w:keepLines w:val="0"/>
                    <w:suppressLineNumbers w:val="0"/>
                    <w:spacing w:before="8" w:beforeAutospacing="0" w:after="0" w:afterAutospacing="0" w:line="255" w:lineRule="exact"/>
                    <w:ind w:left="207" w:right="183"/>
                    <w:jc w:val="center"/>
                    <w:rPr>
                      <w:szCs w:val="21"/>
                    </w:rPr>
                  </w:pPr>
                  <w:r>
                    <w:rPr>
                      <w:rFonts w:hint="eastAsia"/>
                      <w:szCs w:val="21"/>
                    </w:rPr>
                    <w:t>机加工、攻丝加工等，内设涂</w:t>
                  </w:r>
                  <w:r>
                    <w:rPr>
                      <w:rFonts w:hint="eastAsia"/>
                      <w:szCs w:val="21"/>
                      <w:lang w:eastAsia="zh-CN"/>
                    </w:rPr>
                    <w:t>敷</w:t>
                  </w:r>
                  <w:r>
                    <w:rPr>
                      <w:rFonts w:hint="eastAsia"/>
                      <w:szCs w:val="21"/>
                    </w:rPr>
                    <w:t>注塑车间</w:t>
                  </w:r>
                  <w:r>
                    <w:rPr>
                      <w:rFonts w:hint="eastAsia"/>
                      <w:szCs w:val="21"/>
                      <w:lang w:eastAsia="zh-CN"/>
                    </w:rPr>
                    <w:t>（</w:t>
                  </w:r>
                  <w:r>
                    <w:rPr>
                      <w:rFonts w:hint="eastAsia"/>
                      <w:szCs w:val="21"/>
                      <w:lang w:val="en-US" w:eastAsia="zh-CN"/>
                    </w:rPr>
                    <w:t>900m</w:t>
                  </w:r>
                  <w:r>
                    <w:rPr>
                      <w:rFonts w:hint="eastAsia"/>
                      <w:szCs w:val="21"/>
                      <w:vertAlign w:val="superscript"/>
                      <w:lang w:val="en-US" w:eastAsia="zh-CN"/>
                    </w:rPr>
                    <w:t>2</w:t>
                  </w:r>
                  <w:r>
                    <w:rPr>
                      <w:rFonts w:hint="eastAsia"/>
                      <w:szCs w:val="21"/>
                      <w:lang w:eastAsia="zh-CN"/>
                    </w:rPr>
                    <w:t>）</w:t>
                  </w:r>
                  <w:r>
                    <w:rPr>
                      <w:rFonts w:hint="eastAsia"/>
                      <w:szCs w:val="21"/>
                    </w:rPr>
                    <w:t>，主要用于涂</w:t>
                  </w:r>
                  <w:r>
                    <w:rPr>
                      <w:rFonts w:hint="eastAsia"/>
                      <w:szCs w:val="21"/>
                      <w:lang w:eastAsia="zh-CN"/>
                    </w:rPr>
                    <w:t>敷</w:t>
                  </w:r>
                  <w:r>
                    <w:rPr>
                      <w:rFonts w:hint="eastAsia"/>
                      <w:szCs w:val="21"/>
                    </w:rPr>
                    <w:t>固化、注塑成型和焊接</w:t>
                  </w:r>
                </w:p>
              </w:tc>
            </w:tr>
          </w:tbl>
          <w:p>
            <w:pPr>
              <w:keepNext w:val="0"/>
              <w:keepLines w:val="0"/>
              <w:suppressLineNumbers w:val="0"/>
              <w:adjustRightInd w:val="0"/>
              <w:snapToGrid w:val="0"/>
              <w:spacing w:before="0" w:beforeLines="20" w:beforeAutospacing="0" w:after="0" w:afterAutospacing="0" w:line="360" w:lineRule="auto"/>
              <w:ind w:left="0" w:right="0"/>
              <w:rPr>
                <w:b/>
                <w:sz w:val="24"/>
              </w:rPr>
            </w:pPr>
            <w:r>
              <w:rPr>
                <w:rFonts w:hint="eastAsia"/>
                <w:b/>
                <w:sz w:val="24"/>
              </w:rPr>
              <w:t>3</w:t>
            </w:r>
            <w:r>
              <w:rPr>
                <w:b/>
                <w:sz w:val="24"/>
              </w:rPr>
              <w:t>、公</w:t>
            </w:r>
            <w:r>
              <w:rPr>
                <w:rFonts w:hint="eastAsia"/>
                <w:b/>
                <w:sz w:val="24"/>
              </w:rPr>
              <w:t>用、辅助、环保、储运及依托工程概况</w:t>
            </w:r>
          </w:p>
          <w:p>
            <w:pPr>
              <w:keepNext w:val="0"/>
              <w:keepLines w:val="0"/>
              <w:suppressLineNumbers w:val="0"/>
              <w:adjustRightInd w:val="0"/>
              <w:snapToGrid w:val="0"/>
              <w:spacing w:before="0" w:beforeAutospacing="0" w:after="0" w:afterAutospacing="0"/>
              <w:ind w:left="0" w:right="0"/>
              <w:jc w:val="center"/>
              <w:rPr>
                <w:b/>
                <w:bCs/>
                <w:sz w:val="24"/>
              </w:rPr>
            </w:pPr>
            <w:r>
              <w:rPr>
                <w:b/>
                <w:bCs/>
                <w:sz w:val="24"/>
              </w:rPr>
              <w:t>表</w:t>
            </w:r>
            <w:r>
              <w:rPr>
                <w:rFonts w:hint="eastAsia"/>
                <w:b/>
                <w:bCs/>
                <w:sz w:val="24"/>
              </w:rPr>
              <w:t>2</w:t>
            </w:r>
            <w:r>
              <w:rPr>
                <w:b/>
                <w:bCs/>
                <w:sz w:val="24"/>
              </w:rPr>
              <w:t>-</w:t>
            </w:r>
            <w:r>
              <w:rPr>
                <w:rFonts w:hint="eastAsia"/>
                <w:b/>
                <w:bCs/>
                <w:sz w:val="24"/>
              </w:rPr>
              <w:t>2</w:t>
            </w:r>
            <w:r>
              <w:rPr>
                <w:b/>
                <w:bCs/>
                <w:sz w:val="24"/>
              </w:rPr>
              <w:t xml:space="preserve"> </w:t>
            </w:r>
            <w:r>
              <w:rPr>
                <w:rFonts w:hint="eastAsia"/>
                <w:b/>
                <w:bCs/>
                <w:sz w:val="24"/>
              </w:rPr>
              <w:t xml:space="preserve"> </w:t>
            </w:r>
            <w:r>
              <w:rPr>
                <w:b/>
                <w:sz w:val="24"/>
              </w:rPr>
              <w:t>公</w:t>
            </w:r>
            <w:r>
              <w:rPr>
                <w:rFonts w:hint="eastAsia"/>
                <w:b/>
                <w:sz w:val="24"/>
              </w:rPr>
              <w:t>用、辅助、环保、储运及依托工程概况</w:t>
            </w:r>
          </w:p>
          <w:tbl>
            <w:tblPr>
              <w:tblStyle w:val="22"/>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13"/>
              <w:gridCol w:w="1558"/>
              <w:gridCol w:w="1152"/>
              <w:gridCol w:w="129"/>
              <w:gridCol w:w="783"/>
              <w:gridCol w:w="2782"/>
              <w:gridCol w:w="133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2" w:type="pct"/>
                  <w:tcBorders>
                    <w:top w:val="single" w:color="auto" w:sz="12" w:space="0"/>
                    <w:left w:val="nil"/>
                    <w:bottom w:val="single" w:color="auto" w:sz="2" w:space="0"/>
                    <w:right w:val="single" w:color="auto" w:sz="4" w:space="0"/>
                  </w:tcBorders>
                  <w:vAlign w:val="center"/>
                </w:tcPr>
                <w:p>
                  <w:pPr>
                    <w:keepNext w:val="0"/>
                    <w:keepLines w:val="0"/>
                    <w:widowControl/>
                    <w:suppressLineNumbers w:val="0"/>
                    <w:adjustRightInd w:val="0"/>
                    <w:snapToGrid w:val="0"/>
                    <w:spacing w:before="0" w:beforeAutospacing="0" w:after="0" w:afterAutospacing="0"/>
                    <w:ind w:left="0" w:right="0"/>
                    <w:jc w:val="center"/>
                    <w:rPr>
                      <w:b/>
                      <w:bCs/>
                      <w:szCs w:val="21"/>
                    </w:rPr>
                  </w:pPr>
                  <w:r>
                    <w:rPr>
                      <w:b/>
                      <w:bCs/>
                    </w:rPr>
                    <w:t>类别</w:t>
                  </w:r>
                </w:p>
              </w:tc>
              <w:tc>
                <w:tcPr>
                  <w:tcW w:w="921" w:type="pct"/>
                  <w:tcBorders>
                    <w:top w:val="single" w:color="auto" w:sz="12" w:space="0"/>
                    <w:left w:val="single" w:color="auto" w:sz="4" w:space="0"/>
                    <w:bottom w:val="single" w:color="auto" w:sz="2" w:space="0"/>
                    <w:right w:val="single" w:color="auto" w:sz="4" w:space="0"/>
                  </w:tcBorders>
                  <w:vAlign w:val="center"/>
                </w:tcPr>
                <w:p>
                  <w:pPr>
                    <w:keepNext w:val="0"/>
                    <w:keepLines w:val="0"/>
                    <w:widowControl/>
                    <w:suppressLineNumbers w:val="0"/>
                    <w:adjustRightInd w:val="0"/>
                    <w:snapToGrid w:val="0"/>
                    <w:spacing w:before="0" w:beforeAutospacing="0" w:after="0" w:afterAutospacing="0"/>
                    <w:ind w:left="0" w:right="0"/>
                    <w:jc w:val="center"/>
                    <w:rPr>
                      <w:b/>
                      <w:bCs/>
                      <w:szCs w:val="21"/>
                    </w:rPr>
                  </w:pPr>
                  <w:r>
                    <w:rPr>
                      <w:b/>
                      <w:bCs/>
                    </w:rPr>
                    <w:t>建设名称</w:t>
                  </w:r>
                </w:p>
              </w:tc>
              <w:tc>
                <w:tcPr>
                  <w:tcW w:w="1220" w:type="pct"/>
                  <w:gridSpan w:val="3"/>
                  <w:tcBorders>
                    <w:top w:val="single" w:color="auto" w:sz="12" w:space="0"/>
                    <w:left w:val="single" w:color="auto" w:sz="4" w:space="0"/>
                    <w:bottom w:val="single" w:color="auto" w:sz="2" w:space="0"/>
                    <w:right w:val="nil"/>
                  </w:tcBorders>
                  <w:vAlign w:val="center"/>
                </w:tcPr>
                <w:p>
                  <w:pPr>
                    <w:keepNext w:val="0"/>
                    <w:keepLines w:val="0"/>
                    <w:widowControl/>
                    <w:suppressLineNumbers w:val="0"/>
                    <w:adjustRightInd w:val="0"/>
                    <w:snapToGrid w:val="0"/>
                    <w:spacing w:before="0" w:beforeAutospacing="0" w:after="0" w:afterAutospacing="0"/>
                    <w:ind w:left="0" w:right="0"/>
                    <w:jc w:val="center"/>
                    <w:rPr>
                      <w:b/>
                      <w:bCs/>
                      <w:szCs w:val="21"/>
                    </w:rPr>
                  </w:pPr>
                  <w:r>
                    <w:rPr>
                      <w:rFonts w:hint="eastAsia"/>
                      <w:b/>
                      <w:bCs/>
                    </w:rPr>
                    <w:t>设计能力</w:t>
                  </w:r>
                </w:p>
              </w:tc>
              <w:tc>
                <w:tcPr>
                  <w:tcW w:w="1645" w:type="pct"/>
                  <w:tcBorders>
                    <w:top w:val="single" w:color="auto" w:sz="12" w:space="0"/>
                    <w:left w:val="single" w:color="auto" w:sz="4" w:space="0"/>
                    <w:bottom w:val="single" w:color="auto" w:sz="2" w:space="0"/>
                    <w:right w:val="nil"/>
                  </w:tcBorders>
                  <w:vAlign w:val="center"/>
                </w:tcPr>
                <w:p>
                  <w:pPr>
                    <w:keepNext w:val="0"/>
                    <w:keepLines w:val="0"/>
                    <w:widowControl/>
                    <w:suppressLineNumbers w:val="0"/>
                    <w:adjustRightInd w:val="0"/>
                    <w:snapToGrid w:val="0"/>
                    <w:spacing w:before="0" w:beforeAutospacing="0" w:after="0" w:afterAutospacing="0"/>
                    <w:ind w:left="0" w:right="0"/>
                    <w:jc w:val="center"/>
                    <w:rPr>
                      <w:b/>
                      <w:bCs/>
                    </w:rPr>
                  </w:pPr>
                  <w:r>
                    <w:rPr>
                      <w:rFonts w:hint="eastAsia"/>
                      <w:b/>
                      <w:bCs/>
                    </w:rPr>
                    <w:t>备注</w:t>
                  </w:r>
                </w:p>
              </w:tc>
              <w:tc>
                <w:tcPr>
                  <w:tcW w:w="789" w:type="pct"/>
                  <w:tcBorders>
                    <w:top w:val="single" w:color="auto" w:sz="12" w:space="0"/>
                    <w:left w:val="single" w:color="auto" w:sz="4" w:space="0"/>
                    <w:bottom w:val="single" w:color="auto" w:sz="2" w:space="0"/>
                    <w:right w:val="nil"/>
                  </w:tcBorders>
                  <w:vAlign w:val="center"/>
                </w:tcPr>
                <w:p>
                  <w:pPr>
                    <w:keepNext w:val="0"/>
                    <w:keepLines w:val="0"/>
                    <w:widowControl/>
                    <w:suppressLineNumbers w:val="0"/>
                    <w:adjustRightInd w:val="0"/>
                    <w:snapToGrid w:val="0"/>
                    <w:spacing w:before="0" w:beforeAutospacing="0" w:after="0" w:afterAutospacing="0"/>
                    <w:ind w:left="0" w:right="0"/>
                    <w:jc w:val="center"/>
                    <w:rPr>
                      <w:rFonts w:hint="eastAsia"/>
                      <w:b/>
                      <w:bCs/>
                    </w:rPr>
                  </w:pPr>
                  <w:r>
                    <w:rPr>
                      <w:rFonts w:hint="eastAsia"/>
                      <w:b/>
                      <w:bCs/>
                    </w:rPr>
                    <w:t>依托可行性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2" w:type="pct"/>
                  <w:vMerge w:val="restart"/>
                  <w:tcBorders>
                    <w:top w:val="single" w:color="auto" w:sz="2" w:space="0"/>
                    <w:left w:val="nil"/>
                    <w:right w:val="single" w:color="auto" w:sz="4" w:space="0"/>
                  </w:tcBorders>
                  <w:vAlign w:val="center"/>
                </w:tcPr>
                <w:p>
                  <w:pPr>
                    <w:keepNext w:val="0"/>
                    <w:keepLines w:val="0"/>
                    <w:widowControl/>
                    <w:suppressLineNumbers w:val="0"/>
                    <w:adjustRightInd w:val="0"/>
                    <w:snapToGrid w:val="0"/>
                    <w:spacing w:before="0" w:beforeAutospacing="0" w:after="0" w:afterAutospacing="0"/>
                    <w:ind w:left="0" w:right="0"/>
                    <w:jc w:val="center"/>
                  </w:pPr>
                  <w:r>
                    <w:rPr>
                      <w:rFonts w:hint="eastAsia"/>
                    </w:rPr>
                    <w:t>公辅</w:t>
                  </w:r>
                </w:p>
                <w:p>
                  <w:pPr>
                    <w:keepNext w:val="0"/>
                    <w:keepLines w:val="0"/>
                    <w:widowControl/>
                    <w:suppressLineNumbers w:val="0"/>
                    <w:adjustRightInd w:val="0"/>
                    <w:snapToGrid w:val="0"/>
                    <w:spacing w:before="0" w:beforeAutospacing="0" w:after="0" w:afterAutospacing="0"/>
                    <w:ind w:left="0" w:right="0"/>
                    <w:jc w:val="center"/>
                    <w:rPr>
                      <w:b/>
                      <w:bCs/>
                    </w:rPr>
                  </w:pPr>
                  <w:r>
                    <w:rPr>
                      <w:rFonts w:hint="eastAsia"/>
                    </w:rPr>
                    <w:t>工程</w:t>
                  </w:r>
                </w:p>
              </w:tc>
              <w:tc>
                <w:tcPr>
                  <w:tcW w:w="921" w:type="pct"/>
                  <w:vMerge w:val="restart"/>
                  <w:tcBorders>
                    <w:top w:val="single" w:color="auto" w:sz="2"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t>供水</w:t>
                  </w:r>
                </w:p>
              </w:tc>
              <w:tc>
                <w:tcPr>
                  <w:tcW w:w="681" w:type="pct"/>
                  <w:tcBorders>
                    <w:top w:val="single" w:color="auto" w:sz="2" w:space="0"/>
                    <w:left w:val="single" w:color="auto" w:sz="4" w:space="0"/>
                    <w:bottom w:val="single" w:color="auto" w:sz="2" w:space="0"/>
                    <w:right w:val="single" w:color="auto" w:sz="2"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生活用水</w:t>
                  </w:r>
                </w:p>
              </w:tc>
              <w:tc>
                <w:tcPr>
                  <w:tcW w:w="538" w:type="pct"/>
                  <w:gridSpan w:val="2"/>
                  <w:tcBorders>
                    <w:top w:val="single" w:color="auto" w:sz="2" w:space="0"/>
                    <w:left w:val="single" w:color="auto" w:sz="2" w:space="0"/>
                    <w:bottom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szCs w:val="21"/>
                      <w:highlight w:val="yellow"/>
                    </w:rPr>
                  </w:pPr>
                  <w:r>
                    <w:rPr>
                      <w:rFonts w:hint="eastAsia"/>
                      <w:szCs w:val="21"/>
                    </w:rPr>
                    <w:t>3600</w:t>
                  </w:r>
                  <w:r>
                    <w:rPr>
                      <w:szCs w:val="21"/>
                    </w:rPr>
                    <w:t>t/a</w:t>
                  </w:r>
                </w:p>
              </w:tc>
              <w:tc>
                <w:tcPr>
                  <w:tcW w:w="1645" w:type="pct"/>
                  <w:vMerge w:val="restart"/>
                  <w:tcBorders>
                    <w:top w:val="single" w:color="auto" w:sz="2" w:space="0"/>
                    <w:left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hAnsi="宋体" w:cs="宋体"/>
                      <w:szCs w:val="21"/>
                    </w:rPr>
                    <w:t>依托区域自来水管网提供</w:t>
                  </w:r>
                </w:p>
              </w:tc>
              <w:tc>
                <w:tcPr>
                  <w:tcW w:w="789" w:type="pct"/>
                  <w:vMerge w:val="restart"/>
                  <w:tcBorders>
                    <w:top w:val="single" w:color="auto" w:sz="2" w:space="0"/>
                    <w:left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rFonts w:hint="eastAsia" w:hAnsi="宋体" w:cs="宋体"/>
                      <w:szCs w:val="21"/>
                    </w:rPr>
                  </w:pPr>
                  <w:r>
                    <w:rPr>
                      <w:rFonts w:hint="eastAsia" w:hAnsi="宋体" w:cs="宋体"/>
                      <w:szCs w:val="21"/>
                    </w:rPr>
                    <w:t>依托可行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2" w:type="pct"/>
                  <w:vMerge w:val="continue"/>
                  <w:tcBorders>
                    <w:top w:val="single" w:color="auto" w:sz="2" w:space="0"/>
                    <w:left w:val="nil"/>
                    <w:right w:val="single" w:color="auto" w:sz="4" w:space="0"/>
                  </w:tcBorders>
                  <w:vAlign w:val="center"/>
                </w:tcPr>
                <w:p>
                  <w:pPr>
                    <w:keepNext w:val="0"/>
                    <w:keepLines w:val="0"/>
                    <w:widowControl/>
                    <w:suppressLineNumbers w:val="0"/>
                    <w:adjustRightInd w:val="0"/>
                    <w:snapToGrid w:val="0"/>
                    <w:spacing w:before="0" w:beforeAutospacing="0" w:after="0" w:afterAutospacing="0"/>
                    <w:ind w:left="0" w:right="0"/>
                    <w:jc w:val="center"/>
                  </w:pPr>
                </w:p>
              </w:tc>
              <w:tc>
                <w:tcPr>
                  <w:tcW w:w="921" w:type="pct"/>
                  <w:vMerge w:val="continue"/>
                  <w:tcBorders>
                    <w:top w:val="single" w:color="auto" w:sz="2"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p>
              </w:tc>
              <w:tc>
                <w:tcPr>
                  <w:tcW w:w="681" w:type="pct"/>
                  <w:tcBorders>
                    <w:top w:val="single" w:color="auto" w:sz="2" w:space="0"/>
                    <w:left w:val="single" w:color="auto" w:sz="4" w:space="0"/>
                    <w:bottom w:val="single" w:color="auto" w:sz="2" w:space="0"/>
                    <w:right w:val="single" w:color="auto" w:sz="2"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食堂用水</w:t>
                  </w:r>
                </w:p>
              </w:tc>
              <w:tc>
                <w:tcPr>
                  <w:tcW w:w="538" w:type="pct"/>
                  <w:gridSpan w:val="2"/>
                  <w:tcBorders>
                    <w:top w:val="single" w:color="auto" w:sz="2" w:space="0"/>
                    <w:left w:val="single" w:color="auto" w:sz="2" w:space="0"/>
                    <w:bottom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lang w:val="en-US" w:eastAsia="zh-CN"/>
                    </w:rPr>
                    <w:t>720</w:t>
                  </w:r>
                  <w:r>
                    <w:rPr>
                      <w:rFonts w:hint="eastAsia"/>
                      <w:szCs w:val="21"/>
                    </w:rPr>
                    <w:t>t/a</w:t>
                  </w:r>
                </w:p>
              </w:tc>
              <w:tc>
                <w:tcPr>
                  <w:tcW w:w="1645" w:type="pct"/>
                  <w:vMerge w:val="continue"/>
                  <w:tcBorders>
                    <w:left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rFonts w:hAnsi="宋体" w:cs="宋体"/>
                      <w:szCs w:val="21"/>
                    </w:rPr>
                  </w:pPr>
                </w:p>
              </w:tc>
              <w:tc>
                <w:tcPr>
                  <w:tcW w:w="789" w:type="pct"/>
                  <w:vMerge w:val="continue"/>
                  <w:tcBorders>
                    <w:left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rFonts w:hAnsi="宋体" w:cs="宋体"/>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2" w:type="pct"/>
                  <w:vMerge w:val="continue"/>
                  <w:tcBorders>
                    <w:top w:val="single" w:color="auto" w:sz="2" w:space="0"/>
                    <w:left w:val="nil"/>
                    <w:right w:val="single" w:color="auto" w:sz="4" w:space="0"/>
                  </w:tcBorders>
                  <w:vAlign w:val="center"/>
                </w:tcPr>
                <w:p>
                  <w:pPr>
                    <w:keepNext w:val="0"/>
                    <w:keepLines w:val="0"/>
                    <w:widowControl/>
                    <w:suppressLineNumbers w:val="0"/>
                    <w:adjustRightInd w:val="0"/>
                    <w:snapToGrid w:val="0"/>
                    <w:spacing w:before="0" w:beforeAutospacing="0" w:after="0" w:afterAutospacing="0"/>
                    <w:ind w:left="0" w:right="0"/>
                    <w:jc w:val="center"/>
                  </w:pPr>
                </w:p>
              </w:tc>
              <w:tc>
                <w:tcPr>
                  <w:tcW w:w="921" w:type="pct"/>
                  <w:vMerge w:val="continue"/>
                  <w:tcBorders>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p>
              </w:tc>
              <w:tc>
                <w:tcPr>
                  <w:tcW w:w="681" w:type="pct"/>
                  <w:tcBorders>
                    <w:top w:val="single" w:color="auto" w:sz="2" w:space="0"/>
                    <w:left w:val="single" w:color="auto" w:sz="4" w:space="0"/>
                    <w:bottom w:val="single" w:color="auto" w:sz="2" w:space="0"/>
                    <w:right w:val="single" w:color="auto" w:sz="2"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生产用水</w:t>
                  </w:r>
                </w:p>
              </w:tc>
              <w:tc>
                <w:tcPr>
                  <w:tcW w:w="538" w:type="pct"/>
                  <w:gridSpan w:val="2"/>
                  <w:tcBorders>
                    <w:top w:val="single" w:color="auto" w:sz="2" w:space="0"/>
                    <w:left w:val="single" w:color="auto" w:sz="2" w:space="0"/>
                    <w:bottom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1</w:t>
                  </w:r>
                  <w:r>
                    <w:rPr>
                      <w:rFonts w:hint="eastAsia"/>
                      <w:szCs w:val="21"/>
                      <w:lang w:val="en-US" w:eastAsia="zh-CN"/>
                    </w:rPr>
                    <w:t>05</w:t>
                  </w:r>
                  <w:r>
                    <w:rPr>
                      <w:rFonts w:hint="eastAsia"/>
                      <w:szCs w:val="21"/>
                    </w:rPr>
                    <w:t>t/a</w:t>
                  </w:r>
                </w:p>
              </w:tc>
              <w:tc>
                <w:tcPr>
                  <w:tcW w:w="1645" w:type="pct"/>
                  <w:vMerge w:val="continue"/>
                  <w:tcBorders>
                    <w:left w:val="single" w:color="auto" w:sz="4" w:space="0"/>
                    <w:bottom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rFonts w:hAnsi="宋体" w:cs="宋体"/>
                      <w:szCs w:val="21"/>
                    </w:rPr>
                  </w:pPr>
                </w:p>
              </w:tc>
              <w:tc>
                <w:tcPr>
                  <w:tcW w:w="789" w:type="pct"/>
                  <w:vMerge w:val="continue"/>
                  <w:tcBorders>
                    <w:left w:val="single" w:color="auto" w:sz="4" w:space="0"/>
                    <w:bottom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rFonts w:hAnsi="宋体" w:cs="宋体"/>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2" w:type="pct"/>
                  <w:vMerge w:val="continue"/>
                  <w:tcBorders>
                    <w:left w:val="nil"/>
                    <w:right w:val="single" w:color="auto" w:sz="4" w:space="0"/>
                  </w:tcBorders>
                  <w:vAlign w:val="center"/>
                </w:tcPr>
                <w:p>
                  <w:pPr>
                    <w:keepNext w:val="0"/>
                    <w:keepLines w:val="0"/>
                    <w:widowControl/>
                    <w:suppressLineNumbers w:val="0"/>
                    <w:adjustRightInd w:val="0"/>
                    <w:snapToGrid w:val="0"/>
                    <w:spacing w:before="0" w:beforeAutospacing="0" w:after="0" w:afterAutospacing="0"/>
                    <w:ind w:left="0" w:right="0"/>
                    <w:jc w:val="center"/>
                    <w:rPr>
                      <w:b/>
                      <w:bCs/>
                    </w:rPr>
                  </w:pPr>
                </w:p>
              </w:tc>
              <w:tc>
                <w:tcPr>
                  <w:tcW w:w="921" w:type="pct"/>
                  <w:vMerge w:val="restart"/>
                  <w:tcBorders>
                    <w:top w:val="single" w:color="auto" w:sz="2"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t>排水</w:t>
                  </w:r>
                </w:p>
              </w:tc>
              <w:tc>
                <w:tcPr>
                  <w:tcW w:w="681" w:type="pct"/>
                  <w:tcBorders>
                    <w:top w:val="single" w:color="auto" w:sz="2" w:space="0"/>
                    <w:left w:val="single" w:color="auto" w:sz="4" w:space="0"/>
                    <w:right w:val="single" w:color="auto" w:sz="2"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生活污水</w:t>
                  </w:r>
                </w:p>
              </w:tc>
              <w:tc>
                <w:tcPr>
                  <w:tcW w:w="538" w:type="pct"/>
                  <w:gridSpan w:val="2"/>
                  <w:tcBorders>
                    <w:top w:val="single" w:color="auto" w:sz="2" w:space="0"/>
                    <w:left w:val="single" w:color="auto" w:sz="2" w:space="0"/>
                    <w:right w:val="nil"/>
                  </w:tcBorders>
                  <w:vAlign w:val="center"/>
                </w:tcPr>
                <w:p>
                  <w:pPr>
                    <w:keepNext w:val="0"/>
                    <w:keepLines w:val="0"/>
                    <w:suppressLineNumbers w:val="0"/>
                    <w:adjustRightInd w:val="0"/>
                    <w:snapToGrid w:val="0"/>
                    <w:spacing w:before="0" w:beforeAutospacing="0" w:after="0" w:afterAutospacing="0"/>
                    <w:ind w:left="0" w:right="0"/>
                    <w:jc w:val="center"/>
                    <w:rPr>
                      <w:highlight w:val="yellow"/>
                    </w:rPr>
                  </w:pPr>
                  <w:r>
                    <w:rPr>
                      <w:rFonts w:hint="eastAsia"/>
                      <w:szCs w:val="21"/>
                    </w:rPr>
                    <w:t>2880</w:t>
                  </w:r>
                  <w:r>
                    <w:rPr>
                      <w:szCs w:val="21"/>
                    </w:rPr>
                    <w:t>t/a</w:t>
                  </w:r>
                </w:p>
              </w:tc>
              <w:tc>
                <w:tcPr>
                  <w:tcW w:w="1645" w:type="pct"/>
                  <w:vMerge w:val="restart"/>
                  <w:tcBorders>
                    <w:top w:val="single" w:color="auto" w:sz="2" w:space="0"/>
                    <w:left w:val="single" w:color="auto" w:sz="4" w:space="0"/>
                    <w:right w:val="nil"/>
                  </w:tcBorders>
                  <w:vAlign w:val="center"/>
                </w:tcPr>
                <w:p>
                  <w:pPr>
                    <w:keepNext w:val="0"/>
                    <w:keepLines w:val="0"/>
                    <w:suppressLineNumbers w:val="0"/>
                    <w:spacing w:before="0" w:beforeAutospacing="0" w:after="0" w:afterAutospacing="0"/>
                    <w:ind w:left="0" w:right="0"/>
                    <w:jc w:val="center"/>
                  </w:pPr>
                  <w:r>
                    <w:t>厂区实</w:t>
                  </w:r>
                  <w:r>
                    <w:rPr>
                      <w:rFonts w:ascii="宋体" w:hAnsi="宋体"/>
                    </w:rPr>
                    <w:t>行“雨污分流”</w:t>
                  </w:r>
                  <w:r>
                    <w:t>，</w:t>
                  </w:r>
                  <w:r>
                    <w:rPr>
                      <w:szCs w:val="21"/>
                    </w:rPr>
                    <w:t>食堂废水经隔油池处理后与生活污水接入武南污水处理厂，处理达标后排放</w:t>
                  </w:r>
                  <w:r>
                    <w:rPr>
                      <w:rFonts w:hint="eastAsia"/>
                    </w:rPr>
                    <w:t>，尾水排入武南河</w:t>
                  </w:r>
                  <w:r>
                    <w:t>。</w:t>
                  </w:r>
                  <w:r>
                    <w:rPr>
                      <w:rFonts w:hint="eastAsia"/>
                    </w:rPr>
                    <w:t>依托区域污水管网排放</w:t>
                  </w:r>
                </w:p>
              </w:tc>
              <w:tc>
                <w:tcPr>
                  <w:tcW w:w="789" w:type="pct"/>
                  <w:vMerge w:val="restart"/>
                  <w:tcBorders>
                    <w:top w:val="single" w:color="auto" w:sz="2" w:space="0"/>
                    <w:left w:val="single" w:color="auto" w:sz="4" w:space="0"/>
                    <w:right w:val="nil"/>
                  </w:tcBorders>
                  <w:vAlign w:val="center"/>
                </w:tcPr>
                <w:p>
                  <w:pPr>
                    <w:keepNext w:val="0"/>
                    <w:keepLines w:val="0"/>
                    <w:suppressLineNumbers w:val="0"/>
                    <w:spacing w:before="0" w:beforeAutospacing="0" w:after="0" w:afterAutospacing="0"/>
                    <w:ind w:left="0" w:right="0"/>
                    <w:jc w:val="center"/>
                  </w:pPr>
                  <w:r>
                    <w:rPr>
                      <w:rFonts w:hint="eastAsia"/>
                    </w:rPr>
                    <w:t>依托可行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2" w:type="pct"/>
                  <w:vMerge w:val="continue"/>
                  <w:tcBorders>
                    <w:left w:val="nil"/>
                    <w:right w:val="single" w:color="auto" w:sz="4" w:space="0"/>
                  </w:tcBorders>
                  <w:vAlign w:val="center"/>
                </w:tcPr>
                <w:p>
                  <w:pPr>
                    <w:keepNext w:val="0"/>
                    <w:keepLines w:val="0"/>
                    <w:widowControl/>
                    <w:suppressLineNumbers w:val="0"/>
                    <w:adjustRightInd w:val="0"/>
                    <w:snapToGrid w:val="0"/>
                    <w:spacing w:before="0" w:beforeAutospacing="0" w:after="0" w:afterAutospacing="0"/>
                    <w:ind w:left="0" w:right="0"/>
                    <w:jc w:val="center"/>
                    <w:rPr>
                      <w:b/>
                      <w:bCs/>
                    </w:rPr>
                  </w:pPr>
                </w:p>
              </w:tc>
              <w:tc>
                <w:tcPr>
                  <w:tcW w:w="921" w:type="pct"/>
                  <w:vMerge w:val="continue"/>
                  <w:tcBorders>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p>
              </w:tc>
              <w:tc>
                <w:tcPr>
                  <w:tcW w:w="681" w:type="pct"/>
                  <w:tcBorders>
                    <w:top w:val="single" w:color="auto" w:sz="2" w:space="0"/>
                    <w:left w:val="single" w:color="auto" w:sz="4" w:space="0"/>
                    <w:right w:val="single" w:color="auto" w:sz="2"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食堂废水</w:t>
                  </w:r>
                </w:p>
              </w:tc>
              <w:tc>
                <w:tcPr>
                  <w:tcW w:w="538" w:type="pct"/>
                  <w:gridSpan w:val="2"/>
                  <w:tcBorders>
                    <w:top w:val="single" w:color="auto" w:sz="2" w:space="0"/>
                    <w:left w:val="single" w:color="auto" w:sz="2" w:space="0"/>
                    <w:right w:val="nil"/>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lang w:val="en-US" w:eastAsia="zh-CN"/>
                    </w:rPr>
                    <w:t>576</w:t>
                  </w:r>
                  <w:r>
                    <w:rPr>
                      <w:rFonts w:hint="eastAsia"/>
                      <w:szCs w:val="21"/>
                    </w:rPr>
                    <w:t>t/a</w:t>
                  </w:r>
                </w:p>
              </w:tc>
              <w:tc>
                <w:tcPr>
                  <w:tcW w:w="1645" w:type="pct"/>
                  <w:vMerge w:val="continue"/>
                  <w:tcBorders>
                    <w:left w:val="single" w:color="auto" w:sz="4" w:space="0"/>
                    <w:right w:val="nil"/>
                  </w:tcBorders>
                  <w:vAlign w:val="center"/>
                </w:tcPr>
                <w:p>
                  <w:pPr>
                    <w:keepNext w:val="0"/>
                    <w:keepLines w:val="0"/>
                    <w:suppressLineNumbers w:val="0"/>
                    <w:spacing w:before="0" w:beforeAutospacing="0" w:after="0" w:afterAutospacing="0"/>
                    <w:ind w:left="0" w:right="0"/>
                    <w:jc w:val="center"/>
                  </w:pPr>
                </w:p>
              </w:tc>
              <w:tc>
                <w:tcPr>
                  <w:tcW w:w="789" w:type="pct"/>
                  <w:vMerge w:val="continue"/>
                  <w:tcBorders>
                    <w:left w:val="single" w:color="auto" w:sz="4" w:space="0"/>
                    <w:right w:val="nil"/>
                  </w:tcBorders>
                  <w:vAlign w:val="center"/>
                </w:tcPr>
                <w:p>
                  <w:pPr>
                    <w:keepNext w:val="0"/>
                    <w:keepLines w:val="0"/>
                    <w:suppressLineNumbers w:val="0"/>
                    <w:spacing w:before="0" w:beforeAutospacing="0" w:after="0" w:afterAutospacing="0"/>
                    <w:ind w:left="0" w:right="0"/>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2" w:type="pct"/>
                  <w:vMerge w:val="continue"/>
                  <w:tcBorders>
                    <w:left w:val="nil"/>
                    <w:right w:val="single" w:color="auto" w:sz="4" w:space="0"/>
                  </w:tcBorders>
                  <w:vAlign w:val="center"/>
                </w:tcPr>
                <w:p>
                  <w:pPr>
                    <w:keepNext w:val="0"/>
                    <w:keepLines w:val="0"/>
                    <w:widowControl/>
                    <w:suppressLineNumbers w:val="0"/>
                    <w:adjustRightInd w:val="0"/>
                    <w:snapToGrid w:val="0"/>
                    <w:spacing w:before="0" w:beforeAutospacing="0" w:after="0" w:afterAutospacing="0"/>
                    <w:ind w:left="0" w:right="0"/>
                    <w:jc w:val="center"/>
                    <w:rPr>
                      <w:b/>
                      <w:bCs/>
                    </w:rPr>
                  </w:pPr>
                </w:p>
              </w:tc>
              <w:tc>
                <w:tcPr>
                  <w:tcW w:w="921" w:type="pct"/>
                  <w:tcBorders>
                    <w:top w:val="single" w:color="auto" w:sz="2"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t>供电</w:t>
                  </w:r>
                </w:p>
              </w:tc>
              <w:tc>
                <w:tcPr>
                  <w:tcW w:w="1220" w:type="pct"/>
                  <w:gridSpan w:val="3"/>
                  <w:tcBorders>
                    <w:top w:val="single" w:color="auto" w:sz="2" w:space="0"/>
                    <w:left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433.30</w:t>
                  </w:r>
                  <w:r>
                    <w:t>万度/年</w:t>
                  </w:r>
                </w:p>
              </w:tc>
              <w:tc>
                <w:tcPr>
                  <w:tcW w:w="1645" w:type="pct"/>
                  <w:tcBorders>
                    <w:top w:val="single" w:color="auto" w:sz="2" w:space="0"/>
                    <w:left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pPr>
                  <w:r>
                    <w:rPr>
                      <w:szCs w:val="21"/>
                    </w:rPr>
                    <w:t>区域供电管网统一供给</w:t>
                  </w:r>
                  <w:r>
                    <w:rPr>
                      <w:rFonts w:hint="eastAsia"/>
                      <w:szCs w:val="21"/>
                    </w:rPr>
                    <w:t>，依托区域供电线路</w:t>
                  </w:r>
                </w:p>
              </w:tc>
              <w:tc>
                <w:tcPr>
                  <w:tcW w:w="789" w:type="pct"/>
                  <w:tcBorders>
                    <w:top w:val="single" w:color="auto" w:sz="2" w:space="0"/>
                    <w:left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rFonts w:hint="eastAsia" w:hAnsi="宋体" w:cs="宋体"/>
                      <w:szCs w:val="21"/>
                    </w:rPr>
                  </w:pPr>
                  <w:r>
                    <w:rPr>
                      <w:rFonts w:hint="eastAsia" w:hAnsi="宋体" w:cs="宋体"/>
                      <w:szCs w:val="21"/>
                    </w:rPr>
                    <w:t>依托可行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2" w:type="pct"/>
                  <w:vMerge w:val="restart"/>
                  <w:tcBorders>
                    <w:left w:val="nil"/>
                    <w:right w:val="single" w:color="auto" w:sz="4" w:space="0"/>
                  </w:tcBorders>
                  <w:vAlign w:val="center"/>
                </w:tcPr>
                <w:p>
                  <w:pPr>
                    <w:keepNext w:val="0"/>
                    <w:keepLines w:val="0"/>
                    <w:widowControl/>
                    <w:suppressLineNumbers w:val="0"/>
                    <w:adjustRightInd w:val="0"/>
                    <w:snapToGrid w:val="0"/>
                    <w:spacing w:before="0" w:beforeAutospacing="0" w:after="0" w:afterAutospacing="0"/>
                    <w:ind w:left="0" w:right="0"/>
                    <w:jc w:val="center"/>
                    <w:rPr>
                      <w:rFonts w:ascii="Calibri" w:hAnsi="Calibri"/>
                      <w:szCs w:val="21"/>
                    </w:rPr>
                  </w:pPr>
                  <w:r>
                    <w:rPr>
                      <w:rFonts w:hint="eastAsia" w:ascii="Calibri" w:hAnsi="Calibri"/>
                      <w:szCs w:val="21"/>
                    </w:rPr>
                    <w:t>储运</w:t>
                  </w:r>
                </w:p>
                <w:p>
                  <w:pPr>
                    <w:keepNext w:val="0"/>
                    <w:keepLines w:val="0"/>
                    <w:widowControl/>
                    <w:suppressLineNumbers w:val="0"/>
                    <w:adjustRightInd w:val="0"/>
                    <w:snapToGrid w:val="0"/>
                    <w:spacing w:before="0" w:beforeAutospacing="0" w:after="0" w:afterAutospacing="0"/>
                    <w:ind w:left="0" w:right="0"/>
                    <w:jc w:val="center"/>
                    <w:rPr>
                      <w:rFonts w:ascii="Calibri" w:hAnsi="Calibri"/>
                      <w:szCs w:val="21"/>
                    </w:rPr>
                  </w:pPr>
                  <w:r>
                    <w:rPr>
                      <w:rFonts w:hint="eastAsia" w:ascii="Calibri" w:hAnsi="Calibri"/>
                      <w:szCs w:val="21"/>
                    </w:rPr>
                    <w:t>工程</w:t>
                  </w:r>
                </w:p>
              </w:tc>
              <w:tc>
                <w:tcPr>
                  <w:tcW w:w="921" w:type="pct"/>
                  <w:tcBorders>
                    <w:top w:val="single" w:color="auto" w:sz="2" w:space="0"/>
                    <w:left w:val="single" w:color="auto" w:sz="4" w:space="0"/>
                    <w:right w:val="single" w:color="auto" w:sz="4" w:space="0"/>
                  </w:tcBorders>
                  <w:vAlign w:val="center"/>
                </w:tcPr>
                <w:p>
                  <w:pPr>
                    <w:pStyle w:val="48"/>
                    <w:keepNext w:val="0"/>
                    <w:keepLines w:val="0"/>
                    <w:suppressLineNumbers w:val="0"/>
                    <w:spacing w:before="6" w:beforeAutospacing="0" w:after="0" w:afterAutospacing="0"/>
                    <w:ind w:left="133" w:right="120"/>
                    <w:jc w:val="center"/>
                  </w:pPr>
                  <w:r>
                    <w:rPr>
                      <w:rFonts w:ascii="Times New Roman" w:hAnsi="Times New Roman"/>
                      <w:sz w:val="21"/>
                      <w:szCs w:val="21"/>
                    </w:rPr>
                    <w:t>原料</w:t>
                  </w:r>
                  <w:r>
                    <w:rPr>
                      <w:rFonts w:hint="eastAsia" w:ascii="Times New Roman" w:hAnsi="Times New Roman"/>
                      <w:sz w:val="21"/>
                      <w:szCs w:val="21"/>
                    </w:rPr>
                    <w:t>堆放区</w:t>
                  </w:r>
                </w:p>
              </w:tc>
              <w:tc>
                <w:tcPr>
                  <w:tcW w:w="1220" w:type="pct"/>
                  <w:gridSpan w:val="3"/>
                  <w:tcBorders>
                    <w:top w:val="single" w:color="auto" w:sz="2" w:space="0"/>
                    <w:left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szCs w:val="21"/>
                      <w:highlight w:val="yellow"/>
                    </w:rPr>
                  </w:pPr>
                  <w:r>
                    <w:rPr>
                      <w:rFonts w:hint="eastAsia"/>
                      <w:szCs w:val="21"/>
                    </w:rPr>
                    <w:t>3000m</w:t>
                  </w:r>
                  <w:r>
                    <w:rPr>
                      <w:rFonts w:hint="eastAsia"/>
                      <w:szCs w:val="21"/>
                      <w:vertAlign w:val="superscript"/>
                    </w:rPr>
                    <w:t>2</w:t>
                  </w:r>
                </w:p>
              </w:tc>
              <w:tc>
                <w:tcPr>
                  <w:tcW w:w="1645" w:type="pct"/>
                  <w:tcBorders>
                    <w:top w:val="single" w:color="auto" w:sz="2" w:space="0"/>
                    <w:left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pPr>
                  <w:r>
                    <w:rPr>
                      <w:szCs w:val="21"/>
                    </w:rPr>
                    <w:t>生产车间</w:t>
                  </w:r>
                  <w:r>
                    <w:rPr>
                      <w:rFonts w:hint="eastAsia"/>
                      <w:szCs w:val="21"/>
                    </w:rPr>
                    <w:t>1内设有1个400m</w:t>
                  </w:r>
                  <w:r>
                    <w:rPr>
                      <w:rFonts w:hint="eastAsia"/>
                      <w:szCs w:val="21"/>
                      <w:vertAlign w:val="superscript"/>
                    </w:rPr>
                    <w:t>2</w:t>
                  </w:r>
                  <w:r>
                    <w:rPr>
                      <w:rFonts w:hint="eastAsia"/>
                      <w:szCs w:val="21"/>
                    </w:rPr>
                    <w:t>原料堆放区，生产车间4内设有2600m</w:t>
                  </w:r>
                  <w:r>
                    <w:rPr>
                      <w:rFonts w:hint="eastAsia"/>
                      <w:szCs w:val="21"/>
                      <w:vertAlign w:val="superscript"/>
                    </w:rPr>
                    <w:t>2</w:t>
                  </w:r>
                  <w:r>
                    <w:rPr>
                      <w:rFonts w:hint="eastAsia"/>
                      <w:szCs w:val="21"/>
                    </w:rPr>
                    <w:t>原料堆放区</w:t>
                  </w:r>
                  <w:r>
                    <w:rPr>
                      <w:szCs w:val="21"/>
                    </w:rPr>
                    <w:t>，</w:t>
                  </w:r>
                  <w:r>
                    <w:rPr>
                      <w:rFonts w:hint="eastAsia"/>
                      <w:szCs w:val="21"/>
                    </w:rPr>
                    <w:t>用于</w:t>
                  </w:r>
                  <w:r>
                    <w:rPr>
                      <w:szCs w:val="21"/>
                    </w:rPr>
                    <w:t>储存原辅料</w:t>
                  </w:r>
                </w:p>
              </w:tc>
              <w:tc>
                <w:tcPr>
                  <w:tcW w:w="789" w:type="pct"/>
                  <w:tcBorders>
                    <w:top w:val="single" w:color="auto" w:sz="2" w:space="0"/>
                    <w:left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本项目设置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2" w:type="pct"/>
                  <w:vMerge w:val="continue"/>
                  <w:tcBorders>
                    <w:left w:val="nil"/>
                    <w:right w:val="single" w:color="auto" w:sz="4" w:space="0"/>
                  </w:tcBorders>
                  <w:vAlign w:val="center"/>
                </w:tcPr>
                <w:p>
                  <w:pPr>
                    <w:keepNext w:val="0"/>
                    <w:keepLines w:val="0"/>
                    <w:widowControl/>
                    <w:suppressLineNumbers w:val="0"/>
                    <w:adjustRightInd w:val="0"/>
                    <w:snapToGrid w:val="0"/>
                    <w:spacing w:before="0" w:beforeAutospacing="0" w:after="0" w:afterAutospacing="0"/>
                    <w:ind w:left="0" w:right="0"/>
                    <w:jc w:val="center"/>
                    <w:rPr>
                      <w:b/>
                      <w:bCs/>
                    </w:rPr>
                  </w:pPr>
                </w:p>
              </w:tc>
              <w:tc>
                <w:tcPr>
                  <w:tcW w:w="921" w:type="pct"/>
                  <w:tcBorders>
                    <w:top w:val="single" w:color="auto" w:sz="2"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rPr>
                      <w:szCs w:val="21"/>
                    </w:rPr>
                    <w:t>成品</w:t>
                  </w:r>
                  <w:r>
                    <w:rPr>
                      <w:rFonts w:hint="eastAsia"/>
                      <w:szCs w:val="21"/>
                    </w:rPr>
                    <w:t>堆放区</w:t>
                  </w:r>
                </w:p>
              </w:tc>
              <w:tc>
                <w:tcPr>
                  <w:tcW w:w="1220" w:type="pct"/>
                  <w:gridSpan w:val="3"/>
                  <w:tcBorders>
                    <w:top w:val="single" w:color="auto" w:sz="2" w:space="0"/>
                    <w:left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highlight w:val="yellow"/>
                    </w:rPr>
                  </w:pPr>
                  <w:r>
                    <w:rPr>
                      <w:rFonts w:hint="eastAsia"/>
                      <w:szCs w:val="21"/>
                    </w:rPr>
                    <w:t>1000m</w:t>
                  </w:r>
                  <w:r>
                    <w:rPr>
                      <w:rFonts w:hint="eastAsia"/>
                      <w:szCs w:val="21"/>
                      <w:vertAlign w:val="superscript"/>
                    </w:rPr>
                    <w:t>2</w:t>
                  </w:r>
                </w:p>
              </w:tc>
              <w:tc>
                <w:tcPr>
                  <w:tcW w:w="1645" w:type="pct"/>
                  <w:tcBorders>
                    <w:top w:val="single" w:color="auto" w:sz="2" w:space="0"/>
                    <w:left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szCs w:val="21"/>
                    </w:rPr>
                    <w:t>位于</w:t>
                  </w:r>
                  <w:r>
                    <w:rPr>
                      <w:szCs w:val="21"/>
                    </w:rPr>
                    <w:t>生产车间</w:t>
                  </w:r>
                  <w:r>
                    <w:rPr>
                      <w:rFonts w:hint="eastAsia"/>
                      <w:szCs w:val="21"/>
                    </w:rPr>
                    <w:t>1和生产车间3</w:t>
                  </w:r>
                  <w:r>
                    <w:rPr>
                      <w:szCs w:val="21"/>
                    </w:rPr>
                    <w:t>内，储存</w:t>
                  </w:r>
                  <w:r>
                    <w:rPr>
                      <w:rFonts w:hint="eastAsia"/>
                      <w:szCs w:val="21"/>
                    </w:rPr>
                    <w:t>成品。</w:t>
                  </w:r>
                </w:p>
              </w:tc>
              <w:tc>
                <w:tcPr>
                  <w:tcW w:w="789" w:type="pct"/>
                  <w:tcBorders>
                    <w:top w:val="single" w:color="auto" w:sz="2" w:space="0"/>
                    <w:left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rFonts w:hint="eastAsia"/>
                      <w:szCs w:val="21"/>
                    </w:rPr>
                  </w:pPr>
                  <w:r>
                    <w:rPr>
                      <w:rFonts w:hint="eastAsia"/>
                      <w:szCs w:val="21"/>
                    </w:rPr>
                    <w:t>本项目设置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2" w:type="pct"/>
                  <w:vMerge w:val="continue"/>
                  <w:tcBorders>
                    <w:left w:val="nil"/>
                    <w:right w:val="single" w:color="auto" w:sz="4" w:space="0"/>
                  </w:tcBorders>
                  <w:vAlign w:val="center"/>
                </w:tcPr>
                <w:p>
                  <w:pPr>
                    <w:keepNext w:val="0"/>
                    <w:keepLines w:val="0"/>
                    <w:widowControl/>
                    <w:suppressLineNumbers w:val="0"/>
                    <w:adjustRightInd w:val="0"/>
                    <w:snapToGrid w:val="0"/>
                    <w:spacing w:before="0" w:beforeAutospacing="0" w:after="0" w:afterAutospacing="0"/>
                    <w:ind w:left="0" w:right="0"/>
                    <w:jc w:val="center"/>
                    <w:rPr>
                      <w:b/>
                      <w:bCs/>
                    </w:rPr>
                  </w:pPr>
                </w:p>
              </w:tc>
              <w:tc>
                <w:tcPr>
                  <w:tcW w:w="921" w:type="pct"/>
                  <w:tcBorders>
                    <w:top w:val="single" w:color="auto" w:sz="2"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t>运输</w:t>
                  </w:r>
                </w:p>
              </w:tc>
              <w:tc>
                <w:tcPr>
                  <w:tcW w:w="1220" w:type="pct"/>
                  <w:gridSpan w:val="3"/>
                  <w:tcBorders>
                    <w:top w:val="single" w:color="auto" w:sz="2" w:space="0"/>
                    <w:left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汽车运输，运输能力为</w:t>
                  </w:r>
                  <w:r>
                    <w:rPr>
                      <w:rFonts w:hint="eastAsia"/>
                      <w:lang w:val="en-US" w:eastAsia="zh-CN"/>
                    </w:rPr>
                    <w:t>12039</w:t>
                  </w:r>
                  <w:r>
                    <w:rPr>
                      <w:rFonts w:hint="eastAsia"/>
                    </w:rPr>
                    <w:t>0</w:t>
                  </w:r>
                  <w:r>
                    <w:t>t/a</w:t>
                  </w:r>
                </w:p>
              </w:tc>
              <w:tc>
                <w:tcPr>
                  <w:tcW w:w="1645" w:type="pct"/>
                  <w:tcBorders>
                    <w:top w:val="single" w:color="auto" w:sz="2" w:space="0"/>
                    <w:left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pPr>
                  <w:r>
                    <w:rPr>
                      <w:szCs w:val="21"/>
                    </w:rPr>
                    <w:t>运输原料及产品，国内汽运</w:t>
                  </w:r>
                </w:p>
              </w:tc>
              <w:tc>
                <w:tcPr>
                  <w:tcW w:w="789" w:type="pct"/>
                  <w:tcBorders>
                    <w:top w:val="single" w:color="auto" w:sz="2" w:space="0"/>
                    <w:left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422" w:type="pct"/>
                  <w:vMerge w:val="restart"/>
                  <w:tcBorders>
                    <w:top w:val="single" w:color="auto" w:sz="2" w:space="0"/>
                    <w:left w:val="nil"/>
                    <w:right w:val="single" w:color="auto" w:sz="4" w:space="0"/>
                  </w:tcBorders>
                  <w:vAlign w:val="center"/>
                </w:tcPr>
                <w:p>
                  <w:pPr>
                    <w:keepNext w:val="0"/>
                    <w:keepLines w:val="0"/>
                    <w:widowControl/>
                    <w:suppressLineNumbers w:val="0"/>
                    <w:adjustRightInd w:val="0"/>
                    <w:snapToGrid w:val="0"/>
                    <w:spacing w:before="0" w:beforeAutospacing="0" w:after="0" w:afterAutospacing="0"/>
                    <w:ind w:left="0" w:right="0"/>
                    <w:jc w:val="center"/>
                  </w:pPr>
                  <w:r>
                    <w:rPr>
                      <w:rFonts w:hint="eastAsia"/>
                    </w:rPr>
                    <w:t>环保</w:t>
                  </w:r>
                </w:p>
                <w:p>
                  <w:pPr>
                    <w:keepNext w:val="0"/>
                    <w:keepLines w:val="0"/>
                    <w:widowControl/>
                    <w:suppressLineNumbers w:val="0"/>
                    <w:adjustRightInd w:val="0"/>
                    <w:snapToGrid w:val="0"/>
                    <w:spacing w:before="0" w:beforeAutospacing="0" w:after="0" w:afterAutospacing="0"/>
                    <w:ind w:left="0" w:right="0"/>
                    <w:jc w:val="center"/>
                    <w:rPr>
                      <w:b/>
                      <w:bCs/>
                    </w:rPr>
                  </w:pPr>
                  <w:r>
                    <w:rPr>
                      <w:rFonts w:hint="eastAsia"/>
                    </w:rPr>
                    <w:t>工程</w:t>
                  </w:r>
                </w:p>
              </w:tc>
              <w:tc>
                <w:tcPr>
                  <w:tcW w:w="921" w:type="pct"/>
                  <w:vMerge w:val="restart"/>
                  <w:tcBorders>
                    <w:top w:val="single" w:color="auto" w:sz="2"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t>废气治理</w:t>
                  </w:r>
                </w:p>
              </w:tc>
              <w:tc>
                <w:tcPr>
                  <w:tcW w:w="1220" w:type="pct"/>
                  <w:gridSpan w:val="3"/>
                  <w:tcBorders>
                    <w:top w:val="single" w:color="auto" w:sz="2" w:space="0"/>
                    <w:left w:val="single" w:color="auto" w:sz="4" w:space="0"/>
                    <w:bottom w:val="single" w:color="auto" w:sz="4" w:space="0"/>
                    <w:right w:val="nil"/>
                  </w:tcBorders>
                  <w:vAlign w:val="center"/>
                </w:tcPr>
                <w:p>
                  <w:pPr>
                    <w:pStyle w:val="43"/>
                    <w:keepNext w:val="0"/>
                    <w:keepLines w:val="0"/>
                    <w:suppressLineNumbers w:val="0"/>
                    <w:adjustRightInd w:val="0"/>
                    <w:snapToGrid w:val="0"/>
                    <w:spacing w:before="0" w:beforeAutospacing="0" w:after="0" w:afterAutospacing="0"/>
                    <w:ind w:left="0" w:right="0"/>
                    <w:jc w:val="center"/>
                  </w:pPr>
                  <w:r>
                    <w:rPr>
                      <w:rFonts w:hint="eastAsia"/>
                    </w:rPr>
                    <w:t>非甲烷总烃</w:t>
                  </w:r>
                </w:p>
              </w:tc>
              <w:tc>
                <w:tcPr>
                  <w:tcW w:w="1645" w:type="pct"/>
                  <w:tcBorders>
                    <w:top w:val="single" w:color="auto" w:sz="2" w:space="0"/>
                    <w:left w:val="single" w:color="auto" w:sz="4" w:space="0"/>
                    <w:right w:val="nil"/>
                  </w:tcBorders>
                  <w:vAlign w:val="center"/>
                </w:tcPr>
                <w:p>
                  <w:pPr>
                    <w:pStyle w:val="43"/>
                    <w:keepNext w:val="0"/>
                    <w:keepLines w:val="0"/>
                    <w:suppressLineNumbers w:val="0"/>
                    <w:adjustRightInd w:val="0"/>
                    <w:snapToGrid w:val="0"/>
                    <w:spacing w:before="0" w:beforeAutospacing="0" w:after="0" w:afterAutospacing="0"/>
                    <w:ind w:left="0" w:right="0"/>
                    <w:jc w:val="center"/>
                    <w:rPr>
                      <w:szCs w:val="24"/>
                    </w:rPr>
                  </w:pPr>
                  <w:r>
                    <w:rPr>
                      <w:rFonts w:hint="eastAsia"/>
                      <w:szCs w:val="21"/>
                    </w:rPr>
                    <w:t>注塑成型工序、固化工序</w:t>
                  </w:r>
                  <w:r>
                    <w:rPr>
                      <w:szCs w:val="21"/>
                    </w:rPr>
                    <w:t>产生的</w:t>
                  </w:r>
                  <w:r>
                    <w:rPr>
                      <w:rFonts w:hint="eastAsia"/>
                      <w:szCs w:val="21"/>
                    </w:rPr>
                    <w:t>有机废气</w:t>
                  </w:r>
                  <w:r>
                    <w:rPr>
                      <w:szCs w:val="21"/>
                    </w:rPr>
                    <w:t>经</w:t>
                  </w:r>
                  <w:r>
                    <w:rPr>
                      <w:rFonts w:ascii="宋体" w:hAnsi="宋体"/>
                      <w:szCs w:val="21"/>
                    </w:rPr>
                    <w:t>“</w:t>
                  </w:r>
                  <w:r>
                    <w:rPr>
                      <w:rFonts w:hint="eastAsia" w:ascii="宋体" w:hAnsi="宋体"/>
                      <w:szCs w:val="21"/>
                    </w:rPr>
                    <w:t>二级</w:t>
                  </w:r>
                  <w:r>
                    <w:rPr>
                      <w:rFonts w:ascii="宋体" w:hAnsi="宋体"/>
                      <w:szCs w:val="21"/>
                    </w:rPr>
                    <w:t>活性炭</w:t>
                  </w:r>
                  <w:r>
                    <w:rPr>
                      <w:rFonts w:hint="eastAsia" w:ascii="宋体" w:hAnsi="宋体"/>
                      <w:szCs w:val="21"/>
                    </w:rPr>
                    <w:t>吸附</w:t>
                  </w:r>
                  <w:r>
                    <w:rPr>
                      <w:rFonts w:ascii="宋体" w:hAnsi="宋体"/>
                      <w:szCs w:val="21"/>
                    </w:rPr>
                    <w:t>”</w:t>
                  </w:r>
                  <w:r>
                    <w:rPr>
                      <w:szCs w:val="21"/>
                    </w:rPr>
                    <w:t>处理后通过一根15m高的排气筒（FQ-1）排放</w:t>
                  </w:r>
                </w:p>
              </w:tc>
              <w:tc>
                <w:tcPr>
                  <w:tcW w:w="789" w:type="pct"/>
                  <w:vMerge w:val="restart"/>
                  <w:tcBorders>
                    <w:top w:val="single" w:color="auto" w:sz="2" w:space="0"/>
                    <w:left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rFonts w:hint="eastAsia"/>
                      <w:szCs w:val="21"/>
                    </w:rPr>
                  </w:pPr>
                  <w:r>
                    <w:rPr>
                      <w:rFonts w:hint="eastAsia"/>
                      <w:szCs w:val="21"/>
                    </w:rPr>
                    <w:t>本项目设置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422" w:type="pct"/>
                  <w:vMerge w:val="continue"/>
                  <w:tcBorders>
                    <w:top w:val="single" w:color="auto" w:sz="2" w:space="0"/>
                    <w:left w:val="nil"/>
                    <w:right w:val="single" w:color="auto" w:sz="4" w:space="0"/>
                  </w:tcBorders>
                  <w:vAlign w:val="center"/>
                </w:tcPr>
                <w:p>
                  <w:pPr>
                    <w:keepNext w:val="0"/>
                    <w:keepLines w:val="0"/>
                    <w:widowControl/>
                    <w:suppressLineNumbers w:val="0"/>
                    <w:adjustRightInd w:val="0"/>
                    <w:snapToGrid w:val="0"/>
                    <w:spacing w:before="0" w:beforeAutospacing="0" w:after="0" w:afterAutospacing="0"/>
                    <w:ind w:left="0" w:right="0"/>
                    <w:jc w:val="center"/>
                  </w:pPr>
                </w:p>
              </w:tc>
              <w:tc>
                <w:tcPr>
                  <w:tcW w:w="921" w:type="pct"/>
                  <w:vMerge w:val="continue"/>
                  <w:tcBorders>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p>
              </w:tc>
              <w:tc>
                <w:tcPr>
                  <w:tcW w:w="1220" w:type="pct"/>
                  <w:gridSpan w:val="3"/>
                  <w:tcBorders>
                    <w:top w:val="single" w:color="auto" w:sz="2" w:space="0"/>
                    <w:left w:val="single" w:color="auto" w:sz="4" w:space="0"/>
                    <w:bottom w:val="single" w:color="auto" w:sz="4" w:space="0"/>
                    <w:right w:val="nil"/>
                  </w:tcBorders>
                  <w:vAlign w:val="center"/>
                </w:tcPr>
                <w:p>
                  <w:pPr>
                    <w:pStyle w:val="43"/>
                    <w:keepNext w:val="0"/>
                    <w:keepLines w:val="0"/>
                    <w:suppressLineNumbers w:val="0"/>
                    <w:adjustRightInd w:val="0"/>
                    <w:snapToGrid w:val="0"/>
                    <w:spacing w:before="0" w:beforeAutospacing="0" w:after="0" w:afterAutospacing="0"/>
                    <w:ind w:left="0" w:right="0"/>
                    <w:jc w:val="center"/>
                  </w:pPr>
                  <w:r>
                    <w:rPr>
                      <w:rFonts w:hint="eastAsia"/>
                    </w:rPr>
                    <w:t>粉尘</w:t>
                  </w:r>
                </w:p>
              </w:tc>
              <w:tc>
                <w:tcPr>
                  <w:tcW w:w="1645" w:type="pct"/>
                  <w:tcBorders>
                    <w:top w:val="single" w:color="auto" w:sz="2" w:space="0"/>
                    <w:left w:val="single" w:color="auto" w:sz="4" w:space="0"/>
                    <w:right w:val="nil"/>
                  </w:tcBorders>
                  <w:vAlign w:val="center"/>
                </w:tcPr>
                <w:p>
                  <w:pPr>
                    <w:pStyle w:val="43"/>
                    <w:keepNext w:val="0"/>
                    <w:keepLines w:val="0"/>
                    <w:suppressLineNumbers w:val="0"/>
                    <w:adjustRightInd w:val="0"/>
                    <w:snapToGrid w:val="0"/>
                    <w:spacing w:before="0" w:beforeAutospacing="0" w:after="0" w:afterAutospacing="0"/>
                    <w:ind w:left="0" w:right="0"/>
                    <w:jc w:val="center"/>
                    <w:rPr>
                      <w:szCs w:val="21"/>
                    </w:rPr>
                  </w:pPr>
                  <w:r>
                    <w:rPr>
                      <w:rFonts w:hint="eastAsia"/>
                      <w:szCs w:val="21"/>
                    </w:rPr>
                    <w:t>涂敷过程中产生的粉尘经设备自带的旋风分离塔+二级滤芯除尘器处理后通过一根15米高的排气筒（FQ-1）排放</w:t>
                  </w:r>
                </w:p>
              </w:tc>
              <w:tc>
                <w:tcPr>
                  <w:tcW w:w="789" w:type="pct"/>
                  <w:vMerge w:val="continue"/>
                  <w:tcBorders>
                    <w:left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rFonts w:hint="eastAsia"/>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422" w:type="pct"/>
                  <w:vMerge w:val="continue"/>
                  <w:tcBorders>
                    <w:top w:val="single" w:color="auto" w:sz="2" w:space="0"/>
                    <w:left w:val="nil"/>
                    <w:right w:val="single" w:color="auto" w:sz="4" w:space="0"/>
                  </w:tcBorders>
                  <w:vAlign w:val="center"/>
                </w:tcPr>
                <w:p>
                  <w:pPr>
                    <w:keepNext w:val="0"/>
                    <w:keepLines w:val="0"/>
                    <w:widowControl/>
                    <w:suppressLineNumbers w:val="0"/>
                    <w:adjustRightInd w:val="0"/>
                    <w:snapToGrid w:val="0"/>
                    <w:spacing w:before="0" w:beforeAutospacing="0" w:after="0" w:afterAutospacing="0"/>
                    <w:ind w:left="0" w:right="0"/>
                    <w:jc w:val="center"/>
                  </w:pPr>
                </w:p>
              </w:tc>
              <w:tc>
                <w:tcPr>
                  <w:tcW w:w="921" w:type="pct"/>
                  <w:vMerge w:val="continue"/>
                  <w:tcBorders>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p>
              </w:tc>
              <w:tc>
                <w:tcPr>
                  <w:tcW w:w="1220" w:type="pct"/>
                  <w:gridSpan w:val="3"/>
                  <w:tcBorders>
                    <w:top w:val="single" w:color="auto" w:sz="2" w:space="0"/>
                    <w:left w:val="single" w:color="auto" w:sz="4" w:space="0"/>
                    <w:bottom w:val="single" w:color="auto" w:sz="4" w:space="0"/>
                    <w:right w:val="nil"/>
                  </w:tcBorders>
                  <w:vAlign w:val="center"/>
                </w:tcPr>
                <w:p>
                  <w:pPr>
                    <w:pStyle w:val="43"/>
                    <w:keepNext w:val="0"/>
                    <w:keepLines w:val="0"/>
                    <w:suppressLineNumbers w:val="0"/>
                    <w:adjustRightInd w:val="0"/>
                    <w:snapToGrid w:val="0"/>
                    <w:spacing w:before="0" w:beforeAutospacing="0" w:after="0" w:afterAutospacing="0"/>
                    <w:ind w:left="0" w:right="0"/>
                    <w:jc w:val="center"/>
                  </w:pPr>
                  <w:r>
                    <w:rPr>
                      <w:rFonts w:hint="eastAsia"/>
                    </w:rPr>
                    <w:t>食堂油烟</w:t>
                  </w:r>
                </w:p>
              </w:tc>
              <w:tc>
                <w:tcPr>
                  <w:tcW w:w="1645" w:type="pct"/>
                  <w:tcBorders>
                    <w:top w:val="single" w:color="auto" w:sz="2" w:space="0"/>
                    <w:left w:val="single" w:color="auto" w:sz="4" w:space="0"/>
                    <w:right w:val="nil"/>
                  </w:tcBorders>
                  <w:vAlign w:val="center"/>
                </w:tcPr>
                <w:p>
                  <w:pPr>
                    <w:pStyle w:val="43"/>
                    <w:keepNext w:val="0"/>
                    <w:keepLines w:val="0"/>
                    <w:suppressLineNumbers w:val="0"/>
                    <w:adjustRightInd w:val="0"/>
                    <w:snapToGrid w:val="0"/>
                    <w:spacing w:before="0" w:beforeAutospacing="0" w:after="0" w:afterAutospacing="0"/>
                    <w:ind w:left="0" w:right="0"/>
                    <w:jc w:val="center"/>
                    <w:rPr>
                      <w:szCs w:val="21"/>
                    </w:rPr>
                  </w:pPr>
                  <w:r>
                    <w:rPr>
                      <w:rFonts w:hint="eastAsia"/>
                      <w:szCs w:val="21"/>
                    </w:rPr>
                    <w:t>经油烟净化装置处理后通过一根8m高排气筒</w:t>
                  </w:r>
                  <w:r>
                    <w:rPr>
                      <w:rFonts w:hint="eastAsia"/>
                      <w:szCs w:val="21"/>
                      <w:lang w:eastAsia="zh-CN"/>
                    </w:rPr>
                    <w:t>（</w:t>
                  </w:r>
                  <w:r>
                    <w:rPr>
                      <w:rFonts w:hint="eastAsia"/>
                      <w:szCs w:val="21"/>
                      <w:lang w:val="en-US" w:eastAsia="zh-CN"/>
                    </w:rPr>
                    <w:t>FQ-2</w:t>
                  </w:r>
                  <w:r>
                    <w:rPr>
                      <w:rFonts w:hint="eastAsia"/>
                      <w:szCs w:val="21"/>
                      <w:lang w:eastAsia="zh-CN"/>
                    </w:rPr>
                    <w:t>）</w:t>
                  </w:r>
                  <w:r>
                    <w:rPr>
                      <w:rFonts w:hint="eastAsia"/>
                      <w:szCs w:val="21"/>
                    </w:rPr>
                    <w:t>排放</w:t>
                  </w:r>
                </w:p>
              </w:tc>
              <w:tc>
                <w:tcPr>
                  <w:tcW w:w="789" w:type="pct"/>
                  <w:vMerge w:val="continue"/>
                  <w:tcBorders>
                    <w:left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rFonts w:hint="eastAsia"/>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422" w:type="pct"/>
                  <w:vMerge w:val="continue"/>
                  <w:tcBorders>
                    <w:top w:val="single" w:color="auto" w:sz="2" w:space="0"/>
                    <w:left w:val="nil"/>
                    <w:right w:val="single" w:color="auto" w:sz="4" w:space="0"/>
                  </w:tcBorders>
                  <w:vAlign w:val="center"/>
                </w:tcPr>
                <w:p>
                  <w:pPr>
                    <w:keepNext w:val="0"/>
                    <w:keepLines w:val="0"/>
                    <w:widowControl/>
                    <w:suppressLineNumbers w:val="0"/>
                    <w:adjustRightInd w:val="0"/>
                    <w:snapToGrid w:val="0"/>
                    <w:spacing w:before="0" w:beforeAutospacing="0" w:after="0" w:afterAutospacing="0"/>
                    <w:ind w:left="0" w:right="0"/>
                    <w:jc w:val="center"/>
                  </w:pPr>
                </w:p>
              </w:tc>
              <w:tc>
                <w:tcPr>
                  <w:tcW w:w="921" w:type="pct"/>
                  <w:vMerge w:val="continue"/>
                  <w:tcBorders>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p>
              </w:tc>
              <w:tc>
                <w:tcPr>
                  <w:tcW w:w="1220" w:type="pct"/>
                  <w:gridSpan w:val="3"/>
                  <w:tcBorders>
                    <w:top w:val="single" w:color="auto" w:sz="2" w:space="0"/>
                    <w:left w:val="single" w:color="auto" w:sz="4" w:space="0"/>
                    <w:bottom w:val="single" w:color="auto" w:sz="4" w:space="0"/>
                    <w:right w:val="nil"/>
                  </w:tcBorders>
                  <w:vAlign w:val="center"/>
                </w:tcPr>
                <w:p>
                  <w:pPr>
                    <w:pStyle w:val="43"/>
                    <w:keepNext w:val="0"/>
                    <w:keepLines w:val="0"/>
                    <w:suppressLineNumbers w:val="0"/>
                    <w:adjustRightInd w:val="0"/>
                    <w:snapToGrid w:val="0"/>
                    <w:spacing w:before="0" w:beforeAutospacing="0" w:after="0" w:afterAutospacing="0"/>
                    <w:ind w:left="0" w:right="0"/>
                    <w:jc w:val="center"/>
                  </w:pPr>
                  <w:r>
                    <w:rPr>
                      <w:rFonts w:hint="eastAsia"/>
                    </w:rPr>
                    <w:t>焊接烟尘</w:t>
                  </w:r>
                </w:p>
              </w:tc>
              <w:tc>
                <w:tcPr>
                  <w:tcW w:w="1645" w:type="pct"/>
                  <w:tcBorders>
                    <w:top w:val="single" w:color="auto" w:sz="2" w:space="0"/>
                    <w:left w:val="single" w:color="auto" w:sz="4" w:space="0"/>
                    <w:right w:val="nil"/>
                  </w:tcBorders>
                  <w:vAlign w:val="center"/>
                </w:tcPr>
                <w:p>
                  <w:pPr>
                    <w:pStyle w:val="43"/>
                    <w:keepNext w:val="0"/>
                    <w:keepLines w:val="0"/>
                    <w:suppressLineNumbers w:val="0"/>
                    <w:adjustRightInd w:val="0"/>
                    <w:snapToGrid w:val="0"/>
                    <w:spacing w:before="0" w:beforeAutospacing="0" w:after="0" w:afterAutospacing="0"/>
                    <w:ind w:left="0" w:right="0"/>
                    <w:jc w:val="center"/>
                    <w:rPr>
                      <w:szCs w:val="21"/>
                    </w:rPr>
                  </w:pPr>
                  <w:r>
                    <w:rPr>
                      <w:rFonts w:hint="eastAsia"/>
                      <w:szCs w:val="21"/>
                    </w:rPr>
                    <w:t>焊接过程中产生的焊接烟尘经移动式滤芯除尘器处理后无组织排放</w:t>
                  </w:r>
                </w:p>
              </w:tc>
              <w:tc>
                <w:tcPr>
                  <w:tcW w:w="789" w:type="pct"/>
                  <w:vMerge w:val="continue"/>
                  <w:tcBorders>
                    <w:left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rFonts w:hint="eastAsia"/>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2" w:type="pct"/>
                  <w:vMerge w:val="continue"/>
                  <w:tcBorders>
                    <w:left w:val="nil"/>
                    <w:right w:val="single" w:color="auto" w:sz="4" w:space="0"/>
                  </w:tcBorders>
                  <w:vAlign w:val="center"/>
                </w:tcPr>
                <w:p>
                  <w:pPr>
                    <w:keepNext w:val="0"/>
                    <w:keepLines w:val="0"/>
                    <w:widowControl/>
                    <w:suppressLineNumbers w:val="0"/>
                    <w:adjustRightInd w:val="0"/>
                    <w:snapToGrid w:val="0"/>
                    <w:spacing w:before="0" w:beforeAutospacing="0" w:after="0" w:afterAutospacing="0"/>
                    <w:ind w:left="0" w:right="0"/>
                    <w:jc w:val="center"/>
                    <w:rPr>
                      <w:b/>
                      <w:bCs/>
                    </w:rPr>
                  </w:pPr>
                </w:p>
              </w:tc>
              <w:tc>
                <w:tcPr>
                  <w:tcW w:w="921" w:type="pct"/>
                  <w:vMerge w:val="restart"/>
                  <w:tcBorders>
                    <w:top w:val="single" w:color="auto" w:sz="2"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t>废水治理</w:t>
                  </w:r>
                </w:p>
              </w:tc>
              <w:tc>
                <w:tcPr>
                  <w:tcW w:w="1220" w:type="pct"/>
                  <w:gridSpan w:val="3"/>
                  <w:tcBorders>
                    <w:top w:val="single" w:color="auto" w:sz="2" w:space="0"/>
                    <w:left w:val="single" w:color="auto" w:sz="4" w:space="0"/>
                    <w:bottom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生活污水2880t/a</w:t>
                  </w:r>
                </w:p>
              </w:tc>
              <w:tc>
                <w:tcPr>
                  <w:tcW w:w="1645" w:type="pct"/>
                  <w:vMerge w:val="restart"/>
                  <w:tcBorders>
                    <w:top w:val="single" w:color="auto" w:sz="2" w:space="0"/>
                    <w:left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pPr>
                  <w:r>
                    <w:rPr>
                      <w:szCs w:val="21"/>
                    </w:rPr>
                    <w:t>食堂废水经隔油池处理后与生活污水接入武南污水处理厂</w:t>
                  </w:r>
                  <w:r>
                    <w:rPr>
                      <w:rFonts w:hint="eastAsia"/>
                      <w:szCs w:val="21"/>
                    </w:rPr>
                    <w:t>，</w:t>
                  </w:r>
                  <w:r>
                    <w:rPr>
                      <w:szCs w:val="21"/>
                    </w:rPr>
                    <w:t>生活污水管道依托</w:t>
                  </w:r>
                  <w:r>
                    <w:rPr>
                      <w:rFonts w:hint="eastAsia"/>
                      <w:szCs w:val="21"/>
                    </w:rPr>
                    <w:t>区域</w:t>
                  </w:r>
                  <w:r>
                    <w:rPr>
                      <w:szCs w:val="21"/>
                    </w:rPr>
                    <w:t>管网设施</w:t>
                  </w:r>
                </w:p>
              </w:tc>
              <w:tc>
                <w:tcPr>
                  <w:tcW w:w="789" w:type="pct"/>
                  <w:vMerge w:val="restart"/>
                  <w:tcBorders>
                    <w:top w:val="single" w:color="auto" w:sz="2" w:space="0"/>
                    <w:left w:val="single" w:color="auto" w:sz="4" w:space="0"/>
                    <w:right w:val="nil"/>
                  </w:tcBorders>
                  <w:vAlign w:val="center"/>
                </w:tcPr>
                <w:p>
                  <w:pPr>
                    <w:keepNext w:val="0"/>
                    <w:keepLines w:val="0"/>
                    <w:suppressLineNumbers w:val="0"/>
                    <w:snapToGrid w:val="0"/>
                    <w:spacing w:before="0" w:beforeAutospacing="0" w:after="0" w:afterAutospacing="0"/>
                    <w:ind w:left="0" w:right="0"/>
                    <w:jc w:val="center"/>
                  </w:pPr>
                  <w:r>
                    <w:rPr>
                      <w:rFonts w:hint="eastAsia"/>
                      <w:szCs w:val="21"/>
                    </w:rPr>
                    <w:t>依托可行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2" w:type="pct"/>
                  <w:vMerge w:val="continue"/>
                  <w:tcBorders>
                    <w:left w:val="nil"/>
                    <w:right w:val="single" w:color="auto" w:sz="4" w:space="0"/>
                  </w:tcBorders>
                  <w:vAlign w:val="center"/>
                </w:tcPr>
                <w:p>
                  <w:pPr>
                    <w:keepNext w:val="0"/>
                    <w:keepLines w:val="0"/>
                    <w:widowControl/>
                    <w:suppressLineNumbers w:val="0"/>
                    <w:adjustRightInd w:val="0"/>
                    <w:snapToGrid w:val="0"/>
                    <w:spacing w:before="0" w:beforeAutospacing="0" w:after="0" w:afterAutospacing="0"/>
                    <w:ind w:left="0" w:right="0"/>
                    <w:jc w:val="center"/>
                    <w:rPr>
                      <w:b/>
                      <w:bCs/>
                    </w:rPr>
                  </w:pPr>
                </w:p>
              </w:tc>
              <w:tc>
                <w:tcPr>
                  <w:tcW w:w="921" w:type="pct"/>
                  <w:vMerge w:val="continue"/>
                  <w:tcBorders>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p>
              </w:tc>
              <w:tc>
                <w:tcPr>
                  <w:tcW w:w="1220" w:type="pct"/>
                  <w:gridSpan w:val="3"/>
                  <w:tcBorders>
                    <w:top w:val="single" w:color="auto" w:sz="2" w:space="0"/>
                    <w:left w:val="single" w:color="auto" w:sz="4" w:space="0"/>
                    <w:bottom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szCs w:val="21"/>
                    </w:rPr>
                    <w:t>食堂废水</w:t>
                  </w:r>
                  <w:r>
                    <w:rPr>
                      <w:rFonts w:hint="eastAsia"/>
                      <w:szCs w:val="21"/>
                      <w:lang w:val="en-US" w:eastAsia="zh-CN"/>
                    </w:rPr>
                    <w:t>576</w:t>
                  </w:r>
                  <w:r>
                    <w:rPr>
                      <w:rFonts w:hint="eastAsia"/>
                      <w:szCs w:val="21"/>
                    </w:rPr>
                    <w:t>t/a</w:t>
                  </w:r>
                </w:p>
              </w:tc>
              <w:tc>
                <w:tcPr>
                  <w:tcW w:w="1645" w:type="pct"/>
                  <w:vMerge w:val="continue"/>
                  <w:tcBorders>
                    <w:left w:val="single" w:color="auto" w:sz="4" w:space="0"/>
                    <w:bottom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pPr>
                </w:p>
              </w:tc>
              <w:tc>
                <w:tcPr>
                  <w:tcW w:w="789" w:type="pct"/>
                  <w:vMerge w:val="continue"/>
                  <w:tcBorders>
                    <w:left w:val="single" w:color="auto" w:sz="4" w:space="0"/>
                    <w:bottom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2" w:type="pct"/>
                  <w:vMerge w:val="continue"/>
                  <w:tcBorders>
                    <w:left w:val="nil"/>
                    <w:right w:val="single" w:color="auto" w:sz="4" w:space="0"/>
                  </w:tcBorders>
                  <w:vAlign w:val="center"/>
                </w:tcPr>
                <w:p>
                  <w:pPr>
                    <w:keepNext w:val="0"/>
                    <w:keepLines w:val="0"/>
                    <w:widowControl/>
                    <w:suppressLineNumbers w:val="0"/>
                    <w:adjustRightInd w:val="0"/>
                    <w:snapToGrid w:val="0"/>
                    <w:spacing w:before="0" w:beforeAutospacing="0" w:after="0" w:afterAutospacing="0"/>
                    <w:ind w:left="0" w:right="0"/>
                    <w:jc w:val="center"/>
                    <w:rPr>
                      <w:b/>
                      <w:bCs/>
                    </w:rPr>
                  </w:pPr>
                </w:p>
              </w:tc>
              <w:tc>
                <w:tcPr>
                  <w:tcW w:w="921" w:type="pct"/>
                  <w:tcBorders>
                    <w:top w:val="single" w:color="auto" w:sz="2"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t>噪声治理</w:t>
                  </w:r>
                </w:p>
              </w:tc>
              <w:tc>
                <w:tcPr>
                  <w:tcW w:w="1220" w:type="pct"/>
                  <w:gridSpan w:val="3"/>
                  <w:tcBorders>
                    <w:top w:val="single" w:color="auto" w:sz="2" w:space="0"/>
                    <w:left w:val="single" w:color="auto" w:sz="4" w:space="0"/>
                    <w:bottom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pPr>
                  <w:r>
                    <w:t>局部消声、隔音；厂房隔音等</w:t>
                  </w:r>
                </w:p>
              </w:tc>
              <w:tc>
                <w:tcPr>
                  <w:tcW w:w="1645" w:type="pct"/>
                  <w:tcBorders>
                    <w:top w:val="single" w:color="auto" w:sz="2" w:space="0"/>
                    <w:left w:val="single" w:color="auto" w:sz="4" w:space="0"/>
                    <w:bottom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pPr>
                  <w:r>
                    <w:rPr>
                      <w:szCs w:val="21"/>
                    </w:rPr>
                    <w:t>厂界达标</w:t>
                  </w:r>
                </w:p>
              </w:tc>
              <w:tc>
                <w:tcPr>
                  <w:tcW w:w="789" w:type="pct"/>
                  <w:tcBorders>
                    <w:top w:val="single" w:color="auto" w:sz="2" w:space="0"/>
                    <w:left w:val="single" w:color="auto" w:sz="4" w:space="0"/>
                    <w:bottom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rFonts w:hint="eastAsia"/>
                      <w:szCs w:val="21"/>
                    </w:rPr>
                  </w:pPr>
                  <w:r>
                    <w:rPr>
                      <w:rFonts w:hint="eastAsia"/>
                      <w:szCs w:val="21"/>
                    </w:rPr>
                    <w:t>本项目设置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2" w:type="pct"/>
                  <w:vMerge w:val="continue"/>
                  <w:tcBorders>
                    <w:left w:val="nil"/>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ascii="Calibri" w:hAnsi="Calibri"/>
                      <w:szCs w:val="21"/>
                    </w:rPr>
                  </w:pPr>
                </w:p>
              </w:tc>
              <w:tc>
                <w:tcPr>
                  <w:tcW w:w="921" w:type="pct"/>
                  <w:vMerge w:val="restart"/>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固体废物处理</w:t>
                  </w:r>
                </w:p>
              </w:tc>
              <w:tc>
                <w:tcPr>
                  <w:tcW w:w="757" w:type="pct"/>
                  <w:gridSpan w:val="2"/>
                  <w:tcBorders>
                    <w:top w:val="single" w:color="auto" w:sz="4" w:space="0"/>
                    <w:left w:val="single" w:color="auto" w:sz="4" w:space="0"/>
                    <w:bottom w:val="single" w:color="auto" w:sz="4" w:space="0"/>
                    <w:right w:val="single" w:color="auto" w:sz="2"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一般固废</w:t>
                  </w:r>
                </w:p>
              </w:tc>
              <w:tc>
                <w:tcPr>
                  <w:tcW w:w="462" w:type="pct"/>
                  <w:tcBorders>
                    <w:top w:val="single" w:color="auto" w:sz="4" w:space="0"/>
                    <w:left w:val="single" w:color="auto" w:sz="2" w:space="0"/>
                    <w:bottom w:val="single" w:color="auto" w:sz="4" w:space="0"/>
                    <w:right w:val="nil"/>
                  </w:tcBorders>
                  <w:vAlign w:val="center"/>
                </w:tcPr>
                <w:p>
                  <w:pPr>
                    <w:pStyle w:val="58"/>
                    <w:keepNext w:val="0"/>
                    <w:keepLines w:val="0"/>
                    <w:suppressLineNumbers w:val="0"/>
                    <w:tabs>
                      <w:tab w:val="left" w:pos="8100"/>
                    </w:tabs>
                    <w:adjustRightInd w:val="0"/>
                    <w:snapToGrid w:val="0"/>
                    <w:spacing w:before="0" w:beforeAutospacing="0" w:after="0" w:afterAutospacing="0"/>
                    <w:ind w:left="0" w:right="0"/>
                    <w:jc w:val="center"/>
                    <w:textAlignment w:val="auto"/>
                    <w:rPr>
                      <w:color w:val="auto"/>
                      <w:sz w:val="21"/>
                      <w:szCs w:val="21"/>
                    </w:rPr>
                  </w:pPr>
                  <w:r>
                    <w:rPr>
                      <w:color w:val="auto"/>
                      <w:sz w:val="21"/>
                      <w:szCs w:val="21"/>
                    </w:rPr>
                    <w:t>外售利用、</w:t>
                  </w:r>
                  <w:r>
                    <w:rPr>
                      <w:rFonts w:hint="eastAsia"/>
                      <w:color w:val="auto"/>
                      <w:sz w:val="21"/>
                      <w:szCs w:val="21"/>
                    </w:rPr>
                    <w:t>回用</w:t>
                  </w:r>
                </w:p>
              </w:tc>
              <w:tc>
                <w:tcPr>
                  <w:tcW w:w="1645" w:type="pct"/>
                  <w:vMerge w:val="restart"/>
                  <w:tcBorders>
                    <w:top w:val="single" w:color="auto" w:sz="4" w:space="0"/>
                    <w:left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szCs w:val="21"/>
                    </w:rPr>
                    <w:t>厂区北侧</w:t>
                  </w:r>
                  <w:r>
                    <w:rPr>
                      <w:szCs w:val="21"/>
                    </w:rPr>
                    <w:t>设置1个</w:t>
                  </w:r>
                  <w:r>
                    <w:rPr>
                      <w:rFonts w:hint="eastAsia"/>
                      <w:szCs w:val="21"/>
                    </w:rPr>
                    <w:t>32</w:t>
                  </w:r>
                  <w:r>
                    <w:rPr>
                      <w:szCs w:val="21"/>
                    </w:rPr>
                    <w:t>平方米一般固废堆场；厂区</w:t>
                  </w:r>
                  <w:r>
                    <w:rPr>
                      <w:rFonts w:hint="eastAsia"/>
                      <w:szCs w:val="21"/>
                    </w:rPr>
                    <w:t>北</w:t>
                  </w:r>
                  <w:r>
                    <w:rPr>
                      <w:szCs w:val="21"/>
                    </w:rPr>
                    <w:t>侧设置1个</w:t>
                  </w:r>
                  <w:r>
                    <w:rPr>
                      <w:rFonts w:hint="eastAsia"/>
                      <w:szCs w:val="21"/>
                    </w:rPr>
                    <w:t>64</w:t>
                  </w:r>
                  <w:r>
                    <w:rPr>
                      <w:szCs w:val="21"/>
                    </w:rPr>
                    <w:t>平方米危废仓库满足环境管理要求，分类收集、处置，处理率100%</w:t>
                  </w:r>
                </w:p>
              </w:tc>
              <w:tc>
                <w:tcPr>
                  <w:tcW w:w="789" w:type="pct"/>
                  <w:vMerge w:val="restart"/>
                  <w:tcBorders>
                    <w:top w:val="single" w:color="auto" w:sz="4" w:space="0"/>
                    <w:left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rFonts w:hint="eastAsia"/>
                      <w:szCs w:val="21"/>
                    </w:rPr>
                  </w:pPr>
                  <w:r>
                    <w:rPr>
                      <w:rFonts w:hint="eastAsia"/>
                      <w:szCs w:val="21"/>
                    </w:rPr>
                    <w:t>本项目设置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2" w:type="pct"/>
                  <w:vMerge w:val="continue"/>
                  <w:tcBorders>
                    <w:left w:val="nil"/>
                    <w:right w:val="single" w:color="auto" w:sz="4" w:space="0"/>
                  </w:tcBorders>
                  <w:vAlign w:val="center"/>
                </w:tcPr>
                <w:p>
                  <w:pPr>
                    <w:keepNext w:val="0"/>
                    <w:keepLines w:val="0"/>
                    <w:widowControl/>
                    <w:suppressLineNumbers w:val="0"/>
                    <w:spacing w:before="0" w:beforeAutospacing="0" w:after="0" w:afterAutospacing="0"/>
                    <w:ind w:left="0" w:right="0"/>
                    <w:jc w:val="center"/>
                    <w:rPr>
                      <w:rFonts w:ascii="Calibri" w:hAnsi="Calibri"/>
                      <w:szCs w:val="21"/>
                    </w:rPr>
                  </w:pPr>
                </w:p>
              </w:tc>
              <w:tc>
                <w:tcPr>
                  <w:tcW w:w="921" w:type="pct"/>
                  <w:vMerge w:val="continue"/>
                  <w:tcBorders>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757" w:type="pct"/>
                  <w:gridSpan w:val="2"/>
                  <w:tcBorders>
                    <w:top w:val="single" w:color="auto" w:sz="4" w:space="0"/>
                    <w:left w:val="single" w:color="auto" w:sz="4" w:space="0"/>
                    <w:bottom w:val="single" w:color="auto" w:sz="4" w:space="0"/>
                    <w:right w:val="single" w:color="auto" w:sz="2" w:space="0"/>
                  </w:tcBorders>
                  <w:vAlign w:val="center"/>
                </w:tcPr>
                <w:p>
                  <w:pPr>
                    <w:keepNext w:val="0"/>
                    <w:keepLines w:val="0"/>
                    <w:suppressLineNumbers w:val="0"/>
                    <w:spacing w:before="0" w:beforeAutospacing="0" w:after="0" w:afterAutospacing="0"/>
                    <w:ind w:left="0" w:right="0"/>
                    <w:jc w:val="center"/>
                  </w:pPr>
                  <w:r>
                    <w:rPr>
                      <w:rFonts w:hint="eastAsia"/>
                    </w:rPr>
                    <w:t>生活垃圾</w:t>
                  </w:r>
                </w:p>
              </w:tc>
              <w:tc>
                <w:tcPr>
                  <w:tcW w:w="462" w:type="pct"/>
                  <w:tcBorders>
                    <w:top w:val="single" w:color="auto" w:sz="4" w:space="0"/>
                    <w:left w:val="single" w:color="auto" w:sz="2" w:space="0"/>
                    <w:bottom w:val="single" w:color="auto" w:sz="4" w:space="0"/>
                    <w:right w:val="nil"/>
                  </w:tcBorders>
                  <w:vAlign w:val="center"/>
                </w:tcPr>
                <w:p>
                  <w:pPr>
                    <w:pStyle w:val="58"/>
                    <w:keepNext w:val="0"/>
                    <w:keepLines w:val="0"/>
                    <w:suppressLineNumbers w:val="0"/>
                    <w:tabs>
                      <w:tab w:val="left" w:pos="8100"/>
                    </w:tabs>
                    <w:adjustRightInd w:val="0"/>
                    <w:snapToGrid w:val="0"/>
                    <w:spacing w:before="0" w:beforeAutospacing="0" w:after="0" w:afterAutospacing="0"/>
                    <w:ind w:left="0" w:right="0"/>
                    <w:jc w:val="center"/>
                    <w:textAlignment w:val="auto"/>
                    <w:rPr>
                      <w:sz w:val="21"/>
                      <w:szCs w:val="21"/>
                    </w:rPr>
                  </w:pPr>
                  <w:r>
                    <w:rPr>
                      <w:sz w:val="21"/>
                      <w:szCs w:val="21"/>
                    </w:rPr>
                    <w:t>环卫清运</w:t>
                  </w:r>
                </w:p>
              </w:tc>
              <w:tc>
                <w:tcPr>
                  <w:tcW w:w="1645" w:type="pct"/>
                  <w:vMerge w:val="continue"/>
                  <w:tcBorders>
                    <w:left w:val="single" w:color="auto" w:sz="4" w:space="0"/>
                    <w:right w:val="nil"/>
                  </w:tcBorders>
                  <w:vAlign w:val="center"/>
                </w:tcPr>
                <w:p>
                  <w:pPr>
                    <w:keepNext w:val="0"/>
                    <w:keepLines w:val="0"/>
                    <w:suppressLineNumbers w:val="0"/>
                    <w:spacing w:before="0" w:beforeAutospacing="0" w:after="0" w:afterAutospacing="0"/>
                    <w:ind w:left="0" w:right="0"/>
                    <w:jc w:val="center"/>
                  </w:pPr>
                </w:p>
              </w:tc>
              <w:tc>
                <w:tcPr>
                  <w:tcW w:w="789" w:type="pct"/>
                  <w:vMerge w:val="continue"/>
                  <w:tcBorders>
                    <w:left w:val="single" w:color="auto" w:sz="4" w:space="0"/>
                    <w:right w:val="nil"/>
                  </w:tcBorders>
                  <w:vAlign w:val="center"/>
                </w:tcPr>
                <w:p>
                  <w:pPr>
                    <w:keepNext w:val="0"/>
                    <w:keepLines w:val="0"/>
                    <w:suppressLineNumbers w:val="0"/>
                    <w:spacing w:before="0" w:beforeAutospacing="0" w:after="0" w:afterAutospacing="0"/>
                    <w:ind w:left="0" w:right="0"/>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2" w:type="pct"/>
                  <w:vMerge w:val="continue"/>
                  <w:tcBorders>
                    <w:left w:val="nil"/>
                    <w:bottom w:val="single" w:color="auto" w:sz="2"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ascii="Calibri" w:hAnsi="Calibri"/>
                      <w:szCs w:val="21"/>
                    </w:rPr>
                  </w:pPr>
                </w:p>
              </w:tc>
              <w:tc>
                <w:tcPr>
                  <w:tcW w:w="921" w:type="pct"/>
                  <w:vMerge w:val="continue"/>
                  <w:tcBorders>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757" w:type="pct"/>
                  <w:gridSpan w:val="2"/>
                  <w:tcBorders>
                    <w:top w:val="single" w:color="auto" w:sz="4" w:space="0"/>
                    <w:left w:val="single" w:color="auto" w:sz="4" w:space="0"/>
                    <w:bottom w:val="single" w:color="auto" w:sz="2" w:space="0"/>
                    <w:right w:val="single" w:color="auto" w:sz="2" w:space="0"/>
                  </w:tcBorders>
                  <w:vAlign w:val="center"/>
                </w:tcPr>
                <w:p>
                  <w:pPr>
                    <w:keepNext w:val="0"/>
                    <w:keepLines w:val="0"/>
                    <w:suppressLineNumbers w:val="0"/>
                    <w:spacing w:before="0" w:beforeAutospacing="0" w:after="0" w:afterAutospacing="0"/>
                    <w:ind w:left="0" w:right="0"/>
                    <w:jc w:val="center"/>
                  </w:pPr>
                  <w:r>
                    <w:rPr>
                      <w:rFonts w:hint="eastAsia"/>
                    </w:rPr>
                    <w:t>危险废物</w:t>
                  </w:r>
                </w:p>
              </w:tc>
              <w:tc>
                <w:tcPr>
                  <w:tcW w:w="462" w:type="pct"/>
                  <w:tcBorders>
                    <w:top w:val="single" w:color="auto" w:sz="4" w:space="0"/>
                    <w:left w:val="single" w:color="auto" w:sz="2" w:space="0"/>
                    <w:bottom w:val="single" w:color="auto" w:sz="4" w:space="0"/>
                    <w:right w:val="nil"/>
                  </w:tcBorders>
                  <w:vAlign w:val="center"/>
                </w:tcPr>
                <w:p>
                  <w:pPr>
                    <w:pStyle w:val="58"/>
                    <w:keepNext w:val="0"/>
                    <w:keepLines w:val="0"/>
                    <w:suppressLineNumbers w:val="0"/>
                    <w:tabs>
                      <w:tab w:val="left" w:pos="8100"/>
                    </w:tabs>
                    <w:adjustRightInd w:val="0"/>
                    <w:snapToGrid w:val="0"/>
                    <w:spacing w:before="0" w:beforeAutospacing="0" w:after="0" w:afterAutospacing="0"/>
                    <w:ind w:left="0" w:right="0"/>
                    <w:jc w:val="center"/>
                    <w:textAlignment w:val="auto"/>
                    <w:rPr>
                      <w:sz w:val="21"/>
                      <w:szCs w:val="21"/>
                    </w:rPr>
                  </w:pPr>
                  <w:r>
                    <w:rPr>
                      <w:sz w:val="21"/>
                      <w:szCs w:val="21"/>
                    </w:rPr>
                    <w:t>委托有资质单位处置</w:t>
                  </w:r>
                </w:p>
              </w:tc>
              <w:tc>
                <w:tcPr>
                  <w:tcW w:w="1645" w:type="pct"/>
                  <w:vMerge w:val="continue"/>
                  <w:tcBorders>
                    <w:left w:val="single" w:color="auto" w:sz="4" w:space="0"/>
                    <w:bottom w:val="single" w:color="auto" w:sz="4" w:space="0"/>
                    <w:right w:val="nil"/>
                  </w:tcBorders>
                  <w:vAlign w:val="center"/>
                </w:tcPr>
                <w:p>
                  <w:pPr>
                    <w:keepNext w:val="0"/>
                    <w:keepLines w:val="0"/>
                    <w:suppressLineNumbers w:val="0"/>
                    <w:spacing w:before="0" w:beforeAutospacing="0" w:after="0" w:afterAutospacing="0"/>
                    <w:ind w:left="0" w:right="0"/>
                    <w:jc w:val="center"/>
                  </w:pPr>
                </w:p>
              </w:tc>
              <w:tc>
                <w:tcPr>
                  <w:tcW w:w="789" w:type="pct"/>
                  <w:vMerge w:val="continue"/>
                  <w:tcBorders>
                    <w:left w:val="single" w:color="auto" w:sz="4" w:space="0"/>
                    <w:bottom w:val="single" w:color="auto" w:sz="4" w:space="0"/>
                    <w:right w:val="nil"/>
                  </w:tcBorders>
                  <w:vAlign w:val="center"/>
                </w:tcPr>
                <w:p>
                  <w:pPr>
                    <w:keepNext w:val="0"/>
                    <w:keepLines w:val="0"/>
                    <w:suppressLineNumbers w:val="0"/>
                    <w:spacing w:before="0" w:beforeAutospacing="0" w:after="0" w:afterAutospacing="0"/>
                    <w:ind w:left="0" w:right="0"/>
                    <w:jc w:val="center"/>
                  </w:pPr>
                </w:p>
              </w:tc>
            </w:tr>
          </w:tbl>
          <w:p>
            <w:pPr>
              <w:keepNext w:val="0"/>
              <w:keepLines w:val="0"/>
              <w:suppressLineNumbers w:val="0"/>
              <w:adjustRightInd w:val="0"/>
              <w:snapToGrid w:val="0"/>
              <w:spacing w:before="0" w:beforeAutospacing="0" w:after="0" w:afterAutospacing="0" w:line="360" w:lineRule="auto"/>
              <w:ind w:left="0" w:right="0"/>
              <w:rPr>
                <w:b/>
                <w:sz w:val="24"/>
              </w:rPr>
            </w:pPr>
            <w:r>
              <w:rPr>
                <w:rFonts w:hint="eastAsia"/>
                <w:b/>
                <w:sz w:val="24"/>
              </w:rPr>
              <w:t>5</w:t>
            </w:r>
            <w:r>
              <w:rPr>
                <w:b/>
                <w:sz w:val="24"/>
              </w:rPr>
              <w:t>、生产规模及产品方案</w:t>
            </w:r>
          </w:p>
          <w:p>
            <w:pPr>
              <w:keepNext w:val="0"/>
              <w:keepLines w:val="0"/>
              <w:suppressLineNumbers w:val="0"/>
              <w:adjustRightInd w:val="0"/>
              <w:snapToGrid w:val="0"/>
              <w:spacing w:before="0" w:beforeAutospacing="0" w:after="0" w:afterAutospacing="0" w:line="300" w:lineRule="auto"/>
              <w:ind w:left="0" w:right="0" w:firstLine="480" w:firstLineChars="200"/>
              <w:rPr>
                <w:sz w:val="24"/>
              </w:rPr>
            </w:pPr>
            <w:r>
              <w:rPr>
                <w:sz w:val="24"/>
              </w:rPr>
              <w:t>项目产品方案见</w:t>
            </w:r>
            <w:r>
              <w:rPr>
                <w:rFonts w:hint="eastAsia"/>
                <w:sz w:val="24"/>
              </w:rPr>
              <w:t>下</w:t>
            </w:r>
            <w:r>
              <w:rPr>
                <w:sz w:val="24"/>
              </w:rPr>
              <w:t>表。</w:t>
            </w:r>
          </w:p>
          <w:p>
            <w:pPr>
              <w:keepNext w:val="0"/>
              <w:keepLines w:val="0"/>
              <w:suppressLineNumbers w:val="0"/>
              <w:adjustRightInd w:val="0"/>
              <w:snapToGrid w:val="0"/>
              <w:spacing w:before="0" w:beforeAutospacing="0" w:after="0" w:afterAutospacing="0"/>
              <w:ind w:left="0" w:right="0"/>
              <w:jc w:val="center"/>
              <w:rPr>
                <w:b/>
                <w:bCs/>
                <w:sz w:val="24"/>
              </w:rPr>
            </w:pPr>
          </w:p>
          <w:p>
            <w:pPr>
              <w:keepNext w:val="0"/>
              <w:keepLines w:val="0"/>
              <w:suppressLineNumbers w:val="0"/>
              <w:adjustRightInd w:val="0"/>
              <w:snapToGrid w:val="0"/>
              <w:spacing w:before="0" w:beforeAutospacing="0" w:after="0" w:afterAutospacing="0"/>
              <w:ind w:left="0" w:right="0"/>
              <w:jc w:val="center"/>
              <w:rPr>
                <w:b/>
                <w:bCs/>
                <w:sz w:val="24"/>
              </w:rPr>
            </w:pPr>
          </w:p>
          <w:p>
            <w:pPr>
              <w:keepNext w:val="0"/>
              <w:keepLines w:val="0"/>
              <w:suppressLineNumbers w:val="0"/>
              <w:adjustRightInd w:val="0"/>
              <w:snapToGrid w:val="0"/>
              <w:spacing w:before="0" w:beforeAutospacing="0" w:after="0" w:afterAutospacing="0"/>
              <w:ind w:left="0" w:right="0"/>
              <w:jc w:val="center"/>
              <w:rPr>
                <w:b/>
                <w:bCs/>
                <w:sz w:val="24"/>
              </w:rPr>
            </w:pPr>
          </w:p>
          <w:p>
            <w:pPr>
              <w:keepNext w:val="0"/>
              <w:keepLines w:val="0"/>
              <w:suppressLineNumbers w:val="0"/>
              <w:adjustRightInd w:val="0"/>
              <w:snapToGrid w:val="0"/>
              <w:spacing w:before="0" w:beforeAutospacing="0" w:after="0" w:afterAutospacing="0"/>
              <w:ind w:left="0" w:right="0"/>
              <w:jc w:val="center"/>
              <w:rPr>
                <w:b/>
                <w:bCs/>
                <w:sz w:val="24"/>
              </w:rPr>
            </w:pPr>
          </w:p>
          <w:p>
            <w:pPr>
              <w:keepNext w:val="0"/>
              <w:keepLines w:val="0"/>
              <w:suppressLineNumbers w:val="0"/>
              <w:adjustRightInd w:val="0"/>
              <w:snapToGrid w:val="0"/>
              <w:spacing w:before="0" w:beforeAutospacing="0" w:after="0" w:afterAutospacing="0"/>
              <w:ind w:left="0" w:right="0"/>
              <w:jc w:val="center"/>
              <w:rPr>
                <w:b/>
                <w:bCs/>
                <w:sz w:val="24"/>
              </w:rPr>
            </w:pPr>
          </w:p>
          <w:p>
            <w:pPr>
              <w:keepNext w:val="0"/>
              <w:keepLines w:val="0"/>
              <w:suppressLineNumbers w:val="0"/>
              <w:adjustRightInd w:val="0"/>
              <w:snapToGrid w:val="0"/>
              <w:spacing w:before="0" w:beforeAutospacing="0" w:after="0" w:afterAutospacing="0"/>
              <w:ind w:left="0" w:right="0"/>
              <w:jc w:val="center"/>
              <w:rPr>
                <w:b/>
                <w:bCs/>
                <w:sz w:val="24"/>
              </w:rPr>
            </w:pPr>
          </w:p>
          <w:p>
            <w:pPr>
              <w:keepNext w:val="0"/>
              <w:keepLines w:val="0"/>
              <w:suppressLineNumbers w:val="0"/>
              <w:adjustRightInd w:val="0"/>
              <w:snapToGrid w:val="0"/>
              <w:spacing w:before="0" w:beforeAutospacing="0" w:after="0" w:afterAutospacing="0"/>
              <w:ind w:left="0" w:right="0"/>
              <w:jc w:val="center"/>
              <w:rPr>
                <w:b/>
                <w:bCs/>
                <w:sz w:val="24"/>
              </w:rPr>
            </w:pPr>
          </w:p>
          <w:p>
            <w:pPr>
              <w:keepNext w:val="0"/>
              <w:keepLines w:val="0"/>
              <w:suppressLineNumbers w:val="0"/>
              <w:adjustRightInd w:val="0"/>
              <w:snapToGrid w:val="0"/>
              <w:spacing w:before="0" w:beforeAutospacing="0" w:after="0" w:afterAutospacing="0"/>
              <w:ind w:left="0" w:right="0"/>
              <w:jc w:val="center"/>
              <w:rPr>
                <w:b/>
                <w:bCs/>
                <w:sz w:val="24"/>
              </w:rPr>
            </w:pPr>
          </w:p>
          <w:p>
            <w:pPr>
              <w:pStyle w:val="2"/>
              <w:keepNext w:val="0"/>
              <w:keepLines w:val="0"/>
              <w:suppressLineNumbers w:val="0"/>
              <w:spacing w:before="0" w:beforeAutospacing="0" w:afterAutospacing="0"/>
              <w:rPr>
                <w:b/>
                <w:bCs/>
                <w:sz w:val="24"/>
              </w:rPr>
            </w:pPr>
          </w:p>
          <w:p>
            <w:pPr>
              <w:pStyle w:val="2"/>
              <w:keepNext w:val="0"/>
              <w:keepLines w:val="0"/>
              <w:suppressLineNumbers w:val="0"/>
              <w:spacing w:before="0" w:beforeAutospacing="0" w:afterAutospacing="0"/>
              <w:rPr>
                <w:b/>
                <w:bCs/>
                <w:sz w:val="24"/>
              </w:rPr>
            </w:pPr>
          </w:p>
          <w:p>
            <w:pPr>
              <w:keepNext w:val="0"/>
              <w:keepLines w:val="0"/>
              <w:suppressLineNumbers w:val="0"/>
              <w:adjustRightInd w:val="0"/>
              <w:snapToGrid w:val="0"/>
              <w:spacing w:before="0" w:beforeAutospacing="0" w:after="0" w:afterAutospacing="0"/>
              <w:ind w:left="0" w:right="0"/>
              <w:jc w:val="center"/>
              <w:rPr>
                <w:b/>
                <w:bCs/>
                <w:sz w:val="24"/>
              </w:rPr>
            </w:pPr>
            <w:r>
              <w:rPr>
                <w:b/>
                <w:bCs/>
                <w:sz w:val="24"/>
              </w:rPr>
              <w:t>表</w:t>
            </w:r>
            <w:r>
              <w:rPr>
                <w:rFonts w:hint="eastAsia"/>
                <w:b/>
                <w:bCs/>
                <w:sz w:val="24"/>
              </w:rPr>
              <w:t>2-3</w:t>
            </w:r>
            <w:r>
              <w:rPr>
                <w:b/>
                <w:bCs/>
                <w:sz w:val="24"/>
              </w:rPr>
              <w:t xml:space="preserve"> </w:t>
            </w:r>
            <w:r>
              <w:rPr>
                <w:rFonts w:hint="eastAsia"/>
                <w:b/>
                <w:bCs/>
                <w:sz w:val="24"/>
              </w:rPr>
              <w:t xml:space="preserve"> </w:t>
            </w:r>
            <w:r>
              <w:rPr>
                <w:rFonts w:hint="eastAsia"/>
                <w:b/>
                <w:bCs/>
                <w:sz w:val="24"/>
                <w:lang w:eastAsia="zh-CN"/>
              </w:rPr>
              <w:t>本项目</w:t>
            </w:r>
            <w:r>
              <w:rPr>
                <w:b/>
                <w:bCs/>
                <w:sz w:val="24"/>
              </w:rPr>
              <w:t>产品方案</w:t>
            </w:r>
            <w:r>
              <w:rPr>
                <w:rFonts w:hint="eastAsia"/>
                <w:b/>
                <w:bCs/>
                <w:sz w:val="24"/>
              </w:rPr>
              <w:t>一览表</w:t>
            </w:r>
          </w:p>
          <w:tbl>
            <w:tblPr>
              <w:tblStyle w:val="21"/>
              <w:tblW w:w="492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5"/>
              <w:gridCol w:w="1767"/>
              <w:gridCol w:w="1856"/>
              <w:gridCol w:w="1221"/>
              <w:gridCol w:w="2003"/>
              <w:gridCol w:w="10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4" w:hRule="atLeast"/>
                <w:jc w:val="center"/>
              </w:trPr>
              <w:tc>
                <w:tcPr>
                  <w:tcW w:w="249" w:type="pct"/>
                  <w:tcBorders>
                    <w:top w:val="single" w:color="auto" w:sz="12" w:space="0"/>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b/>
                      <w:bCs/>
                      <w:szCs w:val="21"/>
                    </w:rPr>
                  </w:pPr>
                  <w:r>
                    <w:rPr>
                      <w:b/>
                      <w:bCs/>
                      <w:szCs w:val="21"/>
                    </w:rPr>
                    <w:t>序号</w:t>
                  </w:r>
                </w:p>
              </w:tc>
              <w:tc>
                <w:tcPr>
                  <w:tcW w:w="1062" w:type="pct"/>
                  <w:tcBorders>
                    <w:top w:val="single" w:color="auto" w:sz="12" w:space="0"/>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b/>
                      <w:bCs/>
                      <w:szCs w:val="21"/>
                    </w:rPr>
                  </w:pPr>
                  <w:r>
                    <w:rPr>
                      <w:b/>
                      <w:bCs/>
                      <w:szCs w:val="21"/>
                    </w:rPr>
                    <w:t>工程名称（生产线或生产车间）</w:t>
                  </w:r>
                </w:p>
              </w:tc>
              <w:tc>
                <w:tcPr>
                  <w:tcW w:w="1115" w:type="pct"/>
                  <w:tcBorders>
                    <w:top w:val="single" w:color="auto" w:sz="12" w:space="0"/>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b/>
                      <w:bCs/>
                      <w:szCs w:val="21"/>
                    </w:rPr>
                  </w:pPr>
                  <w:r>
                    <w:rPr>
                      <w:b/>
                      <w:bCs/>
                      <w:szCs w:val="21"/>
                    </w:rPr>
                    <w:t>产品名称</w:t>
                  </w:r>
                </w:p>
              </w:tc>
              <w:tc>
                <w:tcPr>
                  <w:tcW w:w="734" w:type="pct"/>
                  <w:tcBorders>
                    <w:top w:val="single" w:color="auto" w:sz="12" w:space="0"/>
                    <w:left w:val="nil"/>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b/>
                      <w:bCs/>
                      <w:szCs w:val="21"/>
                      <w:highlight w:val="yellow"/>
                    </w:rPr>
                  </w:pPr>
                  <w:r>
                    <w:rPr>
                      <w:rFonts w:hint="eastAsia"/>
                      <w:b/>
                      <w:bCs/>
                      <w:szCs w:val="21"/>
                    </w:rPr>
                    <w:t>规格</w:t>
                  </w:r>
                </w:p>
              </w:tc>
              <w:tc>
                <w:tcPr>
                  <w:tcW w:w="1204" w:type="pct"/>
                  <w:tcBorders>
                    <w:top w:val="single" w:color="auto" w:sz="12"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b/>
                      <w:bCs/>
                      <w:szCs w:val="21"/>
                    </w:rPr>
                  </w:pPr>
                  <w:r>
                    <w:rPr>
                      <w:b/>
                      <w:bCs/>
                      <w:szCs w:val="21"/>
                    </w:rPr>
                    <w:t>设计能力（单位/</w:t>
                  </w:r>
                  <w:r>
                    <w:rPr>
                      <w:rFonts w:ascii="宋体" w:hAnsi="宋体"/>
                      <w:b/>
                      <w:bCs/>
                      <w:szCs w:val="21"/>
                    </w:rPr>
                    <w:t>年）</w:t>
                  </w:r>
                </w:p>
              </w:tc>
              <w:tc>
                <w:tcPr>
                  <w:tcW w:w="632" w:type="pct"/>
                  <w:tcBorders>
                    <w:top w:val="single" w:color="auto" w:sz="12" w:space="0"/>
                    <w:left w:val="nil"/>
                    <w:right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b/>
                      <w:bCs/>
                      <w:szCs w:val="21"/>
                    </w:rPr>
                  </w:pPr>
                  <w:r>
                    <w:rPr>
                      <w:b/>
                      <w:bCs/>
                      <w:szCs w:val="21"/>
                    </w:rPr>
                    <w:t>年运行时数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jc w:val="center"/>
              </w:trPr>
              <w:tc>
                <w:tcPr>
                  <w:tcW w:w="249" w:type="pct"/>
                  <w:tcBorders>
                    <w:top w:val="nil"/>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szCs w:val="21"/>
                    </w:rPr>
                  </w:pPr>
                  <w:r>
                    <w:rPr>
                      <w:szCs w:val="21"/>
                    </w:rPr>
                    <w:t>1</w:t>
                  </w:r>
                </w:p>
              </w:tc>
              <w:tc>
                <w:tcPr>
                  <w:tcW w:w="1062" w:type="pct"/>
                  <w:tcBorders>
                    <w:top w:val="nil"/>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szCs w:val="21"/>
                    </w:rPr>
                  </w:pPr>
                  <w:r>
                    <w:rPr>
                      <w:rFonts w:hint="eastAsia"/>
                      <w:szCs w:val="21"/>
                    </w:rPr>
                    <w:t>电机铁芯</w:t>
                  </w:r>
                  <w:r>
                    <w:rPr>
                      <w:szCs w:val="21"/>
                    </w:rPr>
                    <w:t>生产线</w:t>
                  </w:r>
                </w:p>
              </w:tc>
              <w:tc>
                <w:tcPr>
                  <w:tcW w:w="1115" w:type="pct"/>
                  <w:tcBorders>
                    <w:top w:val="nil"/>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szCs w:val="21"/>
                    </w:rPr>
                  </w:pPr>
                  <w:r>
                    <w:rPr>
                      <w:rFonts w:hint="eastAsia"/>
                      <w:szCs w:val="21"/>
                    </w:rPr>
                    <w:t>电机铁芯（转子铁芯和定子铁芯）</w:t>
                  </w:r>
                </w:p>
              </w:tc>
              <w:tc>
                <w:tcPr>
                  <w:tcW w:w="734"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szCs w:val="21"/>
                      <w:highlight w:val="yellow"/>
                    </w:rPr>
                  </w:pPr>
                  <w:r>
                    <w:rPr>
                      <w:rFonts w:hint="eastAsia"/>
                      <w:szCs w:val="21"/>
                    </w:rPr>
                    <w:t>根据客户需求</w:t>
                  </w:r>
                </w:p>
              </w:tc>
              <w:tc>
                <w:tcPr>
                  <w:tcW w:w="1204"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szCs w:val="21"/>
                    </w:rPr>
                  </w:pPr>
                  <w:r>
                    <w:rPr>
                      <w:rFonts w:hint="eastAsia"/>
                      <w:szCs w:val="21"/>
                    </w:rPr>
                    <w:t>3000万套</w:t>
                  </w:r>
                </w:p>
              </w:tc>
              <w:tc>
                <w:tcPr>
                  <w:tcW w:w="632" w:type="pct"/>
                  <w:tcBorders>
                    <w:top w:val="single" w:color="auto" w:sz="4" w:space="0"/>
                    <w:left w:val="nil"/>
                    <w:bottom w:val="single" w:color="auto" w:sz="4" w:space="0"/>
                    <w:right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szCs w:val="21"/>
                    </w:rPr>
                  </w:pPr>
                  <w:r>
                    <w:rPr>
                      <w:rFonts w:hint="eastAsia"/>
                      <w:szCs w:val="21"/>
                      <w:lang w:val="en-US" w:eastAsia="zh-CN"/>
                    </w:rPr>
                    <w:t>48</w:t>
                  </w:r>
                  <w:r>
                    <w:rPr>
                      <w:szCs w:val="21"/>
                    </w:rPr>
                    <w:t>00h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 w:hRule="atLeast"/>
                <w:jc w:val="center"/>
              </w:trPr>
              <w:tc>
                <w:tcPr>
                  <w:tcW w:w="249"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szCs w:val="21"/>
                    </w:rPr>
                  </w:pPr>
                  <w:r>
                    <w:rPr>
                      <w:rFonts w:hint="eastAsia"/>
                      <w:szCs w:val="21"/>
                    </w:rPr>
                    <w:t>2</w:t>
                  </w:r>
                </w:p>
              </w:tc>
              <w:tc>
                <w:tcPr>
                  <w:tcW w:w="1062"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szCs w:val="21"/>
                    </w:rPr>
                  </w:pPr>
                  <w:r>
                    <w:rPr>
                      <w:rFonts w:hint="eastAsia"/>
                      <w:szCs w:val="21"/>
                    </w:rPr>
                    <w:t>电机机壳生产线</w:t>
                  </w:r>
                </w:p>
              </w:tc>
              <w:tc>
                <w:tcPr>
                  <w:tcW w:w="1115"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szCs w:val="21"/>
                    </w:rPr>
                  </w:pPr>
                  <w:r>
                    <w:rPr>
                      <w:rFonts w:hint="eastAsia"/>
                      <w:szCs w:val="21"/>
                    </w:rPr>
                    <w:t>电机机壳</w:t>
                  </w:r>
                </w:p>
              </w:tc>
              <w:tc>
                <w:tcPr>
                  <w:tcW w:w="734"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szCs w:val="21"/>
                    </w:rPr>
                  </w:pPr>
                  <w:r>
                    <w:rPr>
                      <w:rFonts w:hint="eastAsia"/>
                      <w:szCs w:val="21"/>
                    </w:rPr>
                    <w:t>根据客户需求</w:t>
                  </w:r>
                </w:p>
              </w:tc>
              <w:tc>
                <w:tcPr>
                  <w:tcW w:w="1204"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szCs w:val="21"/>
                    </w:rPr>
                  </w:pPr>
                  <w:r>
                    <w:rPr>
                      <w:rFonts w:hint="eastAsia"/>
                      <w:szCs w:val="21"/>
                    </w:rPr>
                    <w:t>2000万只</w:t>
                  </w:r>
                </w:p>
              </w:tc>
              <w:tc>
                <w:tcPr>
                  <w:tcW w:w="632" w:type="pct"/>
                  <w:tcBorders>
                    <w:top w:val="single" w:color="auto" w:sz="4" w:space="0"/>
                    <w:left w:val="nil"/>
                    <w:bottom w:val="single" w:color="auto" w:sz="4" w:space="0"/>
                    <w:right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szCs w:val="21"/>
                    </w:rPr>
                  </w:pPr>
                  <w:r>
                    <w:rPr>
                      <w:rFonts w:hint="eastAsia"/>
                      <w:szCs w:val="21"/>
                      <w:lang w:val="en-US" w:eastAsia="zh-CN"/>
                    </w:rPr>
                    <w:t>48</w:t>
                  </w:r>
                  <w:r>
                    <w:rPr>
                      <w:rFonts w:hint="eastAsia"/>
                      <w:szCs w:val="21"/>
                    </w:rPr>
                    <w:t>00h</w:t>
                  </w:r>
                </w:p>
              </w:tc>
            </w:tr>
          </w:tbl>
          <w:p>
            <w:pPr>
              <w:keepNext w:val="0"/>
              <w:keepLines w:val="0"/>
              <w:suppressLineNumbers w:val="0"/>
              <w:adjustRightInd w:val="0"/>
              <w:snapToGrid w:val="0"/>
              <w:spacing w:before="0" w:beforeAutospacing="0" w:after="0" w:afterAutospacing="0" w:line="360" w:lineRule="auto"/>
              <w:ind w:left="0" w:right="0"/>
              <w:rPr>
                <w:b/>
                <w:color w:val="000000"/>
                <w:sz w:val="24"/>
              </w:rPr>
            </w:pPr>
            <w:r>
              <w:rPr>
                <w:rFonts w:hint="eastAsia"/>
                <w:b/>
                <w:color w:val="000000"/>
                <w:sz w:val="24"/>
              </w:rPr>
              <w:t>6</w:t>
            </w:r>
            <w:r>
              <w:rPr>
                <w:b/>
                <w:color w:val="000000"/>
                <w:sz w:val="24"/>
              </w:rPr>
              <w:t>、</w:t>
            </w:r>
            <w:r>
              <w:rPr>
                <w:rFonts w:hint="eastAsia"/>
                <w:b/>
                <w:color w:val="000000"/>
                <w:sz w:val="24"/>
              </w:rPr>
              <w:t>设备清单</w:t>
            </w:r>
          </w:p>
          <w:p>
            <w:pPr>
              <w:keepNext w:val="0"/>
              <w:keepLines w:val="0"/>
              <w:suppressLineNumbers w:val="0"/>
              <w:spacing w:before="0" w:beforeAutospacing="0" w:after="0" w:afterAutospacing="0" w:line="360" w:lineRule="auto"/>
              <w:ind w:left="0" w:right="0" w:firstLine="480" w:firstLineChars="200"/>
              <w:rPr>
                <w:color w:val="000000"/>
                <w:sz w:val="24"/>
              </w:rPr>
            </w:pPr>
            <w:r>
              <w:rPr>
                <w:rFonts w:hint="eastAsia"/>
                <w:color w:val="000000"/>
                <w:sz w:val="24"/>
              </w:rPr>
              <w:t>本项目主要生产设备见下表：</w:t>
            </w:r>
          </w:p>
          <w:p>
            <w:pPr>
              <w:keepNext w:val="0"/>
              <w:keepLines w:val="0"/>
              <w:suppressLineNumbers w:val="0"/>
              <w:adjustRightInd w:val="0"/>
              <w:snapToGrid w:val="0"/>
              <w:spacing w:before="0" w:beforeAutospacing="0" w:after="0" w:afterAutospacing="0"/>
              <w:ind w:left="0" w:right="0"/>
              <w:jc w:val="center"/>
              <w:rPr>
                <w:b/>
                <w:bCs/>
                <w:sz w:val="24"/>
              </w:rPr>
            </w:pPr>
            <w:r>
              <w:rPr>
                <w:b/>
                <w:bCs/>
                <w:sz w:val="24"/>
              </w:rPr>
              <w:t>表</w:t>
            </w:r>
            <w:r>
              <w:rPr>
                <w:rFonts w:hint="eastAsia"/>
                <w:b/>
                <w:bCs/>
                <w:sz w:val="24"/>
              </w:rPr>
              <w:t>2-4</w:t>
            </w:r>
            <w:r>
              <w:rPr>
                <w:b/>
                <w:bCs/>
                <w:sz w:val="24"/>
              </w:rPr>
              <w:t xml:space="preserve"> </w:t>
            </w:r>
            <w:r>
              <w:rPr>
                <w:rFonts w:hint="eastAsia"/>
                <w:b/>
                <w:bCs/>
                <w:sz w:val="24"/>
              </w:rPr>
              <w:t xml:space="preserve"> </w:t>
            </w:r>
            <w:r>
              <w:rPr>
                <w:b/>
                <w:bCs/>
                <w:sz w:val="24"/>
              </w:rPr>
              <w:t>主要设施规格、数量状况</w:t>
            </w:r>
          </w:p>
          <w:tbl>
            <w:tblPr>
              <w:tblStyle w:val="21"/>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699"/>
              <w:gridCol w:w="1295"/>
              <w:gridCol w:w="2727"/>
              <w:gridCol w:w="972"/>
              <w:gridCol w:w="984"/>
              <w:gridCol w:w="1013"/>
              <w:gridCol w:w="762"/>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vMerge w:val="restart"/>
                  <w:tcBorders>
                    <w:top w:val="single" w:color="000000" w:sz="12" w:space="0"/>
                    <w:left w:val="nil"/>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rPr>
                    <w:t>序号</w:t>
                  </w:r>
                </w:p>
              </w:tc>
              <w:tc>
                <w:tcPr>
                  <w:tcW w:w="766" w:type="pct"/>
                  <w:vMerge w:val="restart"/>
                  <w:tcBorders>
                    <w:top w:val="single" w:color="000000" w:sz="12" w:space="0"/>
                    <w:left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rPr>
                    <w:t>名称</w:t>
                  </w:r>
                </w:p>
              </w:tc>
              <w:tc>
                <w:tcPr>
                  <w:tcW w:w="1613" w:type="pct"/>
                  <w:vMerge w:val="restart"/>
                  <w:tcBorders>
                    <w:top w:val="single" w:color="000000" w:sz="12" w:space="0"/>
                    <w:left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rPr>
                    <w:t>规格、型号</w:t>
                  </w:r>
                </w:p>
              </w:tc>
              <w:tc>
                <w:tcPr>
                  <w:tcW w:w="1756" w:type="pct"/>
                  <w:gridSpan w:val="3"/>
                  <w:tcBorders>
                    <w:top w:val="single" w:color="000000" w:sz="12"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rPr>
                    <w:t>数量（台/套）</w:t>
                  </w:r>
                </w:p>
              </w:tc>
              <w:tc>
                <w:tcPr>
                  <w:tcW w:w="450" w:type="pct"/>
                  <w:vMerge w:val="restart"/>
                  <w:tcBorders>
                    <w:top w:val="single" w:color="000000" w:sz="12" w:space="0"/>
                    <w:left w:val="single" w:color="000000" w:sz="4" w:space="0"/>
                    <w:right w:val="nil"/>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rPr>
                      <w:rFonts w:hint="eastAsia"/>
                      <w:b/>
                      <w:bCs/>
                    </w:rPr>
                    <w:t>备注</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vMerge w:val="continue"/>
                  <w:tcBorders>
                    <w:left w:val="nil"/>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b/>
                      <w:bCs/>
                    </w:rPr>
                  </w:pPr>
                </w:p>
              </w:tc>
              <w:tc>
                <w:tcPr>
                  <w:tcW w:w="766" w:type="pct"/>
                  <w:vMerge w:val="continue"/>
                  <w:tcBorders>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b/>
                      <w:bCs/>
                    </w:rPr>
                  </w:pPr>
                </w:p>
              </w:tc>
              <w:tc>
                <w:tcPr>
                  <w:tcW w:w="1613" w:type="pct"/>
                  <w:vMerge w:val="continue"/>
                  <w:tcBorders>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b/>
                      <w:bCs/>
                    </w:rPr>
                  </w:pPr>
                </w:p>
              </w:tc>
              <w:tc>
                <w:tcPr>
                  <w:tcW w:w="575" w:type="pct"/>
                  <w:tcBorders>
                    <w:top w:val="single" w:color="000000" w:sz="4" w:space="0"/>
                    <w:left w:val="single" w:color="000000"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b/>
                      <w:bCs/>
                    </w:rPr>
                  </w:pPr>
                  <w:r>
                    <w:rPr>
                      <w:rFonts w:hint="eastAsia"/>
                      <w:b/>
                      <w:bCs/>
                    </w:rPr>
                    <w:t>迁建前</w:t>
                  </w:r>
                </w:p>
              </w:tc>
              <w:tc>
                <w:tcPr>
                  <w:tcW w:w="582" w:type="pct"/>
                  <w:tcBorders>
                    <w:top w:val="single" w:color="000000"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b/>
                      <w:bCs/>
                    </w:rPr>
                  </w:pPr>
                  <w:r>
                    <w:rPr>
                      <w:rFonts w:hint="eastAsia"/>
                      <w:b/>
                      <w:bCs/>
                    </w:rPr>
                    <w:t>迁建后</w:t>
                  </w:r>
                </w:p>
              </w:tc>
              <w:tc>
                <w:tcPr>
                  <w:tcW w:w="599" w:type="pct"/>
                  <w:tcBorders>
                    <w:top w:val="single" w:color="000000" w:sz="4" w:space="0"/>
                    <w:left w:val="single" w:color="auto" w:sz="4" w:space="0"/>
                    <w:bottom w:val="single" w:color="auto"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b/>
                      <w:bCs/>
                    </w:rPr>
                  </w:pPr>
                  <w:r>
                    <w:rPr>
                      <w:rFonts w:hint="eastAsia"/>
                      <w:b/>
                      <w:bCs/>
                    </w:rPr>
                    <w:t>变化量</w:t>
                  </w:r>
                </w:p>
              </w:tc>
              <w:tc>
                <w:tcPr>
                  <w:tcW w:w="450" w:type="pct"/>
                  <w:vMerge w:val="continue"/>
                  <w:tcBorders>
                    <w:left w:val="single" w:color="000000" w:sz="4" w:space="0"/>
                    <w:bottom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b/>
                      <w:bCs/>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高速冲床</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szCs w:val="21"/>
                    </w:rPr>
                    <w:t>J76-300</w:t>
                  </w:r>
                  <w:r>
                    <w:rPr>
                      <w:rFonts w:hint="eastAsia"/>
                      <w:szCs w:val="21"/>
                    </w:rPr>
                    <w:t>、</w:t>
                  </w:r>
                  <w:r>
                    <w:rPr>
                      <w:szCs w:val="21"/>
                    </w:rPr>
                    <w:t>GH-220</w:t>
                  </w:r>
                  <w:r>
                    <w:rPr>
                      <w:rFonts w:hint="eastAsia"/>
                      <w:szCs w:val="21"/>
                    </w:rPr>
                    <w:t>、</w:t>
                  </w:r>
                  <w:r>
                    <w:rPr>
                      <w:szCs w:val="21"/>
                    </w:rPr>
                    <w:t>J76-200</w:t>
                  </w:r>
                  <w:r>
                    <w:rPr>
                      <w:rFonts w:hint="eastAsia"/>
                      <w:szCs w:val="21"/>
                    </w:rPr>
                    <w:t>、</w:t>
                  </w:r>
                  <w:r>
                    <w:rPr>
                      <w:szCs w:val="21"/>
                    </w:rPr>
                    <w:t>GH-300</w:t>
                  </w:r>
                  <w:r>
                    <w:rPr>
                      <w:rFonts w:hint="eastAsia"/>
                      <w:szCs w:val="21"/>
                    </w:rPr>
                    <w:t>、</w:t>
                  </w:r>
                  <w:r>
                    <w:rPr>
                      <w:szCs w:val="21"/>
                    </w:rPr>
                    <w:t>SS-80</w:t>
                  </w:r>
                  <w:r>
                    <w:rPr>
                      <w:rFonts w:hint="eastAsia"/>
                      <w:szCs w:val="21"/>
                    </w:rPr>
                    <w:t>、</w:t>
                  </w:r>
                  <w:r>
                    <w:rPr>
                      <w:szCs w:val="21"/>
                    </w:rPr>
                    <w:t>J31G-80</w:t>
                  </w:r>
                  <w:r>
                    <w:rPr>
                      <w:rFonts w:hint="eastAsia"/>
                      <w:szCs w:val="21"/>
                    </w:rPr>
                    <w:t>、</w:t>
                  </w:r>
                  <w:r>
                    <w:rPr>
                      <w:szCs w:val="21"/>
                    </w:rPr>
                    <w:t>GH-125</w:t>
                  </w:r>
                  <w:r>
                    <w:rPr>
                      <w:rFonts w:hint="eastAsia"/>
                      <w:szCs w:val="21"/>
                    </w:rPr>
                    <w:t>、</w:t>
                  </w:r>
                  <w:r>
                    <w:rPr>
                      <w:szCs w:val="21"/>
                    </w:rPr>
                    <w:t>DH2-S80T</w:t>
                  </w:r>
                  <w:r>
                    <w:rPr>
                      <w:rFonts w:hint="eastAsia"/>
                      <w:szCs w:val="21"/>
                    </w:rPr>
                    <w:t>、</w:t>
                  </w:r>
                  <w:r>
                    <w:rPr>
                      <w:szCs w:val="21"/>
                    </w:rPr>
                    <w:t>FH2-125</w:t>
                  </w:r>
                  <w:r>
                    <w:rPr>
                      <w:rFonts w:hint="eastAsia"/>
                      <w:szCs w:val="21"/>
                    </w:rPr>
                    <w:t>、</w:t>
                  </w:r>
                  <w:r>
                    <w:rPr>
                      <w:szCs w:val="21"/>
                    </w:rPr>
                    <w:t>HD-80</w:t>
                  </w:r>
                  <w:r>
                    <w:rPr>
                      <w:rFonts w:hint="eastAsia"/>
                      <w:szCs w:val="21"/>
                    </w:rPr>
                    <w:t>、</w:t>
                  </w:r>
                  <w:r>
                    <w:rPr>
                      <w:szCs w:val="21"/>
                    </w:rPr>
                    <w:t>HS-125</w:t>
                  </w:r>
                  <w:r>
                    <w:rPr>
                      <w:rFonts w:hint="eastAsia"/>
                      <w:szCs w:val="21"/>
                    </w:rPr>
                    <w:t>、ANEX-80Ⅱ</w:t>
                  </w:r>
                </w:p>
              </w:tc>
              <w:tc>
                <w:tcPr>
                  <w:tcW w:w="575" w:type="pct"/>
                  <w:tcBorders>
                    <w:top w:val="single" w:color="000000" w:sz="4" w:space="0"/>
                    <w:left w:val="single" w:color="000000"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7</w:t>
                  </w:r>
                </w:p>
              </w:tc>
              <w:tc>
                <w:tcPr>
                  <w:tcW w:w="582" w:type="pct"/>
                  <w:tcBorders>
                    <w:top w:val="single" w:color="000000"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highlight w:val="yellow"/>
                    </w:rPr>
                  </w:pPr>
                  <w:r>
                    <w:rPr>
                      <w:rFonts w:hint="eastAsia"/>
                      <w:szCs w:val="21"/>
                    </w:rPr>
                    <w:t>15</w:t>
                  </w:r>
                </w:p>
              </w:tc>
              <w:tc>
                <w:tcPr>
                  <w:tcW w:w="599" w:type="pct"/>
                  <w:tcBorders>
                    <w:top w:val="single" w:color="000000" w:sz="4" w:space="0"/>
                    <w:left w:val="single" w:color="auto" w:sz="4" w:space="0"/>
                    <w:bottom w:val="single" w:color="auto"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+8</w:t>
                  </w:r>
                </w:p>
              </w:tc>
              <w:tc>
                <w:tcPr>
                  <w:tcW w:w="450" w:type="pct"/>
                  <w:vMerge w:val="restart"/>
                  <w:tcBorders>
                    <w:top w:val="single" w:color="000000" w:sz="4" w:space="0"/>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highlight w:val="yellow"/>
                    </w:rPr>
                  </w:pPr>
                  <w:r>
                    <w:rPr>
                      <w:rFonts w:hint="eastAsia"/>
                      <w:szCs w:val="21"/>
                    </w:rPr>
                    <w:t>冲压</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2</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普通冲床</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szCs w:val="21"/>
                    </w:rPr>
                    <w:t>160T</w:t>
                  </w:r>
                  <w:r>
                    <w:rPr>
                      <w:rFonts w:hint="eastAsia"/>
                      <w:szCs w:val="21"/>
                    </w:rPr>
                    <w:t>、80T、63T、40T、25T、16T</w:t>
                  </w:r>
                </w:p>
              </w:tc>
              <w:tc>
                <w:tcPr>
                  <w:tcW w:w="575" w:type="pct"/>
                  <w:tcBorders>
                    <w:top w:val="single" w:color="000000" w:sz="4" w:space="0"/>
                    <w:left w:val="single" w:color="000000"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27</w:t>
                  </w:r>
                </w:p>
              </w:tc>
              <w:tc>
                <w:tcPr>
                  <w:tcW w:w="599" w:type="pct"/>
                  <w:tcBorders>
                    <w:top w:val="single" w:color="000000" w:sz="4" w:space="0"/>
                    <w:left w:val="single" w:color="auto" w:sz="4" w:space="0"/>
                    <w:bottom w:val="single" w:color="auto"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+27</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highlight w:val="yellow"/>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3</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机壳精冲机</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160T、200T、400T</w:t>
                  </w:r>
                </w:p>
              </w:tc>
              <w:tc>
                <w:tcPr>
                  <w:tcW w:w="575" w:type="pct"/>
                  <w:tcBorders>
                    <w:top w:val="single" w:color="000000" w:sz="4" w:space="0"/>
                    <w:left w:val="single" w:color="000000"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11</w:t>
                  </w:r>
                </w:p>
              </w:tc>
              <w:tc>
                <w:tcPr>
                  <w:tcW w:w="599" w:type="pct"/>
                  <w:tcBorders>
                    <w:top w:val="single" w:color="000000" w:sz="4" w:space="0"/>
                    <w:left w:val="single" w:color="auto" w:sz="4" w:space="0"/>
                    <w:bottom w:val="single" w:color="auto"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+11</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highlight w:val="yellow"/>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4</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隔音房</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15</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+15</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5</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伺服送料机</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15</w:t>
                  </w:r>
                </w:p>
              </w:tc>
              <w:tc>
                <w:tcPr>
                  <w:tcW w:w="599" w:type="pct"/>
                  <w:tcBorders>
                    <w:top w:val="single" w:color="000000" w:sz="4" w:space="0"/>
                    <w:left w:val="single" w:color="auto" w:sz="4" w:space="0"/>
                    <w:bottom w:val="single" w:color="auto"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+15</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6</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整平机</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15</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+15</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7</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料架</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15</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+15</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8</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单冲送料机</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8</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+8</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9</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冲压级进模具</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80</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+80</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10</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单冲模具</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450</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+450</w:t>
                  </w:r>
                </w:p>
              </w:tc>
              <w:tc>
                <w:tcPr>
                  <w:tcW w:w="450" w:type="pct"/>
                  <w:vMerge w:val="continue"/>
                  <w:tcBorders>
                    <w:left w:val="single" w:color="000000" w:sz="4" w:space="0"/>
                    <w:bottom w:val="single" w:color="auto"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11</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定子迭压焊机</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szCs w:val="21"/>
                    </w:rPr>
                    <w:t>HY-640</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450" w:type="pct"/>
                  <w:vMerge w:val="restart"/>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焊接</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12</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氩弧焊机</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2</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+2</w:t>
                  </w:r>
                </w:p>
              </w:tc>
              <w:tc>
                <w:tcPr>
                  <w:tcW w:w="450" w:type="pct"/>
                  <w:vMerge w:val="continue"/>
                  <w:tcBorders>
                    <w:left w:val="single" w:color="000000" w:sz="4" w:space="0"/>
                    <w:bottom w:val="single" w:color="auto"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13</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金属纵剪机</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3</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+3</w:t>
                  </w:r>
                </w:p>
              </w:tc>
              <w:tc>
                <w:tcPr>
                  <w:tcW w:w="450" w:type="pct"/>
                  <w:tcBorders>
                    <w:left w:val="single" w:color="000000" w:sz="4" w:space="0"/>
                    <w:bottom w:val="single" w:color="auto"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纵剪</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14</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攻丝机</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5</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+5</w:t>
                  </w:r>
                </w:p>
              </w:tc>
              <w:tc>
                <w:tcPr>
                  <w:tcW w:w="450" w:type="pct"/>
                  <w:tcBorders>
                    <w:top w:val="single" w:color="auto" w:sz="4" w:space="0"/>
                    <w:left w:val="single" w:color="000000" w:sz="4" w:space="0"/>
                    <w:bottom w:val="single" w:color="auto"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攻丝加工</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15</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铣床</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450" w:type="pct"/>
                  <w:vMerge w:val="restart"/>
                  <w:tcBorders>
                    <w:top w:val="single" w:color="auto" w:sz="4" w:space="0"/>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机加工</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16</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液压机</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szCs w:val="21"/>
                    </w:rPr>
                    <w:t>Y32</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42</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+32</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17</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磨床</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szCs w:val="21"/>
                    </w:rPr>
                    <w:t>M7150X16/HZ</w:t>
                  </w:r>
                  <w:r>
                    <w:rPr>
                      <w:rFonts w:hint="eastAsia"/>
                      <w:szCs w:val="21"/>
                    </w:rPr>
                    <w:t>、</w:t>
                  </w:r>
                  <w:r>
                    <w:rPr>
                      <w:szCs w:val="21"/>
                    </w:rPr>
                    <w:t>KSG-618</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4</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+4</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18</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摇臂钻床</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szCs w:val="21"/>
                    </w:rPr>
                    <w:t>ZQ3032X9</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19</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台式钻床</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szCs w:val="21"/>
                    </w:rPr>
                    <w:t>Z516B</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20</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车床</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szCs w:val="21"/>
                    </w:rPr>
                    <w:t>C6132E-02</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2</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+2</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21</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仪表车床</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szCs w:val="21"/>
                    </w:rPr>
                    <w:t>CJO645</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22</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砂轮机</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23</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数控机床</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10</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+10</w:t>
                  </w:r>
                </w:p>
              </w:tc>
              <w:tc>
                <w:tcPr>
                  <w:tcW w:w="450" w:type="pct"/>
                  <w:vMerge w:val="continue"/>
                  <w:tcBorders>
                    <w:left w:val="single" w:color="000000" w:sz="4" w:space="0"/>
                    <w:bottom w:val="single" w:color="auto"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24</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入轴机</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5</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+5</w:t>
                  </w:r>
                </w:p>
              </w:tc>
              <w:tc>
                <w:tcPr>
                  <w:tcW w:w="450" w:type="pct"/>
                  <w:tcBorders>
                    <w:left w:val="single" w:color="000000" w:sz="4" w:space="0"/>
                    <w:bottom w:val="single" w:color="auto"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入轴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25</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注塑机</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5</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+5</w:t>
                  </w:r>
                </w:p>
              </w:tc>
              <w:tc>
                <w:tcPr>
                  <w:tcW w:w="450" w:type="pct"/>
                  <w:tcBorders>
                    <w:left w:val="single" w:color="000000" w:sz="4" w:space="0"/>
                    <w:bottom w:val="single" w:color="auto"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注塑成型</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26</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烘箱</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15</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+15</w:t>
                  </w:r>
                </w:p>
              </w:tc>
              <w:tc>
                <w:tcPr>
                  <w:tcW w:w="450" w:type="pct"/>
                  <w:tcBorders>
                    <w:left w:val="single" w:color="000000" w:sz="4" w:space="0"/>
                    <w:bottom w:val="single" w:color="auto"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固化</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27</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涂敷机</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szCs w:val="21"/>
                    </w:rPr>
                    <w:t>FEK-TC-302</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30</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+30</w:t>
                  </w:r>
                </w:p>
              </w:tc>
              <w:tc>
                <w:tcPr>
                  <w:tcW w:w="450" w:type="pct"/>
                  <w:tcBorders>
                    <w:left w:val="single" w:color="000000" w:sz="4" w:space="0"/>
                    <w:bottom w:val="single" w:color="auto"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涂敷</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28</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空气干燥机</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450" w:type="pct"/>
                  <w:vMerge w:val="restart"/>
                  <w:tcBorders>
                    <w:top w:val="single" w:color="auto" w:sz="4" w:space="0"/>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辅助</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29</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自动化检测/压装设备</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7</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+7</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30</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空压机</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szCs w:val="21"/>
                    </w:rPr>
                    <w:t>FC-30B</w:t>
                  </w:r>
                  <w:r>
                    <w:rPr>
                      <w:rFonts w:hint="eastAsia"/>
                      <w:szCs w:val="21"/>
                    </w:rPr>
                    <w:t>、</w:t>
                  </w:r>
                  <w:r>
                    <w:rPr>
                      <w:szCs w:val="21"/>
                    </w:rPr>
                    <w:t>LCH-30</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3</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+3</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31</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废料线</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32</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叉车</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3</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+3</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33</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电动叉车</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2</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+2</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34</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单梁桥式起重机</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23</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+23</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35</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智能仓库</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36</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智能仓储系统</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37</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投影仪</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szCs w:val="21"/>
                    </w:rPr>
                    <w:t>CPJ-3025A</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38</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三坐标</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39</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涡流金属电导仪</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szCs w:val="21"/>
                    </w:rPr>
                    <w:t>Sigma2008B/C</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40</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转子导条检测仪</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szCs w:val="21"/>
                    </w:rPr>
                    <w:t>MC-1501</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41</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XRF光谱检测仪</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42</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MES系统</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43</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ERP系统</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44</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PDM系统</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45</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SAP系统</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46</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工位屏</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30</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+30</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47</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智能看板</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60</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+60</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48</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监控系统</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49</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网络系统</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50</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机械手臂</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30</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+30</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51</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作业机器人</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15</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+15</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52</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废气回收设施</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6</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+6</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53</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机架式服务器主机</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szCs w:val="21"/>
                    </w:rPr>
                    <w:t>DELLR</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2</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+2</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54</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不间断电源</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szCs w:val="21"/>
                    </w:rPr>
                    <w:t>C3KR</w:t>
                  </w:r>
                  <w:r>
                    <w:rPr>
                      <w:rFonts w:hint="eastAsia"/>
                      <w:szCs w:val="21"/>
                      <w:lang w:eastAsia="zh-CN"/>
                    </w:rPr>
                    <w:t>S2</w:t>
                  </w:r>
                  <w:r>
                    <w:rPr>
                      <w:szCs w:val="21"/>
                    </w:rPr>
                    <w:t>KVA</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55</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伺服控制柜</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15</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+15</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56</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电动力柜</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34</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+34</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57</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500KV变压器</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58</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800KV变压器</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2</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+2</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59</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动力电线</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60</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1.5吨堆高车</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2</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+2</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61</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地磅</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60T</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3" w:type="pct"/>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62</w:t>
                  </w:r>
                </w:p>
              </w:tc>
              <w:tc>
                <w:tcPr>
                  <w:tcW w:w="766" w:type="pc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rFonts w:hint="eastAsia" w:eastAsia="宋体"/>
                      <w:szCs w:val="21"/>
                      <w:lang w:eastAsia="zh-CN"/>
                    </w:rPr>
                  </w:pPr>
                  <w:r>
                    <w:rPr>
                      <w:rFonts w:hint="eastAsia"/>
                      <w:szCs w:val="21"/>
                      <w:lang w:eastAsia="zh-CN"/>
                    </w:rPr>
                    <w:t>冷水机</w:t>
                  </w:r>
                </w:p>
              </w:tc>
              <w:tc>
                <w:tcPr>
                  <w:tcW w:w="1613"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rFonts w:hint="default" w:eastAsia="宋体"/>
                      <w:szCs w:val="21"/>
                      <w:lang w:val="en-US" w:eastAsia="zh-CN"/>
                    </w:rPr>
                  </w:pPr>
                  <w:r>
                    <w:rPr>
                      <w:rFonts w:hint="eastAsia"/>
                      <w:szCs w:val="21"/>
                      <w:lang w:val="en-US" w:eastAsia="zh-CN"/>
                    </w:rPr>
                    <w:t>5t/h</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eastAsia" w:eastAsia="宋体"/>
                      <w:szCs w:val="21"/>
                      <w:lang w:val="en-US" w:eastAsia="zh-CN"/>
                    </w:rPr>
                  </w:pPr>
                  <w:r>
                    <w:rPr>
                      <w:rFonts w:hint="eastAsia"/>
                      <w:szCs w:val="21"/>
                      <w:lang w:val="en-US" w:eastAsia="zh-CN"/>
                    </w:rPr>
                    <w:t>0</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eastAsia" w:eastAsia="宋体"/>
                      <w:szCs w:val="21"/>
                      <w:lang w:val="en-US" w:eastAsia="zh-CN"/>
                    </w:rPr>
                  </w:pPr>
                  <w:r>
                    <w:rPr>
                      <w:rFonts w:hint="eastAsia"/>
                      <w:szCs w:val="21"/>
                      <w:lang w:val="en-US" w:eastAsia="zh-CN"/>
                    </w:rPr>
                    <w:t>1</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+1</w:t>
                  </w:r>
                </w:p>
              </w:tc>
              <w:tc>
                <w:tcPr>
                  <w:tcW w:w="450" w:type="pct"/>
                  <w:vMerge w:val="continue"/>
                  <w:tcBorders>
                    <w:left w:val="single" w:color="000000"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792" w:type="pct"/>
                  <w:gridSpan w:val="3"/>
                  <w:tcBorders>
                    <w:top w:val="single" w:color="000000" w:sz="4" w:space="0"/>
                    <w:left w:val="nil"/>
                    <w:bottom w:val="single" w:color="000000" w:sz="4" w:space="0"/>
                    <w:right w:val="single" w:color="000000" w:sz="4" w:space="0"/>
                  </w:tcBorders>
                  <w:vAlign w:val="center"/>
                </w:tcPr>
                <w:p>
                  <w:pPr>
                    <w:keepNext w:val="0"/>
                    <w:keepLines w:val="0"/>
                    <w:suppressLineNumbers w:val="0"/>
                    <w:spacing w:before="0" w:beforeAutospacing="0" w:after="0" w:afterAutospacing="0" w:line="320" w:lineRule="exact"/>
                    <w:ind w:left="0" w:right="0"/>
                    <w:jc w:val="center"/>
                    <w:rPr>
                      <w:rFonts w:hint="eastAsia"/>
                      <w:szCs w:val="21"/>
                    </w:rPr>
                  </w:pPr>
                  <w:r>
                    <w:rPr>
                      <w:rFonts w:hint="eastAsia"/>
                      <w:szCs w:val="21"/>
                    </w:rPr>
                    <w:t>合计</w:t>
                  </w:r>
                </w:p>
              </w:tc>
              <w:tc>
                <w:tcPr>
                  <w:tcW w:w="575" w:type="pct"/>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eastAsia"/>
                      <w:szCs w:val="21"/>
                    </w:rPr>
                  </w:pPr>
                  <w:r>
                    <w:rPr>
                      <w:rFonts w:hint="eastAsia"/>
                      <w:szCs w:val="21"/>
                    </w:rPr>
                    <w:t>17</w:t>
                  </w:r>
                </w:p>
              </w:tc>
              <w:tc>
                <w:tcPr>
                  <w:tcW w:w="582" w:type="pct"/>
                  <w:tcBorders>
                    <w:top w:val="single" w:color="000000"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eastAsia" w:eastAsia="宋体"/>
                      <w:szCs w:val="21"/>
                      <w:lang w:eastAsia="zh-CN"/>
                    </w:rPr>
                  </w:pPr>
                  <w:r>
                    <w:rPr>
                      <w:rFonts w:hint="eastAsia"/>
                      <w:szCs w:val="21"/>
                    </w:rPr>
                    <w:t>103</w:t>
                  </w:r>
                  <w:r>
                    <w:rPr>
                      <w:rFonts w:hint="eastAsia"/>
                      <w:szCs w:val="21"/>
                      <w:lang w:val="en-US" w:eastAsia="zh-CN"/>
                    </w:rPr>
                    <w:t>4</w:t>
                  </w:r>
                </w:p>
              </w:tc>
              <w:tc>
                <w:tcPr>
                  <w:tcW w:w="599" w:type="pct"/>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rFonts w:hint="eastAsia" w:eastAsia="宋体"/>
                      <w:szCs w:val="21"/>
                      <w:lang w:eastAsia="zh-CN"/>
                    </w:rPr>
                  </w:pPr>
                  <w:r>
                    <w:rPr>
                      <w:rFonts w:hint="eastAsia"/>
                      <w:szCs w:val="21"/>
                    </w:rPr>
                    <w:t>+101</w:t>
                  </w:r>
                  <w:r>
                    <w:rPr>
                      <w:rFonts w:hint="eastAsia"/>
                      <w:szCs w:val="21"/>
                      <w:lang w:val="en-US" w:eastAsia="zh-CN"/>
                    </w:rPr>
                    <w:t>7</w:t>
                  </w:r>
                </w:p>
              </w:tc>
              <w:tc>
                <w:tcPr>
                  <w:tcW w:w="450" w:type="pct"/>
                  <w:tcBorders>
                    <w:left w:val="single" w:color="000000" w:sz="4" w:space="0"/>
                    <w:bottom w:val="single" w:color="auto" w:sz="4" w:space="0"/>
                    <w:right w:val="nil"/>
                  </w:tcBorders>
                  <w:vAlign w:val="center"/>
                </w:tcPr>
                <w:p>
                  <w:pPr>
                    <w:keepNext w:val="0"/>
                    <w:keepLines w:val="0"/>
                    <w:suppressLineNumbers w:val="0"/>
                    <w:spacing w:before="0" w:beforeAutospacing="0" w:after="0" w:afterAutospacing="0" w:line="320" w:lineRule="exact"/>
                    <w:ind w:left="0" w:right="0"/>
                    <w:jc w:val="center"/>
                    <w:rPr>
                      <w:szCs w:val="21"/>
                    </w:rPr>
                  </w:pPr>
                  <w:r>
                    <w:rPr>
                      <w:rFonts w:hint="eastAsia"/>
                      <w:szCs w:val="21"/>
                    </w:rPr>
                    <w:t>/</w:t>
                  </w:r>
                </w:p>
              </w:tc>
            </w:tr>
          </w:tbl>
          <w:p>
            <w:pPr>
              <w:keepNext w:val="0"/>
              <w:keepLines w:val="0"/>
              <w:suppressLineNumbers w:val="0"/>
              <w:adjustRightInd w:val="0"/>
              <w:snapToGrid w:val="0"/>
              <w:spacing w:before="0" w:beforeAutospacing="0" w:after="0" w:afterAutospacing="0" w:line="360" w:lineRule="auto"/>
              <w:ind w:left="0" w:right="0"/>
              <w:rPr>
                <w:b/>
                <w:color w:val="000000"/>
                <w:sz w:val="24"/>
              </w:rPr>
            </w:pPr>
            <w:r>
              <w:rPr>
                <w:rFonts w:hint="eastAsia"/>
                <w:b/>
                <w:color w:val="000000"/>
                <w:sz w:val="24"/>
              </w:rPr>
              <w:t>7</w:t>
            </w:r>
            <w:r>
              <w:rPr>
                <w:b/>
                <w:color w:val="000000"/>
                <w:sz w:val="24"/>
              </w:rPr>
              <w:t>、</w:t>
            </w:r>
            <w:r>
              <w:rPr>
                <w:rFonts w:hint="eastAsia"/>
                <w:b/>
                <w:color w:val="000000"/>
                <w:sz w:val="24"/>
              </w:rPr>
              <w:t>主要原辅材料</w:t>
            </w:r>
          </w:p>
          <w:p>
            <w:pPr>
              <w:keepNext w:val="0"/>
              <w:keepLines w:val="0"/>
              <w:suppressLineNumbers w:val="0"/>
              <w:spacing w:before="0" w:beforeAutospacing="0" w:after="0" w:afterAutospacing="0" w:line="360" w:lineRule="auto"/>
              <w:ind w:left="0" w:right="0" w:firstLine="480" w:firstLineChars="200"/>
              <w:rPr>
                <w:color w:val="000000"/>
                <w:sz w:val="24"/>
              </w:rPr>
            </w:pPr>
            <w:r>
              <w:rPr>
                <w:rFonts w:hint="eastAsia"/>
                <w:color w:val="000000"/>
                <w:sz w:val="24"/>
              </w:rPr>
              <w:t>本项目主要原辅材料及年用量见下表：</w:t>
            </w:r>
          </w:p>
          <w:p>
            <w:pPr>
              <w:keepNext w:val="0"/>
              <w:keepLines w:val="0"/>
              <w:suppressLineNumbers w:val="0"/>
              <w:tabs>
                <w:tab w:val="center" w:pos="4393"/>
                <w:tab w:val="left" w:pos="7140"/>
              </w:tabs>
              <w:spacing w:before="0" w:beforeAutospacing="0" w:after="0" w:afterAutospacing="0"/>
              <w:ind w:left="0" w:right="0"/>
              <w:jc w:val="center"/>
              <w:rPr>
                <w:b/>
                <w:bCs/>
                <w:sz w:val="24"/>
              </w:rPr>
            </w:pPr>
            <w:r>
              <w:rPr>
                <w:b/>
                <w:bCs/>
                <w:sz w:val="24"/>
              </w:rPr>
              <w:t>表</w:t>
            </w:r>
            <w:r>
              <w:rPr>
                <w:rFonts w:hint="eastAsia"/>
                <w:b/>
                <w:bCs/>
                <w:sz w:val="24"/>
              </w:rPr>
              <w:t>2-5</w:t>
            </w:r>
            <w:r>
              <w:rPr>
                <w:b/>
                <w:bCs/>
                <w:sz w:val="24"/>
              </w:rPr>
              <w:t xml:space="preserve"> </w:t>
            </w:r>
            <w:r>
              <w:rPr>
                <w:rFonts w:hint="eastAsia"/>
                <w:b/>
                <w:bCs/>
                <w:sz w:val="24"/>
              </w:rPr>
              <w:t xml:space="preserve"> </w:t>
            </w:r>
            <w:r>
              <w:rPr>
                <w:b/>
                <w:bCs/>
                <w:sz w:val="24"/>
              </w:rPr>
              <w:t>主要原辅材料消耗状况</w:t>
            </w:r>
          </w:p>
          <w:tbl>
            <w:tblPr>
              <w:tblStyle w:val="21"/>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37"/>
              <w:gridCol w:w="1057"/>
              <w:gridCol w:w="1271"/>
              <w:gridCol w:w="803"/>
              <w:gridCol w:w="1007"/>
              <w:gridCol w:w="1009"/>
              <w:gridCol w:w="964"/>
              <w:gridCol w:w="1185"/>
              <w:gridCol w:w="51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2" w:type="pct"/>
                  <w:gridSpan w:val="2"/>
                  <w:vMerge w:val="restart"/>
                  <w:vAlign w:val="center"/>
                </w:tcPr>
                <w:p>
                  <w:pPr>
                    <w:keepNext w:val="0"/>
                    <w:keepLines w:val="0"/>
                    <w:suppressLineNumbers w:val="0"/>
                    <w:adjustRightInd w:val="0"/>
                    <w:snapToGrid w:val="0"/>
                    <w:spacing w:before="0" w:beforeAutospacing="0" w:after="0" w:afterAutospacing="0"/>
                    <w:ind w:left="0" w:right="0"/>
                    <w:jc w:val="center"/>
                    <w:rPr>
                      <w:b/>
                      <w:bCs/>
                      <w:szCs w:val="21"/>
                    </w:rPr>
                  </w:pPr>
                  <w:r>
                    <w:rPr>
                      <w:rFonts w:hint="eastAsia"/>
                      <w:b/>
                      <w:bCs/>
                      <w:szCs w:val="21"/>
                    </w:rPr>
                    <w:t>原料</w:t>
                  </w:r>
                  <w:r>
                    <w:rPr>
                      <w:b/>
                      <w:bCs/>
                      <w:szCs w:val="21"/>
                    </w:rPr>
                    <w:t>名称</w:t>
                  </w:r>
                </w:p>
              </w:tc>
              <w:tc>
                <w:tcPr>
                  <w:tcW w:w="752" w:type="pct"/>
                  <w:vMerge w:val="restart"/>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规格组分</w:t>
                  </w:r>
                </w:p>
              </w:tc>
              <w:tc>
                <w:tcPr>
                  <w:tcW w:w="475" w:type="pct"/>
                  <w:vMerge w:val="restart"/>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包装</w:t>
                  </w:r>
                </w:p>
              </w:tc>
              <w:tc>
                <w:tcPr>
                  <w:tcW w:w="1763" w:type="pct"/>
                  <w:gridSpan w:val="3"/>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年用量</w:t>
                  </w:r>
                  <w:r>
                    <w:rPr>
                      <w:rFonts w:hint="eastAsia"/>
                      <w:b/>
                      <w:bCs/>
                      <w:szCs w:val="21"/>
                    </w:rPr>
                    <w:t>（单位/年）</w:t>
                  </w:r>
                </w:p>
              </w:tc>
              <w:tc>
                <w:tcPr>
                  <w:tcW w:w="701" w:type="pct"/>
                  <w:vMerge w:val="restart"/>
                  <w:vAlign w:val="center"/>
                </w:tcPr>
                <w:p>
                  <w:pPr>
                    <w:keepNext w:val="0"/>
                    <w:keepLines w:val="0"/>
                    <w:suppressLineNumbers w:val="0"/>
                    <w:adjustRightInd w:val="0"/>
                    <w:snapToGrid w:val="0"/>
                    <w:spacing w:before="0" w:beforeAutospacing="0" w:after="0" w:afterAutospacing="0"/>
                    <w:ind w:left="0" w:right="0"/>
                    <w:jc w:val="center"/>
                    <w:rPr>
                      <w:rFonts w:hint="eastAsia" w:eastAsia="宋体"/>
                      <w:b/>
                      <w:bCs/>
                      <w:szCs w:val="21"/>
                      <w:lang w:val="en-US" w:eastAsia="zh-CN"/>
                    </w:rPr>
                  </w:pPr>
                  <w:r>
                    <w:rPr>
                      <w:rFonts w:hint="eastAsia"/>
                      <w:b/>
                      <w:bCs/>
                      <w:szCs w:val="21"/>
                      <w:lang w:val="en-US" w:eastAsia="zh-CN"/>
                    </w:rPr>
                    <w:t>最大储存量（单位）</w:t>
                  </w:r>
                </w:p>
              </w:tc>
              <w:tc>
                <w:tcPr>
                  <w:tcW w:w="304" w:type="pct"/>
                  <w:vMerge w:val="restart"/>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2" w:type="pct"/>
                  <w:gridSpan w:val="2"/>
                  <w:vMerge w:val="continue"/>
                  <w:vAlign w:val="center"/>
                </w:tcPr>
                <w:p>
                  <w:pPr>
                    <w:keepNext w:val="0"/>
                    <w:keepLines w:val="0"/>
                    <w:suppressLineNumbers w:val="0"/>
                    <w:adjustRightInd w:val="0"/>
                    <w:snapToGrid w:val="0"/>
                    <w:spacing w:before="0" w:beforeAutospacing="0" w:after="0" w:afterAutospacing="0"/>
                    <w:ind w:left="0" w:right="0"/>
                    <w:jc w:val="center"/>
                    <w:rPr>
                      <w:b/>
                      <w:bCs/>
                      <w:szCs w:val="21"/>
                    </w:rPr>
                  </w:pPr>
                </w:p>
              </w:tc>
              <w:tc>
                <w:tcPr>
                  <w:tcW w:w="752" w:type="pct"/>
                  <w:vMerge w:val="continue"/>
                  <w:vAlign w:val="center"/>
                </w:tcPr>
                <w:p>
                  <w:pPr>
                    <w:keepNext w:val="0"/>
                    <w:keepLines w:val="0"/>
                    <w:suppressLineNumbers w:val="0"/>
                    <w:adjustRightInd w:val="0"/>
                    <w:snapToGrid w:val="0"/>
                    <w:spacing w:before="0" w:beforeAutospacing="0" w:after="0" w:afterAutospacing="0"/>
                    <w:ind w:left="0" w:right="0"/>
                    <w:jc w:val="center"/>
                    <w:rPr>
                      <w:b/>
                      <w:bCs/>
                      <w:szCs w:val="21"/>
                    </w:rPr>
                  </w:pPr>
                </w:p>
              </w:tc>
              <w:tc>
                <w:tcPr>
                  <w:tcW w:w="475" w:type="pct"/>
                  <w:vMerge w:val="continue"/>
                  <w:vAlign w:val="center"/>
                </w:tcPr>
                <w:p>
                  <w:pPr>
                    <w:keepNext w:val="0"/>
                    <w:keepLines w:val="0"/>
                    <w:suppressLineNumbers w:val="0"/>
                    <w:adjustRightInd w:val="0"/>
                    <w:snapToGrid w:val="0"/>
                    <w:spacing w:before="0" w:beforeAutospacing="0" w:after="0" w:afterAutospacing="0"/>
                    <w:ind w:left="0" w:right="0"/>
                    <w:jc w:val="center"/>
                    <w:rPr>
                      <w:b/>
                      <w:bCs/>
                      <w:szCs w:val="21"/>
                    </w:rPr>
                  </w:pPr>
                </w:p>
              </w:tc>
              <w:tc>
                <w:tcPr>
                  <w:tcW w:w="596" w:type="pct"/>
                  <w:vAlign w:val="center"/>
                </w:tcPr>
                <w:p>
                  <w:pPr>
                    <w:keepNext w:val="0"/>
                    <w:keepLines w:val="0"/>
                    <w:suppressLineNumbers w:val="0"/>
                    <w:adjustRightInd w:val="0"/>
                    <w:snapToGrid w:val="0"/>
                    <w:spacing w:before="0" w:beforeAutospacing="0" w:after="0" w:afterAutospacing="0"/>
                    <w:ind w:left="0" w:right="0"/>
                    <w:jc w:val="center"/>
                    <w:rPr>
                      <w:b/>
                      <w:bCs/>
                      <w:szCs w:val="21"/>
                    </w:rPr>
                  </w:pPr>
                  <w:r>
                    <w:rPr>
                      <w:rFonts w:hint="eastAsia"/>
                      <w:b/>
                      <w:bCs/>
                      <w:szCs w:val="21"/>
                    </w:rPr>
                    <w:t>迁建前</w:t>
                  </w:r>
                </w:p>
              </w:tc>
              <w:tc>
                <w:tcPr>
                  <w:tcW w:w="597" w:type="pct"/>
                  <w:vAlign w:val="center"/>
                </w:tcPr>
                <w:p>
                  <w:pPr>
                    <w:keepNext w:val="0"/>
                    <w:keepLines w:val="0"/>
                    <w:suppressLineNumbers w:val="0"/>
                    <w:adjustRightInd w:val="0"/>
                    <w:snapToGrid w:val="0"/>
                    <w:spacing w:before="0" w:beforeAutospacing="0" w:after="0" w:afterAutospacing="0"/>
                    <w:ind w:left="0" w:right="0"/>
                    <w:jc w:val="center"/>
                    <w:rPr>
                      <w:b/>
                      <w:bCs/>
                      <w:szCs w:val="21"/>
                    </w:rPr>
                  </w:pPr>
                  <w:r>
                    <w:rPr>
                      <w:rFonts w:hint="eastAsia"/>
                      <w:b/>
                      <w:bCs/>
                      <w:szCs w:val="21"/>
                    </w:rPr>
                    <w:t>迁建后</w:t>
                  </w:r>
                </w:p>
              </w:tc>
              <w:tc>
                <w:tcPr>
                  <w:tcW w:w="570" w:type="pct"/>
                  <w:vAlign w:val="center"/>
                </w:tcPr>
                <w:p>
                  <w:pPr>
                    <w:keepNext w:val="0"/>
                    <w:keepLines w:val="0"/>
                    <w:suppressLineNumbers w:val="0"/>
                    <w:adjustRightInd w:val="0"/>
                    <w:snapToGrid w:val="0"/>
                    <w:spacing w:before="0" w:beforeAutospacing="0" w:after="0" w:afterAutospacing="0"/>
                    <w:ind w:left="0" w:right="0"/>
                    <w:jc w:val="center"/>
                    <w:rPr>
                      <w:b/>
                      <w:bCs/>
                      <w:szCs w:val="21"/>
                    </w:rPr>
                  </w:pPr>
                  <w:r>
                    <w:rPr>
                      <w:rFonts w:hint="eastAsia"/>
                      <w:b/>
                      <w:bCs/>
                      <w:szCs w:val="21"/>
                    </w:rPr>
                    <w:t>变化量</w:t>
                  </w:r>
                </w:p>
              </w:tc>
              <w:tc>
                <w:tcPr>
                  <w:tcW w:w="701"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eastAsia"/>
                      <w:b/>
                      <w:bCs/>
                      <w:szCs w:val="21"/>
                    </w:rPr>
                  </w:pPr>
                </w:p>
              </w:tc>
              <w:tc>
                <w:tcPr>
                  <w:tcW w:w="304" w:type="pct"/>
                  <w:vMerge w:val="continue"/>
                  <w:vAlign w:val="center"/>
                </w:tcPr>
                <w:p>
                  <w:pPr>
                    <w:keepNext w:val="0"/>
                    <w:keepLines w:val="0"/>
                    <w:suppressLineNumbers w:val="0"/>
                    <w:adjustRightInd w:val="0"/>
                    <w:snapToGrid w:val="0"/>
                    <w:spacing w:before="0" w:beforeAutospacing="0" w:after="0" w:afterAutospacing="0"/>
                    <w:ind w:left="0" w:right="0"/>
                    <w:jc w:val="center"/>
                    <w:rPr>
                      <w:b/>
                      <w:bCs/>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7" w:type="pct"/>
                  <w:vMerge w:val="restar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电机铁芯、电机机壳</w:t>
                  </w:r>
                </w:p>
              </w:tc>
              <w:tc>
                <w:tcPr>
                  <w:tcW w:w="625"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硅钢钢材</w:t>
                  </w:r>
                </w:p>
              </w:tc>
              <w:tc>
                <w:tcPr>
                  <w:tcW w:w="752"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w:t>
                  </w:r>
                </w:p>
              </w:tc>
              <w:tc>
                <w:tcPr>
                  <w:tcW w:w="475"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堆放</w:t>
                  </w:r>
                </w:p>
              </w:tc>
              <w:tc>
                <w:tcPr>
                  <w:tcW w:w="596" w:type="pct"/>
                  <w:vAlign w:val="center"/>
                </w:tcPr>
                <w:p>
                  <w:pPr>
                    <w:keepNext w:val="0"/>
                    <w:keepLines w:val="0"/>
                    <w:widowControl/>
                    <w:suppressLineNumbers w:val="0"/>
                    <w:spacing w:before="0" w:beforeAutospacing="0" w:after="0" w:afterAutospacing="0"/>
                    <w:ind w:left="0" w:right="0"/>
                    <w:jc w:val="center"/>
                    <w:textAlignment w:val="center"/>
                    <w:rPr>
                      <w:rFonts w:hint="default" w:eastAsia="宋体"/>
                      <w:szCs w:val="21"/>
                      <w:lang w:val="en-US" w:eastAsia="zh-CN"/>
                    </w:rPr>
                  </w:pPr>
                  <w:r>
                    <w:rPr>
                      <w:rFonts w:hint="eastAsia"/>
                      <w:szCs w:val="21"/>
                      <w:lang w:val="en-US" w:eastAsia="zh-CN"/>
                    </w:rPr>
                    <w:t>28000</w:t>
                  </w:r>
                </w:p>
              </w:tc>
              <w:tc>
                <w:tcPr>
                  <w:tcW w:w="597" w:type="pct"/>
                  <w:vAlign w:val="center"/>
                </w:tcPr>
                <w:p>
                  <w:pPr>
                    <w:keepNext w:val="0"/>
                    <w:keepLines w:val="0"/>
                    <w:widowControl/>
                    <w:suppressLineNumbers w:val="0"/>
                    <w:spacing w:before="0" w:beforeAutospacing="0" w:after="0" w:afterAutospacing="0"/>
                    <w:ind w:left="0" w:right="0"/>
                    <w:jc w:val="center"/>
                    <w:textAlignment w:val="center"/>
                    <w:rPr>
                      <w:szCs w:val="21"/>
                    </w:rPr>
                  </w:pPr>
                  <w:r>
                    <w:rPr>
                      <w:rFonts w:hint="eastAsia"/>
                      <w:szCs w:val="21"/>
                      <w:lang w:val="en-US" w:eastAsia="zh-CN"/>
                    </w:rPr>
                    <w:t>5</w:t>
                  </w:r>
                  <w:r>
                    <w:rPr>
                      <w:rFonts w:hint="eastAsia"/>
                      <w:szCs w:val="21"/>
                    </w:rPr>
                    <w:t>0000t</w:t>
                  </w:r>
                </w:p>
              </w:tc>
              <w:tc>
                <w:tcPr>
                  <w:tcW w:w="570"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w:t>
                  </w:r>
                  <w:r>
                    <w:rPr>
                      <w:rFonts w:hint="eastAsia"/>
                      <w:szCs w:val="21"/>
                      <w:lang w:val="en-US" w:eastAsia="zh-CN"/>
                    </w:rPr>
                    <w:t>22000</w:t>
                  </w:r>
                  <w:r>
                    <w:rPr>
                      <w:rFonts w:hint="eastAsia"/>
                      <w:szCs w:val="21"/>
                    </w:rPr>
                    <w:t>t</w:t>
                  </w:r>
                </w:p>
              </w:tc>
              <w:tc>
                <w:tcPr>
                  <w:tcW w:w="701"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5000t</w:t>
                  </w:r>
                </w:p>
              </w:tc>
              <w:tc>
                <w:tcPr>
                  <w:tcW w:w="304" w:type="pct"/>
                  <w:vMerge w:val="restar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国内，汽运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7" w:type="pct"/>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625"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镀锌钢材</w:t>
                  </w:r>
                </w:p>
              </w:tc>
              <w:tc>
                <w:tcPr>
                  <w:tcW w:w="752"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w:t>
                  </w:r>
                </w:p>
              </w:tc>
              <w:tc>
                <w:tcPr>
                  <w:tcW w:w="475"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堆放</w:t>
                  </w:r>
                </w:p>
              </w:tc>
              <w:tc>
                <w:tcPr>
                  <w:tcW w:w="596" w:type="pct"/>
                  <w:vAlign w:val="center"/>
                </w:tcPr>
                <w:p>
                  <w:pPr>
                    <w:keepNext w:val="0"/>
                    <w:keepLines w:val="0"/>
                    <w:widowControl/>
                    <w:suppressLineNumbers w:val="0"/>
                    <w:spacing w:before="0" w:beforeAutospacing="0" w:after="0" w:afterAutospacing="0"/>
                    <w:ind w:left="0" w:right="0"/>
                    <w:jc w:val="center"/>
                    <w:textAlignment w:val="center"/>
                    <w:rPr>
                      <w:szCs w:val="21"/>
                    </w:rPr>
                  </w:pPr>
                  <w:r>
                    <w:rPr>
                      <w:rFonts w:hint="eastAsia"/>
                      <w:szCs w:val="21"/>
                    </w:rPr>
                    <w:t>0</w:t>
                  </w:r>
                </w:p>
              </w:tc>
              <w:tc>
                <w:tcPr>
                  <w:tcW w:w="597" w:type="pct"/>
                  <w:vAlign w:val="center"/>
                </w:tcPr>
                <w:p>
                  <w:pPr>
                    <w:keepNext w:val="0"/>
                    <w:keepLines w:val="0"/>
                    <w:widowControl/>
                    <w:suppressLineNumbers w:val="0"/>
                    <w:spacing w:before="0" w:beforeAutospacing="0" w:after="0" w:afterAutospacing="0"/>
                    <w:ind w:left="0" w:right="0"/>
                    <w:jc w:val="center"/>
                    <w:textAlignment w:val="center"/>
                    <w:rPr>
                      <w:szCs w:val="21"/>
                    </w:rPr>
                  </w:pPr>
                  <w:r>
                    <w:rPr>
                      <w:rFonts w:hint="eastAsia"/>
                      <w:szCs w:val="21"/>
                    </w:rPr>
                    <w:t>10000t</w:t>
                  </w:r>
                </w:p>
              </w:tc>
              <w:tc>
                <w:tcPr>
                  <w:tcW w:w="570"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+10000t</w:t>
                  </w:r>
                </w:p>
              </w:tc>
              <w:tc>
                <w:tcPr>
                  <w:tcW w:w="701"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1000t</w:t>
                  </w:r>
                </w:p>
              </w:tc>
              <w:tc>
                <w:tcPr>
                  <w:tcW w:w="304" w:type="pct"/>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7" w:type="pct"/>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625"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转轴</w:t>
                  </w:r>
                </w:p>
              </w:tc>
              <w:tc>
                <w:tcPr>
                  <w:tcW w:w="752"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w:t>
                  </w:r>
                </w:p>
              </w:tc>
              <w:tc>
                <w:tcPr>
                  <w:tcW w:w="475" w:type="pct"/>
                  <w:vAlign w:val="center"/>
                </w:tcPr>
                <w:p>
                  <w:pPr>
                    <w:keepNext w:val="0"/>
                    <w:keepLines w:val="0"/>
                    <w:suppressLineNumbers w:val="0"/>
                    <w:adjustRightInd w:val="0"/>
                    <w:snapToGrid w:val="0"/>
                    <w:spacing w:before="0" w:beforeAutospacing="0" w:after="0" w:afterAutospacing="0"/>
                    <w:ind w:left="0" w:right="0"/>
                    <w:jc w:val="center"/>
                    <w:rPr>
                      <w:szCs w:val="21"/>
                      <w:highlight w:val="yellow"/>
                    </w:rPr>
                  </w:pPr>
                  <w:r>
                    <w:rPr>
                      <w:rFonts w:hint="eastAsia"/>
                      <w:szCs w:val="21"/>
                    </w:rPr>
                    <w:t>堆放</w:t>
                  </w:r>
                </w:p>
              </w:tc>
              <w:tc>
                <w:tcPr>
                  <w:tcW w:w="596" w:type="pct"/>
                  <w:vAlign w:val="center"/>
                </w:tcPr>
                <w:p>
                  <w:pPr>
                    <w:keepNext w:val="0"/>
                    <w:keepLines w:val="0"/>
                    <w:widowControl/>
                    <w:suppressLineNumbers w:val="0"/>
                    <w:spacing w:before="0" w:beforeAutospacing="0" w:after="0" w:afterAutospacing="0"/>
                    <w:ind w:left="0" w:right="0"/>
                    <w:jc w:val="center"/>
                    <w:textAlignment w:val="center"/>
                    <w:rPr>
                      <w:szCs w:val="21"/>
                    </w:rPr>
                  </w:pPr>
                  <w:r>
                    <w:rPr>
                      <w:rFonts w:hint="eastAsia"/>
                      <w:szCs w:val="21"/>
                    </w:rPr>
                    <w:t>0</w:t>
                  </w:r>
                </w:p>
              </w:tc>
              <w:tc>
                <w:tcPr>
                  <w:tcW w:w="597" w:type="pct"/>
                  <w:vAlign w:val="center"/>
                </w:tcPr>
                <w:p>
                  <w:pPr>
                    <w:keepNext w:val="0"/>
                    <w:keepLines w:val="0"/>
                    <w:widowControl/>
                    <w:suppressLineNumbers w:val="0"/>
                    <w:spacing w:before="0" w:beforeAutospacing="0" w:after="0" w:afterAutospacing="0"/>
                    <w:ind w:left="0" w:right="0"/>
                    <w:jc w:val="center"/>
                    <w:textAlignment w:val="center"/>
                    <w:rPr>
                      <w:szCs w:val="21"/>
                    </w:rPr>
                  </w:pPr>
                  <w:r>
                    <w:rPr>
                      <w:rFonts w:hint="eastAsia"/>
                      <w:szCs w:val="21"/>
                    </w:rPr>
                    <w:t>3000万套</w:t>
                  </w:r>
                </w:p>
              </w:tc>
              <w:tc>
                <w:tcPr>
                  <w:tcW w:w="570"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+3000万套</w:t>
                  </w:r>
                </w:p>
              </w:tc>
              <w:tc>
                <w:tcPr>
                  <w:tcW w:w="701"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300万套</w:t>
                  </w:r>
                </w:p>
              </w:tc>
              <w:tc>
                <w:tcPr>
                  <w:tcW w:w="304" w:type="pct"/>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7" w:type="pct"/>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625"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环氧树脂粉</w:t>
                  </w:r>
                </w:p>
              </w:tc>
              <w:tc>
                <w:tcPr>
                  <w:tcW w:w="752"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环氧树脂40%-70%，硅酸盐填料20%-40%，固化剂1%-3%，钛白粉&lt;1.5%，催化剂&lt;0.5%</w:t>
                  </w:r>
                </w:p>
              </w:tc>
              <w:tc>
                <w:tcPr>
                  <w:tcW w:w="475"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25kg/袋</w:t>
                  </w:r>
                </w:p>
              </w:tc>
              <w:tc>
                <w:tcPr>
                  <w:tcW w:w="596" w:type="pct"/>
                  <w:vAlign w:val="center"/>
                </w:tcPr>
                <w:p>
                  <w:pPr>
                    <w:keepNext w:val="0"/>
                    <w:keepLines w:val="0"/>
                    <w:widowControl/>
                    <w:suppressLineNumbers w:val="0"/>
                    <w:spacing w:before="0" w:beforeAutospacing="0" w:after="0" w:afterAutospacing="0"/>
                    <w:ind w:left="0" w:right="0"/>
                    <w:jc w:val="center"/>
                    <w:textAlignment w:val="center"/>
                    <w:rPr>
                      <w:rFonts w:eastAsiaTheme="minorEastAsia"/>
                    </w:rPr>
                  </w:pPr>
                  <w:r>
                    <w:rPr>
                      <w:rFonts w:hint="eastAsia"/>
                      <w:kern w:val="0"/>
                      <w:szCs w:val="21"/>
                    </w:rPr>
                    <w:t>0t</w:t>
                  </w:r>
                </w:p>
              </w:tc>
              <w:tc>
                <w:tcPr>
                  <w:tcW w:w="597"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100t</w:t>
                  </w:r>
                </w:p>
              </w:tc>
              <w:tc>
                <w:tcPr>
                  <w:tcW w:w="570"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+100t</w:t>
                  </w:r>
                </w:p>
              </w:tc>
              <w:tc>
                <w:tcPr>
                  <w:tcW w:w="701"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10t</w:t>
                  </w:r>
                </w:p>
              </w:tc>
              <w:tc>
                <w:tcPr>
                  <w:tcW w:w="304" w:type="pct"/>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7" w:type="pct"/>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625"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聚丙烯粒子</w:t>
                  </w:r>
                </w:p>
              </w:tc>
              <w:tc>
                <w:tcPr>
                  <w:tcW w:w="752"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聚丙烯</w:t>
                  </w:r>
                </w:p>
              </w:tc>
              <w:tc>
                <w:tcPr>
                  <w:tcW w:w="475"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25kg/</w:t>
                  </w:r>
                  <w:r>
                    <w:rPr>
                      <w:rFonts w:hint="eastAsia" w:ascii="宋体" w:hAnsi="宋体"/>
                      <w:szCs w:val="21"/>
                    </w:rPr>
                    <w:t>袋</w:t>
                  </w:r>
                </w:p>
              </w:tc>
              <w:tc>
                <w:tcPr>
                  <w:tcW w:w="596"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0t</w:t>
                  </w:r>
                </w:p>
              </w:tc>
              <w:tc>
                <w:tcPr>
                  <w:tcW w:w="597"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50t</w:t>
                  </w:r>
                </w:p>
              </w:tc>
              <w:tc>
                <w:tcPr>
                  <w:tcW w:w="570"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+50t</w:t>
                  </w:r>
                </w:p>
              </w:tc>
              <w:tc>
                <w:tcPr>
                  <w:tcW w:w="701"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5t</w:t>
                  </w:r>
                </w:p>
              </w:tc>
              <w:tc>
                <w:tcPr>
                  <w:tcW w:w="304" w:type="pct"/>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7" w:type="pct"/>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625" w:type="pct"/>
                  <w:vAlign w:val="center"/>
                </w:tcPr>
                <w:p>
                  <w:pPr>
                    <w:keepNext w:val="0"/>
                    <w:keepLines w:val="0"/>
                    <w:suppressLineNumbers w:val="0"/>
                    <w:adjustRightInd w:val="0"/>
                    <w:snapToGrid w:val="0"/>
                    <w:spacing w:before="0" w:beforeAutospacing="0" w:after="0" w:afterAutospacing="0"/>
                    <w:ind w:left="0" w:right="0"/>
                    <w:jc w:val="center"/>
                    <w:rPr>
                      <w:szCs w:val="21"/>
                      <w:highlight w:val="yellow"/>
                    </w:rPr>
                  </w:pPr>
                  <w:r>
                    <w:rPr>
                      <w:rFonts w:hint="eastAsia"/>
                      <w:szCs w:val="21"/>
                      <w:highlight w:val="none"/>
                    </w:rPr>
                    <w:t>防锈油</w:t>
                  </w:r>
                </w:p>
              </w:tc>
              <w:tc>
                <w:tcPr>
                  <w:tcW w:w="752" w:type="pct"/>
                  <w:vAlign w:val="center"/>
                </w:tcPr>
                <w:p>
                  <w:pPr>
                    <w:keepNext w:val="0"/>
                    <w:keepLines w:val="0"/>
                    <w:suppressLineNumbers w:val="0"/>
                    <w:adjustRightInd w:val="0"/>
                    <w:snapToGrid w:val="0"/>
                    <w:spacing w:before="0" w:beforeAutospacing="0" w:after="0" w:afterAutospacing="0"/>
                    <w:ind w:left="0" w:right="0"/>
                    <w:jc w:val="center"/>
                    <w:rPr>
                      <w:rFonts w:hint="eastAsia" w:eastAsia="宋体"/>
                      <w:szCs w:val="21"/>
                      <w:highlight w:val="yellow"/>
                      <w:lang w:val="en-US" w:eastAsia="zh-CN"/>
                    </w:rPr>
                  </w:pPr>
                  <w:r>
                    <w:rPr>
                      <w:rFonts w:hint="eastAsia"/>
                      <w:szCs w:val="21"/>
                      <w:highlight w:val="none"/>
                      <w:lang w:val="en-US" w:eastAsia="zh-CN"/>
                    </w:rPr>
                    <w:t>矿物油，重油</w:t>
                  </w:r>
                </w:p>
              </w:tc>
              <w:tc>
                <w:tcPr>
                  <w:tcW w:w="475"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170kg/桶</w:t>
                  </w:r>
                </w:p>
              </w:tc>
              <w:tc>
                <w:tcPr>
                  <w:tcW w:w="596"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0</w:t>
                  </w:r>
                </w:p>
              </w:tc>
              <w:tc>
                <w:tcPr>
                  <w:tcW w:w="597"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1.7t</w:t>
                  </w:r>
                </w:p>
              </w:tc>
              <w:tc>
                <w:tcPr>
                  <w:tcW w:w="570"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+1.7t</w:t>
                  </w:r>
                </w:p>
              </w:tc>
              <w:tc>
                <w:tcPr>
                  <w:tcW w:w="701"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0.85t</w:t>
                  </w:r>
                </w:p>
              </w:tc>
              <w:tc>
                <w:tcPr>
                  <w:tcW w:w="304" w:type="pct"/>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7" w:type="pct"/>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625"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液压油</w:t>
                  </w:r>
                </w:p>
              </w:tc>
              <w:tc>
                <w:tcPr>
                  <w:tcW w:w="752"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矿物油</w:t>
                  </w:r>
                </w:p>
              </w:tc>
              <w:tc>
                <w:tcPr>
                  <w:tcW w:w="475"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170kg/桶</w:t>
                  </w:r>
                </w:p>
              </w:tc>
              <w:tc>
                <w:tcPr>
                  <w:tcW w:w="596"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0</w:t>
                  </w:r>
                </w:p>
              </w:tc>
              <w:tc>
                <w:tcPr>
                  <w:tcW w:w="597"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1.7t</w:t>
                  </w:r>
                </w:p>
              </w:tc>
              <w:tc>
                <w:tcPr>
                  <w:tcW w:w="570"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+1.7t</w:t>
                  </w:r>
                </w:p>
              </w:tc>
              <w:tc>
                <w:tcPr>
                  <w:tcW w:w="701"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0.85t</w:t>
                  </w:r>
                </w:p>
              </w:tc>
              <w:tc>
                <w:tcPr>
                  <w:tcW w:w="304" w:type="pct"/>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7" w:type="pct"/>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625"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冲压油</w:t>
                  </w:r>
                </w:p>
              </w:tc>
              <w:tc>
                <w:tcPr>
                  <w:tcW w:w="752"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rFonts w:hint="eastAsia"/>
                      <w:szCs w:val="21"/>
                      <w:lang w:eastAsia="zh-CN"/>
                    </w:rPr>
                    <w:t>合成基础</w:t>
                  </w:r>
                  <w:r>
                    <w:rPr>
                      <w:rFonts w:hint="eastAsia"/>
                      <w:szCs w:val="21"/>
                    </w:rPr>
                    <w:t>油</w:t>
                  </w:r>
                  <w:r>
                    <w:rPr>
                      <w:rFonts w:hint="eastAsia"/>
                      <w:szCs w:val="21"/>
                      <w:lang w:val="en-US" w:eastAsia="zh-CN"/>
                    </w:rPr>
                    <w:t>90-95%、添加剂5-10%</w:t>
                  </w:r>
                </w:p>
              </w:tc>
              <w:tc>
                <w:tcPr>
                  <w:tcW w:w="475"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1t/桶</w:t>
                  </w:r>
                </w:p>
              </w:tc>
              <w:tc>
                <w:tcPr>
                  <w:tcW w:w="596"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20</w:t>
                  </w:r>
                </w:p>
              </w:tc>
              <w:tc>
                <w:tcPr>
                  <w:tcW w:w="597"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lang w:val="en-US" w:eastAsia="zh-CN"/>
                    </w:rPr>
                    <w:t>4</w:t>
                  </w:r>
                  <w:r>
                    <w:rPr>
                      <w:rFonts w:hint="eastAsia"/>
                      <w:szCs w:val="21"/>
                    </w:rPr>
                    <w:t>0t</w:t>
                  </w:r>
                </w:p>
              </w:tc>
              <w:tc>
                <w:tcPr>
                  <w:tcW w:w="570"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+20t</w:t>
                  </w:r>
                </w:p>
              </w:tc>
              <w:tc>
                <w:tcPr>
                  <w:tcW w:w="701"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10t</w:t>
                  </w:r>
                </w:p>
              </w:tc>
              <w:tc>
                <w:tcPr>
                  <w:tcW w:w="304" w:type="pct"/>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7" w:type="pct"/>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625" w:type="pct"/>
                  <w:vAlign w:val="center"/>
                </w:tcPr>
                <w:p>
                  <w:pPr>
                    <w:keepNext w:val="0"/>
                    <w:keepLines w:val="0"/>
                    <w:suppressLineNumbers w:val="0"/>
                    <w:adjustRightInd w:val="0"/>
                    <w:snapToGrid w:val="0"/>
                    <w:spacing w:before="0" w:beforeAutospacing="0" w:after="0" w:afterAutospacing="0"/>
                    <w:ind w:left="0" w:right="0"/>
                    <w:jc w:val="center"/>
                    <w:rPr>
                      <w:rFonts w:hint="eastAsia" w:eastAsia="宋体"/>
                      <w:szCs w:val="21"/>
                      <w:lang w:eastAsia="zh-CN"/>
                    </w:rPr>
                  </w:pPr>
                  <w:r>
                    <w:rPr>
                      <w:rFonts w:hint="eastAsia"/>
                      <w:szCs w:val="21"/>
                    </w:rPr>
                    <w:t>切削</w:t>
                  </w:r>
                  <w:r>
                    <w:rPr>
                      <w:rFonts w:hint="eastAsia"/>
                      <w:szCs w:val="21"/>
                      <w:lang w:eastAsia="zh-CN"/>
                    </w:rPr>
                    <w:t>油</w:t>
                  </w:r>
                </w:p>
              </w:tc>
              <w:tc>
                <w:tcPr>
                  <w:tcW w:w="752" w:type="pct"/>
                  <w:vAlign w:val="center"/>
                </w:tcPr>
                <w:p>
                  <w:pPr>
                    <w:keepNext w:val="0"/>
                    <w:keepLines w:val="0"/>
                    <w:suppressLineNumbers w:val="0"/>
                    <w:adjustRightInd w:val="0"/>
                    <w:snapToGrid w:val="0"/>
                    <w:spacing w:before="0" w:beforeAutospacing="0" w:after="0" w:afterAutospacing="0"/>
                    <w:ind w:left="0" w:right="0"/>
                    <w:jc w:val="center"/>
                    <w:rPr>
                      <w:rFonts w:hint="eastAsia" w:eastAsia="宋体"/>
                      <w:szCs w:val="21"/>
                      <w:lang w:eastAsia="zh-CN"/>
                    </w:rPr>
                  </w:pPr>
                  <w:r>
                    <w:rPr>
                      <w:rFonts w:hint="eastAsia" w:hAnsi="宋体"/>
                      <w:szCs w:val="21"/>
                      <w:highlight w:val="none"/>
                      <w:lang w:eastAsia="zh-CN"/>
                    </w:rPr>
                    <w:t>矿物油</w:t>
                  </w:r>
                </w:p>
              </w:tc>
              <w:tc>
                <w:tcPr>
                  <w:tcW w:w="475" w:type="pct"/>
                  <w:vAlign w:val="center"/>
                </w:tcPr>
                <w:p>
                  <w:pPr>
                    <w:keepNext w:val="0"/>
                    <w:keepLines w:val="0"/>
                    <w:widowControl/>
                    <w:suppressLineNumbers w:val="0"/>
                    <w:spacing w:before="0" w:beforeAutospacing="0" w:after="0" w:afterAutospacing="0"/>
                    <w:ind w:left="0" w:right="0"/>
                    <w:jc w:val="center"/>
                    <w:textAlignment w:val="center"/>
                    <w:rPr>
                      <w:kern w:val="0"/>
                      <w:szCs w:val="21"/>
                    </w:rPr>
                  </w:pPr>
                  <w:r>
                    <w:rPr>
                      <w:kern w:val="0"/>
                      <w:szCs w:val="21"/>
                    </w:rPr>
                    <w:t>25kg/桶</w:t>
                  </w:r>
                </w:p>
              </w:tc>
              <w:tc>
                <w:tcPr>
                  <w:tcW w:w="596"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0</w:t>
                  </w:r>
                </w:p>
              </w:tc>
              <w:tc>
                <w:tcPr>
                  <w:tcW w:w="597"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1t</w:t>
                  </w:r>
                </w:p>
              </w:tc>
              <w:tc>
                <w:tcPr>
                  <w:tcW w:w="570"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+1t</w:t>
                  </w:r>
                </w:p>
              </w:tc>
              <w:tc>
                <w:tcPr>
                  <w:tcW w:w="701"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0.5t</w:t>
                  </w:r>
                </w:p>
              </w:tc>
              <w:tc>
                <w:tcPr>
                  <w:tcW w:w="304" w:type="pct"/>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7" w:type="pct"/>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625"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氩气</w:t>
                  </w:r>
                </w:p>
              </w:tc>
              <w:tc>
                <w:tcPr>
                  <w:tcW w:w="752"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w:t>
                  </w:r>
                </w:p>
              </w:tc>
              <w:tc>
                <w:tcPr>
                  <w:tcW w:w="475"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50kg/瓶</w:t>
                  </w:r>
                </w:p>
              </w:tc>
              <w:tc>
                <w:tcPr>
                  <w:tcW w:w="596"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0</w:t>
                  </w:r>
                </w:p>
              </w:tc>
              <w:tc>
                <w:tcPr>
                  <w:tcW w:w="597"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0.6t</w:t>
                  </w:r>
                </w:p>
              </w:tc>
              <w:tc>
                <w:tcPr>
                  <w:tcW w:w="570"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+0.6t</w:t>
                  </w:r>
                </w:p>
              </w:tc>
              <w:tc>
                <w:tcPr>
                  <w:tcW w:w="701"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0.2t</w:t>
                  </w:r>
                </w:p>
              </w:tc>
              <w:tc>
                <w:tcPr>
                  <w:tcW w:w="304" w:type="pct"/>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r>
          </w:tbl>
          <w:p>
            <w:pPr>
              <w:keepNext w:val="0"/>
              <w:keepLines w:val="0"/>
              <w:suppressLineNumbers w:val="0"/>
              <w:adjustRightInd w:val="0"/>
              <w:snapToGrid w:val="0"/>
              <w:spacing w:before="0" w:beforeAutospacing="0" w:after="0" w:afterAutospacing="0"/>
              <w:ind w:left="0" w:right="0"/>
              <w:jc w:val="center"/>
              <w:rPr>
                <w:rFonts w:ascii="宋体" w:hAnsi="宋体"/>
                <w:b/>
                <w:bCs/>
                <w:color w:val="FF0000"/>
                <w:sz w:val="24"/>
              </w:rPr>
            </w:pPr>
            <w:r>
              <w:rPr>
                <w:b/>
                <w:sz w:val="24"/>
              </w:rPr>
              <w:t>表</w:t>
            </w:r>
            <w:r>
              <w:rPr>
                <w:rFonts w:hint="eastAsia"/>
                <w:b/>
                <w:sz w:val="24"/>
              </w:rPr>
              <w:t>2-6</w:t>
            </w:r>
            <w:r>
              <w:rPr>
                <w:b/>
                <w:sz w:val="24"/>
              </w:rPr>
              <w:t xml:space="preserve"> </w:t>
            </w:r>
            <w:r>
              <w:rPr>
                <w:rFonts w:hint="eastAsia"/>
                <w:b/>
                <w:sz w:val="24"/>
              </w:rPr>
              <w:t xml:space="preserve"> </w:t>
            </w:r>
            <w:r>
              <w:rPr>
                <w:b/>
                <w:sz w:val="24"/>
              </w:rPr>
              <w:t>原辅材料理化性质</w:t>
            </w:r>
          </w:p>
          <w:tbl>
            <w:tblPr>
              <w:tblStyle w:val="21"/>
              <w:tblW w:w="5000" w:type="pct"/>
              <w:jc w:val="center"/>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717"/>
              <w:gridCol w:w="1009"/>
              <w:gridCol w:w="6726"/>
            </w:tblGrid>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24" w:type="pct"/>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rPr>
                    <w:t>名称</w:t>
                  </w:r>
                </w:p>
              </w:tc>
              <w:tc>
                <w:tcPr>
                  <w:tcW w:w="597" w:type="pct"/>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rPr>
                    <w:t>危规号</w:t>
                  </w:r>
                </w:p>
              </w:tc>
              <w:tc>
                <w:tcPr>
                  <w:tcW w:w="3979" w:type="pct"/>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rPr>
                    <w:t>理化性质</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24" w:type="pct"/>
                  <w:vAlign w:val="center"/>
                </w:tcPr>
                <w:p>
                  <w:pPr>
                    <w:keepNext w:val="0"/>
                    <w:keepLines w:val="0"/>
                    <w:suppressLineNumbers w:val="0"/>
                    <w:adjustRightInd w:val="0"/>
                    <w:snapToGrid w:val="0"/>
                    <w:spacing w:before="0" w:beforeAutospacing="0" w:after="0" w:afterAutospacing="0"/>
                    <w:ind w:left="0" w:right="0"/>
                    <w:jc w:val="center"/>
                    <w:rPr>
                      <w:bCs/>
                    </w:rPr>
                  </w:pPr>
                  <w:r>
                    <w:rPr>
                      <w:rFonts w:hint="eastAsia"/>
                      <w:bCs/>
                    </w:rPr>
                    <w:t>硅钢片</w:t>
                  </w:r>
                </w:p>
              </w:tc>
              <w:tc>
                <w:tcPr>
                  <w:tcW w:w="597" w:type="pct"/>
                  <w:vAlign w:val="center"/>
                </w:tcPr>
                <w:p>
                  <w:pPr>
                    <w:keepNext w:val="0"/>
                    <w:keepLines w:val="0"/>
                    <w:suppressLineNumbers w:val="0"/>
                    <w:adjustRightInd w:val="0"/>
                    <w:snapToGrid w:val="0"/>
                    <w:spacing w:before="0" w:beforeAutospacing="0" w:after="0" w:afterAutospacing="0"/>
                    <w:ind w:left="0" w:right="0"/>
                    <w:jc w:val="center"/>
                    <w:rPr>
                      <w:bCs/>
                    </w:rPr>
                  </w:pPr>
                  <w:r>
                    <w:rPr>
                      <w:rFonts w:hint="eastAsia"/>
                      <w:bCs/>
                    </w:rPr>
                    <w:t>/</w:t>
                  </w:r>
                </w:p>
              </w:tc>
              <w:tc>
                <w:tcPr>
                  <w:tcW w:w="3979" w:type="pct"/>
                  <w:vAlign w:val="center"/>
                </w:tcPr>
                <w:p>
                  <w:pPr>
                    <w:keepNext w:val="0"/>
                    <w:keepLines w:val="0"/>
                    <w:suppressLineNumbers w:val="0"/>
                    <w:adjustRightInd w:val="0"/>
                    <w:snapToGrid w:val="0"/>
                    <w:spacing w:before="0" w:beforeAutospacing="0" w:after="0" w:afterAutospacing="0"/>
                    <w:ind w:left="0" w:right="0"/>
                    <w:rPr>
                      <w:szCs w:val="21"/>
                    </w:rPr>
                  </w:pPr>
                  <w:r>
                    <w:rPr>
                      <w:rFonts w:hAnsi="宋体"/>
                      <w:szCs w:val="21"/>
                    </w:rPr>
                    <w:t>硅钢片是一种含碳极低的</w:t>
                  </w:r>
                  <w:r>
                    <w:fldChar w:fldCharType="begin"/>
                  </w:r>
                  <w:r>
                    <w:instrText xml:space="preserve"> HYPERLINK "https://baike.baidu.com/item/%E7%A1%85%E9%93%81/1154185" \t "_blank" </w:instrText>
                  </w:r>
                  <w:r>
                    <w:fldChar w:fldCharType="separate"/>
                  </w:r>
                  <w:r>
                    <w:rPr>
                      <w:rFonts w:hAnsi="宋体"/>
                      <w:szCs w:val="21"/>
                    </w:rPr>
                    <w:t>硅铁</w:t>
                  </w:r>
                  <w:r>
                    <w:rPr>
                      <w:rFonts w:hAnsi="宋体"/>
                      <w:szCs w:val="21"/>
                    </w:rPr>
                    <w:fldChar w:fldCharType="end"/>
                  </w:r>
                  <w:r>
                    <w:rPr>
                      <w:rFonts w:hAnsi="宋体"/>
                      <w:szCs w:val="21"/>
                    </w:rPr>
                    <w:t>软磁</w:t>
                  </w:r>
                  <w:r>
                    <w:fldChar w:fldCharType="begin"/>
                  </w:r>
                  <w:r>
                    <w:instrText xml:space="preserve"> HYPERLINK "https://baike.baidu.com/item/%E5%90%88%E9%87%91/1840333" \t "_blank" </w:instrText>
                  </w:r>
                  <w:r>
                    <w:fldChar w:fldCharType="separate"/>
                  </w:r>
                  <w:r>
                    <w:rPr>
                      <w:rFonts w:hAnsi="宋体"/>
                      <w:szCs w:val="21"/>
                    </w:rPr>
                    <w:t>合金</w:t>
                  </w:r>
                  <w:r>
                    <w:rPr>
                      <w:rFonts w:hAnsi="宋体"/>
                      <w:szCs w:val="21"/>
                    </w:rPr>
                    <w:fldChar w:fldCharType="end"/>
                  </w:r>
                  <w:r>
                    <w:rPr>
                      <w:rFonts w:hAnsi="宋体"/>
                      <w:szCs w:val="21"/>
                    </w:rPr>
                    <w:t>，一般含</w:t>
                  </w:r>
                  <w:r>
                    <w:fldChar w:fldCharType="begin"/>
                  </w:r>
                  <w:r>
                    <w:instrText xml:space="preserve"> HYPERLINK "https://baike.baidu.com/item/%E7%A1%85/2142941" \t "_blank" </w:instrText>
                  </w:r>
                  <w:r>
                    <w:fldChar w:fldCharType="separate"/>
                  </w:r>
                  <w:r>
                    <w:rPr>
                      <w:rFonts w:hAnsi="宋体"/>
                      <w:szCs w:val="21"/>
                    </w:rPr>
                    <w:t>硅</w:t>
                  </w:r>
                  <w:r>
                    <w:rPr>
                      <w:rFonts w:hAnsi="宋体"/>
                      <w:szCs w:val="21"/>
                    </w:rPr>
                    <w:fldChar w:fldCharType="end"/>
                  </w:r>
                  <w:r>
                    <w:rPr>
                      <w:rFonts w:hAnsi="宋体"/>
                      <w:szCs w:val="21"/>
                    </w:rPr>
                    <w:t>量为</w:t>
                  </w:r>
                  <w:r>
                    <w:rPr>
                      <w:szCs w:val="21"/>
                    </w:rPr>
                    <w:t>0.5</w:t>
                  </w:r>
                  <w:r>
                    <w:rPr>
                      <w:rFonts w:hAnsi="宋体"/>
                      <w:szCs w:val="21"/>
                    </w:rPr>
                    <w:t>～</w:t>
                  </w:r>
                  <w:r>
                    <w:rPr>
                      <w:szCs w:val="21"/>
                    </w:rPr>
                    <w:t>4.5%</w:t>
                  </w:r>
                  <w:r>
                    <w:rPr>
                      <w:rFonts w:hAnsi="宋体"/>
                      <w:szCs w:val="21"/>
                    </w:rPr>
                    <w:t>，主要用来制作各种变压器、电动机和发电机的</w:t>
                  </w:r>
                  <w:r>
                    <w:fldChar w:fldCharType="begin"/>
                  </w:r>
                  <w:r>
                    <w:instrText xml:space="preserve"> HYPERLINK "https://baike.baidu.com/item/%E9%93%81%E8%8A%AF" \t "_blank" </w:instrText>
                  </w:r>
                  <w:r>
                    <w:fldChar w:fldCharType="separate"/>
                  </w:r>
                  <w:r>
                    <w:rPr>
                      <w:rFonts w:hAnsi="宋体"/>
                      <w:szCs w:val="21"/>
                    </w:rPr>
                    <w:t>铁芯</w:t>
                  </w:r>
                  <w:r>
                    <w:rPr>
                      <w:rFonts w:hAnsi="宋体"/>
                      <w:szCs w:val="21"/>
                    </w:rPr>
                    <w:fldChar w:fldCharType="end"/>
                  </w:r>
                  <w:r>
                    <w:rPr>
                      <w:rFonts w:hAnsi="宋体"/>
                      <w:szCs w:val="21"/>
                    </w:rPr>
                    <w:t>。世界硅钢片产量约占钢材总量的</w:t>
                  </w:r>
                  <w:r>
                    <w:rPr>
                      <w:szCs w:val="21"/>
                    </w:rPr>
                    <w:t>1%</w:t>
                  </w:r>
                  <w:r>
                    <w:rPr>
                      <w:rFonts w:hAnsi="宋体"/>
                      <w:szCs w:val="21"/>
                    </w:rPr>
                    <w:t>（见精密合金）。</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24" w:type="pct"/>
                  <w:vAlign w:val="center"/>
                </w:tcPr>
                <w:p>
                  <w:pPr>
                    <w:keepNext w:val="0"/>
                    <w:keepLines w:val="0"/>
                    <w:suppressLineNumbers w:val="0"/>
                    <w:adjustRightInd w:val="0"/>
                    <w:snapToGrid w:val="0"/>
                    <w:spacing w:before="0" w:beforeAutospacing="0" w:after="0" w:afterAutospacing="0"/>
                    <w:ind w:left="0" w:right="0"/>
                    <w:jc w:val="center"/>
                    <w:rPr>
                      <w:bCs/>
                    </w:rPr>
                  </w:pPr>
                  <w:r>
                    <w:rPr>
                      <w:rFonts w:hint="eastAsia"/>
                      <w:bCs/>
                    </w:rPr>
                    <w:t>冲压油</w:t>
                  </w:r>
                </w:p>
              </w:tc>
              <w:tc>
                <w:tcPr>
                  <w:tcW w:w="597" w:type="pct"/>
                  <w:vAlign w:val="center"/>
                </w:tcPr>
                <w:p>
                  <w:pPr>
                    <w:keepNext w:val="0"/>
                    <w:keepLines w:val="0"/>
                    <w:suppressLineNumbers w:val="0"/>
                    <w:adjustRightInd w:val="0"/>
                    <w:snapToGrid w:val="0"/>
                    <w:spacing w:before="0" w:beforeAutospacing="0" w:after="0" w:afterAutospacing="0"/>
                    <w:ind w:left="0" w:right="0"/>
                    <w:jc w:val="center"/>
                    <w:rPr>
                      <w:bCs/>
                    </w:rPr>
                  </w:pPr>
                  <w:r>
                    <w:rPr>
                      <w:rFonts w:hint="eastAsia"/>
                      <w:bCs/>
                    </w:rPr>
                    <w:t>/</w:t>
                  </w:r>
                </w:p>
              </w:tc>
              <w:tc>
                <w:tcPr>
                  <w:tcW w:w="3979" w:type="pct"/>
                  <w:vAlign w:val="center"/>
                </w:tcPr>
                <w:p>
                  <w:pPr>
                    <w:keepNext w:val="0"/>
                    <w:keepLines w:val="0"/>
                    <w:suppressLineNumbers w:val="0"/>
                    <w:adjustRightInd w:val="0"/>
                    <w:snapToGrid w:val="0"/>
                    <w:spacing w:before="0" w:beforeAutospacing="0" w:after="0" w:afterAutospacing="0"/>
                    <w:ind w:left="0" w:right="0"/>
                    <w:rPr>
                      <w:szCs w:val="21"/>
                    </w:rPr>
                  </w:pPr>
                  <w:r>
                    <w:rPr>
                      <w:rFonts w:hAnsi="宋体"/>
                      <w:szCs w:val="21"/>
                    </w:rPr>
                    <w:t>冲压油特别适用于冲孔、冲压、攻螺纹、攻槽等高强度操作。同时它亦非常适用于塑性成形加工中。有良好的润滑性和极压性，且对模具有良好的保护性能。</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24" w:type="pct"/>
                  <w:vAlign w:val="center"/>
                </w:tcPr>
                <w:p>
                  <w:pPr>
                    <w:keepNext w:val="0"/>
                    <w:keepLines w:val="0"/>
                    <w:suppressLineNumbers w:val="0"/>
                    <w:adjustRightInd w:val="0"/>
                    <w:snapToGrid w:val="0"/>
                    <w:spacing w:before="0" w:beforeAutospacing="0" w:after="0" w:afterAutospacing="0"/>
                    <w:ind w:left="0" w:right="0"/>
                    <w:jc w:val="center"/>
                    <w:rPr>
                      <w:bCs/>
                    </w:rPr>
                  </w:pPr>
                  <w:r>
                    <w:rPr>
                      <w:rFonts w:hint="eastAsia"/>
                      <w:bCs/>
                    </w:rPr>
                    <w:t>环氧树脂粉</w:t>
                  </w:r>
                </w:p>
              </w:tc>
              <w:tc>
                <w:tcPr>
                  <w:tcW w:w="597" w:type="pct"/>
                  <w:vAlign w:val="center"/>
                </w:tcPr>
                <w:p>
                  <w:pPr>
                    <w:keepNext w:val="0"/>
                    <w:keepLines w:val="0"/>
                    <w:suppressLineNumbers w:val="0"/>
                    <w:adjustRightInd w:val="0"/>
                    <w:snapToGrid w:val="0"/>
                    <w:spacing w:before="0" w:beforeAutospacing="0" w:after="0" w:afterAutospacing="0"/>
                    <w:ind w:left="0" w:right="0"/>
                    <w:jc w:val="center"/>
                    <w:rPr>
                      <w:bCs/>
                    </w:rPr>
                  </w:pPr>
                  <w:r>
                    <w:rPr>
                      <w:rFonts w:hint="eastAsia"/>
                      <w:bCs/>
                    </w:rPr>
                    <w:t>/</w:t>
                  </w:r>
                </w:p>
              </w:tc>
              <w:tc>
                <w:tcPr>
                  <w:tcW w:w="3979" w:type="pct"/>
                  <w:vAlign w:val="center"/>
                </w:tcPr>
                <w:p>
                  <w:pPr>
                    <w:keepNext w:val="0"/>
                    <w:keepLines w:val="0"/>
                    <w:suppressLineNumbers w:val="0"/>
                    <w:adjustRightInd w:val="0"/>
                    <w:snapToGrid w:val="0"/>
                    <w:spacing w:before="0" w:beforeAutospacing="0" w:after="0" w:afterAutospacing="0"/>
                    <w:ind w:left="0" w:right="0"/>
                    <w:rPr>
                      <w:szCs w:val="21"/>
                    </w:rPr>
                  </w:pPr>
                  <w:r>
                    <w:rPr>
                      <w:rFonts w:hAnsi="宋体"/>
                      <w:szCs w:val="21"/>
                    </w:rPr>
                    <w:t>环氧树脂是指分子结构中含有两个或两个以上环氧基的高分子化合物。它能与胺、咪唑、酸酐、酚醛树脂等类固化剂进行配合使用，得到的制品具有优良的机械性能、绝缘性能、耐腐蚀性能、粘接性能和低收缩性能。</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24" w:type="pct"/>
                  <w:vAlign w:val="center"/>
                </w:tcPr>
                <w:p>
                  <w:pPr>
                    <w:keepNext w:val="0"/>
                    <w:keepLines w:val="0"/>
                    <w:widowControl/>
                    <w:suppressLineNumbers w:val="0"/>
                    <w:spacing w:before="0" w:beforeAutospacing="0" w:after="0" w:afterAutospacing="0"/>
                    <w:ind w:left="0" w:right="0"/>
                    <w:jc w:val="center"/>
                    <w:rPr>
                      <w:szCs w:val="21"/>
                    </w:rPr>
                  </w:pPr>
                  <w:r>
                    <w:rPr>
                      <w:szCs w:val="21"/>
                    </w:rPr>
                    <w:t>聚丙烯</w:t>
                  </w:r>
                  <w:r>
                    <w:rPr>
                      <w:rFonts w:hint="eastAsia"/>
                      <w:szCs w:val="21"/>
                    </w:rPr>
                    <w:t>粒子</w:t>
                  </w:r>
                </w:p>
              </w:tc>
              <w:tc>
                <w:tcPr>
                  <w:tcW w:w="597" w:type="pct"/>
                  <w:vAlign w:val="center"/>
                </w:tcPr>
                <w:p>
                  <w:pPr>
                    <w:keepNext w:val="0"/>
                    <w:keepLines w:val="0"/>
                    <w:suppressLineNumbers w:val="0"/>
                    <w:spacing w:before="0" w:beforeAutospacing="0" w:after="0" w:afterAutospacing="0"/>
                    <w:ind w:left="0" w:right="0"/>
                    <w:jc w:val="center"/>
                    <w:rPr>
                      <w:kern w:val="0"/>
                      <w:szCs w:val="21"/>
                    </w:rPr>
                  </w:pPr>
                  <w:r>
                    <w:rPr>
                      <w:kern w:val="0"/>
                    </w:rPr>
                    <w:t>/</w:t>
                  </w:r>
                </w:p>
              </w:tc>
              <w:tc>
                <w:tcPr>
                  <w:tcW w:w="3979" w:type="pct"/>
                  <w:vAlign w:val="center"/>
                </w:tcPr>
                <w:p>
                  <w:pPr>
                    <w:keepNext w:val="0"/>
                    <w:keepLines w:val="0"/>
                    <w:widowControl/>
                    <w:suppressLineNumbers w:val="0"/>
                    <w:spacing w:before="0" w:beforeAutospacing="0" w:after="0" w:afterAutospacing="0"/>
                    <w:ind w:left="0" w:right="0"/>
                    <w:rPr>
                      <w:szCs w:val="21"/>
                    </w:rPr>
                  </w:pPr>
                  <w:r>
                    <w:rPr>
                      <w:rFonts w:hAnsi="宋体"/>
                      <w:szCs w:val="21"/>
                    </w:rPr>
                    <w:t>性状：白色粉末；密度（</w:t>
                  </w:r>
                  <w:r>
                    <w:rPr>
                      <w:szCs w:val="21"/>
                    </w:rPr>
                    <w:t>g/mLat 25</w:t>
                  </w:r>
                  <w:r>
                    <w:rPr>
                      <w:rFonts w:hAnsi="宋体"/>
                      <w:szCs w:val="21"/>
                    </w:rPr>
                    <w:t>℃）：</w:t>
                  </w:r>
                  <w:r>
                    <w:rPr>
                      <w:szCs w:val="21"/>
                    </w:rPr>
                    <w:t>0.9</w:t>
                  </w:r>
                  <w:r>
                    <w:rPr>
                      <w:rFonts w:hAnsi="宋体"/>
                      <w:szCs w:val="21"/>
                    </w:rPr>
                    <w:t>；熔点（℃）：</w:t>
                  </w:r>
                  <w:r>
                    <w:rPr>
                      <w:szCs w:val="21"/>
                    </w:rPr>
                    <w:t>189</w:t>
                  </w:r>
                  <w:r>
                    <w:rPr>
                      <w:rFonts w:hAnsi="宋体"/>
                      <w:szCs w:val="21"/>
                    </w:rPr>
                    <w:t>，一种半结晶的热塑性塑料。具有较高的耐冲击性，机械性质强韧，抗多种有机溶剂和酸碱腐蚀。在工业界有广泛的应用，是平常常见的高分子材料之一。</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24"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防锈油</w:t>
                  </w:r>
                </w:p>
              </w:tc>
              <w:tc>
                <w:tcPr>
                  <w:tcW w:w="597" w:type="pct"/>
                  <w:vAlign w:val="center"/>
                </w:tcPr>
                <w:p>
                  <w:pPr>
                    <w:keepNext w:val="0"/>
                    <w:keepLines w:val="0"/>
                    <w:suppressLineNumbers w:val="0"/>
                    <w:spacing w:before="0" w:beforeAutospacing="0" w:after="0" w:afterAutospacing="0"/>
                    <w:ind w:left="0" w:right="0"/>
                    <w:jc w:val="center"/>
                    <w:rPr>
                      <w:kern w:val="0"/>
                    </w:rPr>
                  </w:pPr>
                  <w:r>
                    <w:rPr>
                      <w:rFonts w:hint="eastAsia"/>
                      <w:kern w:val="0"/>
                    </w:rPr>
                    <w:t>/</w:t>
                  </w:r>
                </w:p>
              </w:tc>
              <w:tc>
                <w:tcPr>
                  <w:tcW w:w="3979" w:type="pct"/>
                  <w:vAlign w:val="center"/>
                </w:tcPr>
                <w:p>
                  <w:pPr>
                    <w:keepNext w:val="0"/>
                    <w:keepLines w:val="0"/>
                    <w:widowControl/>
                    <w:suppressLineNumbers w:val="0"/>
                    <w:spacing w:before="0" w:beforeAutospacing="0" w:after="0" w:afterAutospacing="0"/>
                    <w:ind w:left="0" w:right="0"/>
                    <w:rPr>
                      <w:rFonts w:hAnsi="宋体"/>
                      <w:szCs w:val="21"/>
                    </w:rPr>
                  </w:pPr>
                  <w:r>
                    <w:rPr>
                      <w:rFonts w:hAnsi="宋体"/>
                      <w:szCs w:val="21"/>
                    </w:rPr>
                    <w:t>防锈油是一款外观呈红褐色具有防锈功能的油</w:t>
                  </w:r>
                  <w:r>
                    <w:fldChar w:fldCharType="begin"/>
                  </w:r>
                  <w:r>
                    <w:instrText xml:space="preserve"> HYPERLINK "https://baike.baidu.com/item/%E6%BA%B6%E5%89%82/1134519" \t "_blank" </w:instrText>
                  </w:r>
                  <w:r>
                    <w:fldChar w:fldCharType="separate"/>
                  </w:r>
                  <w:r>
                    <w:rPr>
                      <w:rFonts w:hAnsi="宋体"/>
                      <w:szCs w:val="21"/>
                    </w:rPr>
                    <w:t>溶剂</w:t>
                  </w:r>
                  <w:r>
                    <w:rPr>
                      <w:rFonts w:hAnsi="宋体"/>
                      <w:szCs w:val="21"/>
                    </w:rPr>
                    <w:fldChar w:fldCharType="end"/>
                  </w:r>
                  <w:r>
                    <w:rPr>
                      <w:rFonts w:hAnsi="宋体"/>
                      <w:szCs w:val="21"/>
                    </w:rPr>
                    <w:t>。由油溶性缓蚀剂、</w:t>
                  </w:r>
                  <w:r>
                    <w:fldChar w:fldCharType="begin"/>
                  </w:r>
                  <w:r>
                    <w:instrText xml:space="preserve"> HYPERLINK "https://baike.baidu.com/item/%E5%9F%BA%E7%A1%80%E6%B2%B9/269824" \t "_blank" </w:instrText>
                  </w:r>
                  <w:r>
                    <w:fldChar w:fldCharType="separate"/>
                  </w:r>
                  <w:r>
                    <w:rPr>
                      <w:rFonts w:hAnsi="宋体"/>
                      <w:szCs w:val="21"/>
                    </w:rPr>
                    <w:t>基础油</w:t>
                  </w:r>
                  <w:r>
                    <w:rPr>
                      <w:rFonts w:hAnsi="宋体"/>
                      <w:szCs w:val="21"/>
                    </w:rPr>
                    <w:fldChar w:fldCharType="end"/>
                  </w:r>
                  <w:r>
                    <w:rPr>
                      <w:rFonts w:hAnsi="宋体"/>
                      <w:szCs w:val="21"/>
                    </w:rPr>
                    <w:t>和辅助添加剂等组成。根据性能和用途，除锈油可分为</w:t>
                  </w:r>
                  <w:r>
                    <w:fldChar w:fldCharType="begin"/>
                  </w:r>
                  <w:r>
                    <w:instrText xml:space="preserve"> HYPERLINK "https://baike.baidu.com/item/%E6%8C%87%E7%BA%B9/60308" \t "_blank" </w:instrText>
                  </w:r>
                  <w:r>
                    <w:fldChar w:fldCharType="separate"/>
                  </w:r>
                  <w:r>
                    <w:rPr>
                      <w:rFonts w:hAnsi="宋体"/>
                      <w:szCs w:val="21"/>
                    </w:rPr>
                    <w:t>指纹</w:t>
                  </w:r>
                  <w:r>
                    <w:rPr>
                      <w:rFonts w:hAnsi="宋体"/>
                      <w:szCs w:val="21"/>
                    </w:rPr>
                    <w:fldChar w:fldCharType="end"/>
                  </w:r>
                  <w:r>
                    <w:rPr>
                      <w:rFonts w:hAnsi="宋体"/>
                      <w:szCs w:val="21"/>
                    </w:rPr>
                    <w:t>除去型防锈油、水稀释型防锈油、溶剂稀释型防锈油、防锈润滑两用油、封存防锈油、</w:t>
                  </w:r>
                  <w:r>
                    <w:fldChar w:fldCharType="begin"/>
                  </w:r>
                  <w:r>
                    <w:instrText xml:space="preserve"> HYPERLINK "https://baike.baidu.com/item/%E7%BD%AE%E6%8D%A2%E5%9E%8B%E9%98%B2%E9%94%88%E6%B2%B9/1141637" \t "_blank" </w:instrText>
                  </w:r>
                  <w:r>
                    <w:fldChar w:fldCharType="separate"/>
                  </w:r>
                  <w:r>
                    <w:rPr>
                      <w:rFonts w:hAnsi="宋体"/>
                      <w:szCs w:val="21"/>
                    </w:rPr>
                    <w:t>置换型防锈油</w:t>
                  </w:r>
                  <w:r>
                    <w:rPr>
                      <w:rFonts w:hAnsi="宋体"/>
                      <w:szCs w:val="21"/>
                    </w:rPr>
                    <w:fldChar w:fldCharType="end"/>
                  </w:r>
                  <w:r>
                    <w:rPr>
                      <w:rFonts w:hAnsi="宋体"/>
                      <w:szCs w:val="21"/>
                    </w:rPr>
                    <w:t>、薄层油、防锈脂和气相防锈油等。</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24"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液压油</w:t>
                  </w:r>
                </w:p>
              </w:tc>
              <w:tc>
                <w:tcPr>
                  <w:tcW w:w="597" w:type="pct"/>
                  <w:vAlign w:val="center"/>
                </w:tcPr>
                <w:p>
                  <w:pPr>
                    <w:keepNext w:val="0"/>
                    <w:keepLines w:val="0"/>
                    <w:suppressLineNumbers w:val="0"/>
                    <w:spacing w:before="0" w:beforeAutospacing="0" w:after="0" w:afterAutospacing="0"/>
                    <w:ind w:left="0" w:right="0"/>
                    <w:jc w:val="center"/>
                    <w:rPr>
                      <w:kern w:val="0"/>
                    </w:rPr>
                  </w:pPr>
                  <w:r>
                    <w:rPr>
                      <w:rFonts w:hint="eastAsia"/>
                      <w:kern w:val="0"/>
                    </w:rPr>
                    <w:t>/</w:t>
                  </w:r>
                </w:p>
              </w:tc>
              <w:tc>
                <w:tcPr>
                  <w:tcW w:w="3979" w:type="pct"/>
                  <w:vAlign w:val="center"/>
                </w:tcPr>
                <w:p>
                  <w:pPr>
                    <w:keepNext w:val="0"/>
                    <w:keepLines w:val="0"/>
                    <w:widowControl/>
                    <w:suppressLineNumbers w:val="0"/>
                    <w:spacing w:before="0" w:beforeAutospacing="0" w:after="0" w:afterAutospacing="0"/>
                    <w:ind w:left="0" w:right="0"/>
                    <w:rPr>
                      <w:rFonts w:hAnsi="宋体"/>
                      <w:szCs w:val="21"/>
                    </w:rPr>
                  </w:pPr>
                  <w:r>
                    <w:rPr>
                      <w:rFonts w:hAnsi="宋体"/>
                      <w:szCs w:val="21"/>
                    </w:rPr>
                    <w:t>液压油就是利用液体压力能的液压系统使用的液压介质，在</w:t>
                  </w:r>
                  <w:r>
                    <w:fldChar w:fldCharType="begin"/>
                  </w:r>
                  <w:r>
                    <w:instrText xml:space="preserve"> HYPERLINK "https://baike.baidu.com/item/%E6%B6%B2%E5%8E%8B%E7%B3%BB%E7%BB%9F/35153" \t "_blank" </w:instrText>
                  </w:r>
                  <w:r>
                    <w:fldChar w:fldCharType="separate"/>
                  </w:r>
                  <w:r>
                    <w:rPr>
                      <w:rFonts w:hAnsi="宋体"/>
                      <w:szCs w:val="21"/>
                    </w:rPr>
                    <w:t>液压系统</w:t>
                  </w:r>
                  <w:r>
                    <w:rPr>
                      <w:rFonts w:hAnsi="宋体"/>
                      <w:szCs w:val="21"/>
                    </w:rPr>
                    <w:fldChar w:fldCharType="end"/>
                  </w:r>
                  <w:r>
                    <w:rPr>
                      <w:rFonts w:hAnsi="宋体"/>
                      <w:szCs w:val="21"/>
                    </w:rPr>
                    <w:t>中起着</w:t>
                  </w:r>
                  <w:r>
                    <w:fldChar w:fldCharType="begin"/>
                  </w:r>
                  <w:r>
                    <w:instrText xml:space="preserve"> HYPERLINK "https://baike.baidu.com/item/%E8%83%BD%E9%87%8F%E4%BC%A0%E9%80%92/5282377" \t "_blank" </w:instrText>
                  </w:r>
                  <w:r>
                    <w:fldChar w:fldCharType="separate"/>
                  </w:r>
                  <w:r>
                    <w:rPr>
                      <w:rFonts w:hAnsi="宋体"/>
                      <w:szCs w:val="21"/>
                    </w:rPr>
                    <w:t>能量传递</w:t>
                  </w:r>
                  <w:r>
                    <w:rPr>
                      <w:rFonts w:hAnsi="宋体"/>
                      <w:szCs w:val="21"/>
                    </w:rPr>
                    <w:fldChar w:fldCharType="end"/>
                  </w:r>
                  <w:r>
                    <w:rPr>
                      <w:rFonts w:hAnsi="宋体"/>
                      <w:szCs w:val="21"/>
                    </w:rPr>
                    <w:t>、抗磨、系统润滑、</w:t>
                  </w:r>
                  <w:r>
                    <w:fldChar w:fldCharType="begin"/>
                  </w:r>
                  <w:r>
                    <w:instrText xml:space="preserve"> HYPERLINK "https://baike.baidu.com/item/%E9%98%B2%E8%85%90/1271300" \t "_blank" </w:instrText>
                  </w:r>
                  <w:r>
                    <w:fldChar w:fldCharType="separate"/>
                  </w:r>
                  <w:r>
                    <w:rPr>
                      <w:rFonts w:hAnsi="宋体"/>
                      <w:szCs w:val="21"/>
                    </w:rPr>
                    <w:t>防腐</w:t>
                  </w:r>
                  <w:r>
                    <w:rPr>
                      <w:rFonts w:hAnsi="宋体"/>
                      <w:szCs w:val="21"/>
                    </w:rPr>
                    <w:fldChar w:fldCharType="end"/>
                  </w:r>
                  <w:r>
                    <w:rPr>
                      <w:rFonts w:hAnsi="宋体"/>
                      <w:szCs w:val="21"/>
                    </w:rPr>
                    <w:t>、</w:t>
                  </w:r>
                  <w:r>
                    <w:fldChar w:fldCharType="begin"/>
                  </w:r>
                  <w:r>
                    <w:instrText xml:space="preserve"> HYPERLINK "https://baike.baidu.com/item/%E9%98%B2%E9%94%88/4591680" \t "_blank" </w:instrText>
                  </w:r>
                  <w:r>
                    <w:fldChar w:fldCharType="separate"/>
                  </w:r>
                  <w:r>
                    <w:rPr>
                      <w:rFonts w:hAnsi="宋体"/>
                      <w:szCs w:val="21"/>
                    </w:rPr>
                    <w:t>防锈</w:t>
                  </w:r>
                  <w:r>
                    <w:rPr>
                      <w:rFonts w:hAnsi="宋体"/>
                      <w:szCs w:val="21"/>
                    </w:rPr>
                    <w:fldChar w:fldCharType="end"/>
                  </w:r>
                  <w:r>
                    <w:rPr>
                      <w:rFonts w:hAnsi="宋体"/>
                      <w:szCs w:val="21"/>
                    </w:rPr>
                    <w:t>、</w:t>
                  </w:r>
                  <w:r>
                    <w:fldChar w:fldCharType="begin"/>
                  </w:r>
                  <w:r>
                    <w:instrText xml:space="preserve"> HYPERLINK "https://baike.baidu.com/item/%E5%86%B7%E5%8D%B4/3036655" \t "_blank" </w:instrText>
                  </w:r>
                  <w:r>
                    <w:fldChar w:fldCharType="separate"/>
                  </w:r>
                  <w:r>
                    <w:rPr>
                      <w:rFonts w:hAnsi="宋体"/>
                      <w:szCs w:val="21"/>
                    </w:rPr>
                    <w:t>冷却</w:t>
                  </w:r>
                  <w:r>
                    <w:rPr>
                      <w:rFonts w:hAnsi="宋体"/>
                      <w:szCs w:val="21"/>
                    </w:rPr>
                    <w:fldChar w:fldCharType="end"/>
                  </w:r>
                  <w:r>
                    <w:rPr>
                      <w:rFonts w:hAnsi="宋体"/>
                      <w:szCs w:val="21"/>
                    </w:rPr>
                    <w:t>等作用。对于液压油来说，首先应满足液压装置在工作温度下与启动温度下对液体粘度的要求，由于润滑油的</w:t>
                  </w:r>
                  <w:r>
                    <w:fldChar w:fldCharType="begin"/>
                  </w:r>
                  <w:r>
                    <w:instrText xml:space="preserve"> HYPERLINK "https://baike.baidu.com/item/%E7%B2%98%E5%BA%A6/6199829" \t "_blank" </w:instrText>
                  </w:r>
                  <w:r>
                    <w:fldChar w:fldCharType="separate"/>
                  </w:r>
                  <w:r>
                    <w:rPr>
                      <w:rFonts w:hAnsi="宋体"/>
                      <w:szCs w:val="21"/>
                    </w:rPr>
                    <w:t>粘度</w:t>
                  </w:r>
                  <w:r>
                    <w:rPr>
                      <w:rFonts w:hAnsi="宋体"/>
                      <w:szCs w:val="21"/>
                    </w:rPr>
                    <w:fldChar w:fldCharType="end"/>
                  </w:r>
                  <w:r>
                    <w:rPr>
                      <w:rFonts w:hAnsi="宋体"/>
                      <w:szCs w:val="21"/>
                    </w:rPr>
                    <w:t>变化直接与液压动作、传递效率和传递精度有关，还要求油的粘温性能和</w:t>
                  </w:r>
                  <w:r>
                    <w:fldChar w:fldCharType="begin"/>
                  </w:r>
                  <w:r>
                    <w:instrText xml:space="preserve"> HYPERLINK "https://baike.baidu.com/item/%E5%89%AA%E5%88%87%E5%AE%89%E5%AE%9A%E6%80%A7/4129742" \t "_blank" </w:instrText>
                  </w:r>
                  <w:r>
                    <w:fldChar w:fldCharType="separate"/>
                  </w:r>
                  <w:r>
                    <w:rPr>
                      <w:rFonts w:hAnsi="宋体"/>
                      <w:szCs w:val="21"/>
                    </w:rPr>
                    <w:t>剪切安定性</w:t>
                  </w:r>
                  <w:r>
                    <w:rPr>
                      <w:rFonts w:hAnsi="宋体"/>
                      <w:szCs w:val="21"/>
                    </w:rPr>
                    <w:fldChar w:fldCharType="end"/>
                  </w:r>
                  <w:r>
                    <w:rPr>
                      <w:rFonts w:hAnsi="宋体"/>
                      <w:szCs w:val="21"/>
                    </w:rPr>
                    <w:t>应满足不同用途所提出的各种需求。</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24" w:type="pct"/>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kern w:val="0"/>
                      <w:szCs w:val="21"/>
                      <w:lang w:eastAsia="zh-CN"/>
                    </w:rPr>
                  </w:pPr>
                  <w:r>
                    <w:rPr>
                      <w:rFonts w:hint="eastAsia" w:ascii="宋体" w:hAnsi="宋体" w:cs="宋体"/>
                      <w:kern w:val="0"/>
                      <w:szCs w:val="21"/>
                    </w:rPr>
                    <w:t>切削</w:t>
                  </w:r>
                  <w:r>
                    <w:rPr>
                      <w:rFonts w:hint="eastAsia" w:ascii="宋体" w:hAnsi="宋体" w:cs="宋体"/>
                      <w:kern w:val="0"/>
                      <w:szCs w:val="21"/>
                      <w:lang w:eastAsia="zh-CN"/>
                    </w:rPr>
                    <w:t>油</w:t>
                  </w:r>
                </w:p>
              </w:tc>
              <w:tc>
                <w:tcPr>
                  <w:tcW w:w="597" w:type="pct"/>
                  <w:vAlign w:val="center"/>
                </w:tcPr>
                <w:p>
                  <w:pPr>
                    <w:keepNext w:val="0"/>
                    <w:keepLines w:val="0"/>
                    <w:suppressLineNumbers w:val="0"/>
                    <w:spacing w:before="0" w:beforeAutospacing="0" w:after="0" w:afterAutospacing="0"/>
                    <w:ind w:left="0" w:right="0"/>
                    <w:jc w:val="center"/>
                    <w:rPr>
                      <w:rFonts w:ascii="宋体" w:hAnsi="宋体" w:cs="宋体"/>
                      <w:kern w:val="0"/>
                      <w:szCs w:val="21"/>
                    </w:rPr>
                  </w:pPr>
                  <w:r>
                    <w:rPr>
                      <w:rFonts w:hint="eastAsia" w:ascii="宋体" w:hAnsi="宋体" w:cs="宋体"/>
                      <w:kern w:val="0"/>
                      <w:szCs w:val="21"/>
                    </w:rPr>
                    <w:t>/</w:t>
                  </w:r>
                </w:p>
              </w:tc>
              <w:tc>
                <w:tcPr>
                  <w:tcW w:w="3979" w:type="pct"/>
                  <w:vAlign w:val="center"/>
                </w:tcPr>
                <w:p>
                  <w:pPr>
                    <w:keepNext w:val="0"/>
                    <w:keepLines w:val="0"/>
                    <w:suppressLineNumbers w:val="0"/>
                    <w:spacing w:before="0" w:beforeAutospacing="0" w:after="0" w:afterAutospacing="0"/>
                    <w:ind w:left="0" w:right="0"/>
                    <w:rPr>
                      <w:rFonts w:ascii="宋体" w:hAnsi="宋体" w:cs="宋体"/>
                      <w:color w:val="000000"/>
                      <w:szCs w:val="21"/>
                      <w:shd w:val="clear" w:color="auto" w:fill="FFFFFF"/>
                    </w:rPr>
                  </w:pPr>
                  <w:r>
                    <w:rPr>
                      <w:rFonts w:hAnsi="宋体"/>
                      <w:color w:val="000000"/>
                      <w:szCs w:val="21"/>
                      <w:shd w:val="clear" w:color="auto" w:fill="FFFFFF"/>
                    </w:rPr>
                    <w:t>无色透明油状液体，没有气味。对酸、光、热均稳定，不溶于乙醇，溶于乙醚、苯、石油醚等，并可与多数脂肪油互溶。为液体类烃类的混合物，主要成分为</w:t>
                  </w:r>
                  <w:r>
                    <w:rPr>
                      <w:color w:val="000000"/>
                      <w:szCs w:val="21"/>
                      <w:shd w:val="clear" w:color="auto" w:fill="FFFFFF"/>
                    </w:rPr>
                    <w:t>C</w:t>
                  </w:r>
                  <w:r>
                    <w:rPr>
                      <w:color w:val="000000"/>
                      <w:szCs w:val="21"/>
                      <w:shd w:val="clear" w:color="auto" w:fill="FFFFFF"/>
                      <w:vertAlign w:val="subscript"/>
                    </w:rPr>
                    <w:t>16</w:t>
                  </w:r>
                  <w:r>
                    <w:rPr>
                      <w:color w:val="000000"/>
                      <w:szCs w:val="21"/>
                      <w:shd w:val="clear" w:color="auto" w:fill="FFFFFF"/>
                    </w:rPr>
                    <w:t>-C</w:t>
                  </w:r>
                  <w:r>
                    <w:rPr>
                      <w:color w:val="000000"/>
                      <w:szCs w:val="21"/>
                      <w:shd w:val="clear" w:color="auto" w:fill="FFFFFF"/>
                      <w:vertAlign w:val="subscript"/>
                    </w:rPr>
                    <w:t>31</w:t>
                  </w:r>
                  <w:r>
                    <w:rPr>
                      <w:rFonts w:hAnsi="宋体"/>
                      <w:color w:val="000000"/>
                      <w:szCs w:val="21"/>
                      <w:shd w:val="clear" w:color="auto" w:fill="FFFFFF"/>
                    </w:rPr>
                    <w:t>的正异构烷烃的混合物。</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24"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氩气</w:t>
                  </w:r>
                </w:p>
              </w:tc>
              <w:tc>
                <w:tcPr>
                  <w:tcW w:w="597" w:type="pct"/>
                  <w:vAlign w:val="center"/>
                </w:tcPr>
                <w:p>
                  <w:pPr>
                    <w:keepNext w:val="0"/>
                    <w:keepLines w:val="0"/>
                    <w:suppressLineNumbers w:val="0"/>
                    <w:spacing w:before="0" w:beforeAutospacing="0" w:after="0" w:afterAutospacing="0"/>
                    <w:ind w:left="0" w:right="0"/>
                    <w:jc w:val="center"/>
                    <w:rPr>
                      <w:kern w:val="0"/>
                    </w:rPr>
                  </w:pPr>
                  <w:r>
                    <w:rPr>
                      <w:rFonts w:hint="eastAsia"/>
                      <w:kern w:val="0"/>
                    </w:rPr>
                    <w:t>/</w:t>
                  </w:r>
                </w:p>
              </w:tc>
              <w:tc>
                <w:tcPr>
                  <w:tcW w:w="3979" w:type="pct"/>
                  <w:vAlign w:val="center"/>
                </w:tcPr>
                <w:p>
                  <w:pPr>
                    <w:keepNext w:val="0"/>
                    <w:keepLines w:val="0"/>
                    <w:widowControl/>
                    <w:suppressLineNumbers w:val="0"/>
                    <w:spacing w:before="0" w:beforeAutospacing="0" w:after="0" w:afterAutospacing="0"/>
                    <w:ind w:left="0" w:right="0"/>
                    <w:rPr>
                      <w:rFonts w:hAnsi="宋体"/>
                      <w:szCs w:val="21"/>
                    </w:rPr>
                  </w:pPr>
                  <w:r>
                    <w:rPr>
                      <w:rFonts w:hAnsi="宋体"/>
                      <w:szCs w:val="21"/>
                    </w:rPr>
                    <w:t>氩气是一种无色、无味的单原子气体，相对原子质量为39.948。一般由空气液化后，用</w:t>
                  </w:r>
                  <w:r>
                    <w:fldChar w:fldCharType="begin"/>
                  </w:r>
                  <w:r>
                    <w:instrText xml:space="preserve"> HYPERLINK "https://baike.baidu.com/item/%E5%88%86%E9%A6%8F%E6%B3%95/364124" \t "_blank" </w:instrText>
                  </w:r>
                  <w:r>
                    <w:fldChar w:fldCharType="separate"/>
                  </w:r>
                  <w:r>
                    <w:rPr>
                      <w:rFonts w:hAnsi="宋体"/>
                      <w:szCs w:val="21"/>
                    </w:rPr>
                    <w:t>分馏法</w:t>
                  </w:r>
                  <w:r>
                    <w:rPr>
                      <w:rFonts w:hAnsi="宋体"/>
                      <w:szCs w:val="21"/>
                    </w:rPr>
                    <w:fldChar w:fldCharType="end"/>
                  </w:r>
                  <w:r>
                    <w:rPr>
                      <w:rFonts w:hAnsi="宋体"/>
                      <w:szCs w:val="21"/>
                    </w:rPr>
                    <w:t>制取氩气。氩气的密度是空气的1.4倍，是氦气的10倍。氩气是一种</w:t>
                  </w:r>
                  <w:r>
                    <w:fldChar w:fldCharType="begin"/>
                  </w:r>
                  <w:r>
                    <w:instrText xml:space="preserve"> HYPERLINK "https://baike.baidu.com/item/%E6%83%B0%E6%80%A7%E6%B0%94%E4%BD%93/1836373" \t "_blank" </w:instrText>
                  </w:r>
                  <w:r>
                    <w:fldChar w:fldCharType="separate"/>
                  </w:r>
                  <w:r>
                    <w:rPr>
                      <w:rFonts w:hAnsi="宋体"/>
                      <w:szCs w:val="21"/>
                    </w:rPr>
                    <w:t>惰性气体</w:t>
                  </w:r>
                  <w:r>
                    <w:rPr>
                      <w:rFonts w:hAnsi="宋体"/>
                      <w:szCs w:val="21"/>
                    </w:rPr>
                    <w:fldChar w:fldCharType="end"/>
                  </w:r>
                  <w:r>
                    <w:rPr>
                      <w:rFonts w:hAnsi="宋体"/>
                      <w:szCs w:val="21"/>
                    </w:rPr>
                    <w:t>，在常温下与其他物质均不起化学反应，在高温下也不溶于</w:t>
                  </w:r>
                  <w:r>
                    <w:fldChar w:fldCharType="begin"/>
                  </w:r>
                  <w:r>
                    <w:instrText xml:space="preserve"> HYPERLINK "https://baike.baidu.com/item/%E6%B6%B2%E6%80%81%E9%87%91%E5%B1%9E/4809216" \t "_blank" </w:instrText>
                  </w:r>
                  <w:r>
                    <w:fldChar w:fldCharType="separate"/>
                  </w:r>
                  <w:r>
                    <w:rPr>
                      <w:rFonts w:hAnsi="宋体"/>
                      <w:szCs w:val="21"/>
                    </w:rPr>
                    <w:t>液态金属</w:t>
                  </w:r>
                  <w:r>
                    <w:rPr>
                      <w:rFonts w:hAnsi="宋体"/>
                      <w:szCs w:val="21"/>
                    </w:rPr>
                    <w:fldChar w:fldCharType="end"/>
                  </w:r>
                  <w:r>
                    <w:rPr>
                      <w:rFonts w:hAnsi="宋体"/>
                      <w:szCs w:val="21"/>
                    </w:rPr>
                    <w:t>中，在焊接有色金属时更能显示其优越性。可用于灯泡充气和对不锈钢、镁、铝等的电弧焊接，即“</w:t>
                  </w:r>
                  <w:r>
                    <w:fldChar w:fldCharType="begin"/>
                  </w:r>
                  <w:r>
                    <w:instrText xml:space="preserve"> HYPERLINK "https://baike.baidu.com/item/%E6%B0%A9%E5%BC%A7%E7%84%8A/5857853" \t "_blank" </w:instrText>
                  </w:r>
                  <w:r>
                    <w:fldChar w:fldCharType="separate"/>
                  </w:r>
                  <w:r>
                    <w:rPr>
                      <w:rFonts w:hAnsi="宋体"/>
                      <w:szCs w:val="21"/>
                    </w:rPr>
                    <w:t>氩弧焊</w:t>
                  </w:r>
                  <w:r>
                    <w:rPr>
                      <w:rFonts w:hAnsi="宋体"/>
                      <w:szCs w:val="21"/>
                    </w:rPr>
                    <w:fldChar w:fldCharType="end"/>
                  </w:r>
                  <w:r>
                    <w:rPr>
                      <w:rFonts w:hAnsi="宋体"/>
                      <w:szCs w:val="21"/>
                    </w:rPr>
                    <w:t>”。</w:t>
                  </w:r>
                </w:p>
              </w:tc>
            </w:tr>
          </w:tbl>
          <w:p>
            <w:pPr>
              <w:keepNext w:val="0"/>
              <w:keepLines w:val="0"/>
              <w:widowControl/>
              <w:suppressLineNumbers w:val="0"/>
              <w:spacing w:before="0" w:beforeAutospacing="0" w:after="0" w:afterAutospacing="0" w:line="360" w:lineRule="auto"/>
              <w:ind w:left="0" w:right="0"/>
              <w:jc w:val="left"/>
              <w:rPr>
                <w:rFonts w:ascii="宋体" w:hAnsi="宋体"/>
                <w:b/>
                <w:bCs/>
                <w:sz w:val="24"/>
              </w:rPr>
            </w:pPr>
            <w:r>
              <w:rPr>
                <w:rFonts w:hint="eastAsia"/>
                <w:b/>
                <w:bCs/>
                <w:sz w:val="24"/>
              </w:rPr>
              <w:t>8</w:t>
            </w:r>
            <w:r>
              <w:rPr>
                <w:rFonts w:hint="eastAsia" w:ascii="宋体" w:hAnsi="宋体"/>
                <w:b/>
                <w:bCs/>
                <w:sz w:val="24"/>
              </w:rPr>
              <w:t>、给排水</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rFonts w:hint="eastAsia" w:ascii="宋体" w:hAnsi="宋体"/>
                <w:sz w:val="24"/>
              </w:rPr>
              <w:t>①</w:t>
            </w:r>
            <w:r>
              <w:rPr>
                <w:rFonts w:hint="eastAsia"/>
                <w:sz w:val="24"/>
              </w:rPr>
              <w:t>生活用水：项目拟用职工120人，年工作300天，两班制生产，厂内设食堂、员工宿舍，参照《常州市工业和城市生活用水定额》，</w:t>
            </w:r>
            <w:r>
              <w:rPr>
                <w:sz w:val="24"/>
              </w:rPr>
              <w:t>厂区职工生活用水量以100L/d·人计，则生活用水消耗量为3600t/a，生活污水的排放系数取80％，</w:t>
            </w:r>
            <w:r>
              <w:rPr>
                <w:rFonts w:hint="eastAsia"/>
                <w:sz w:val="24"/>
              </w:rPr>
              <w:t>则项目生活污水的排放量为2880t/a</w:t>
            </w:r>
            <w:r>
              <w:rPr>
                <w:sz w:val="24"/>
              </w:rPr>
              <w:t>。</w:t>
            </w:r>
          </w:p>
          <w:p>
            <w:pPr>
              <w:pStyle w:val="2"/>
              <w:keepNext w:val="0"/>
              <w:keepLines w:val="0"/>
              <w:suppressLineNumbers w:val="0"/>
              <w:spacing w:before="0" w:beforeAutospacing="0" w:after="0" w:afterAutospacing="0" w:line="360" w:lineRule="auto"/>
              <w:ind w:left="0" w:leftChars="0" w:right="0" w:rightChars="0" w:firstLine="480" w:firstLineChars="200"/>
              <w:rPr>
                <w:rFonts w:ascii="Times New Roman" w:hAnsi="宋体"/>
                <w:sz w:val="24"/>
              </w:rPr>
            </w:pPr>
            <w:r>
              <w:rPr>
                <w:rFonts w:ascii="Times New Roman" w:hAnsi="宋体"/>
                <w:color w:val="000000"/>
                <w:sz w:val="24"/>
              </w:rPr>
              <w:t>②</w:t>
            </w:r>
            <w:r>
              <w:rPr>
                <w:rFonts w:hint="eastAsia" w:hAnsi="宋体"/>
                <w:sz w:val="24"/>
              </w:rPr>
              <w:t>食堂用水：</w:t>
            </w:r>
            <w:r>
              <w:rPr>
                <w:rFonts w:ascii="Times New Roman" w:hAnsi="宋体"/>
                <w:sz w:val="24"/>
              </w:rPr>
              <w:t>食堂每天用餐员工共约</w:t>
            </w:r>
            <w:r>
              <w:rPr>
                <w:rFonts w:hint="eastAsia" w:ascii="Times New Roman" w:hAnsi="Times New Roman"/>
                <w:sz w:val="24"/>
                <w:lang w:val="en-US" w:eastAsia="zh-CN"/>
              </w:rPr>
              <w:t>24</w:t>
            </w:r>
            <w:r>
              <w:rPr>
                <w:rFonts w:hint="eastAsia" w:ascii="Times New Roman" w:hAnsi="Times New Roman"/>
                <w:sz w:val="24"/>
              </w:rPr>
              <w:t>0</w:t>
            </w:r>
            <w:r>
              <w:rPr>
                <w:rFonts w:ascii="Times New Roman" w:hAnsi="宋体"/>
                <w:sz w:val="24"/>
              </w:rPr>
              <w:t>人次</w:t>
            </w:r>
            <w:r>
              <w:rPr>
                <w:rFonts w:hint="eastAsia" w:ascii="Times New Roman" w:hAnsi="宋体"/>
                <w:sz w:val="24"/>
                <w:lang w:eastAsia="zh-CN"/>
              </w:rPr>
              <w:t>（早晚）</w:t>
            </w:r>
            <w:r>
              <w:rPr>
                <w:rFonts w:ascii="Times New Roman" w:hAnsi="宋体"/>
                <w:sz w:val="24"/>
              </w:rPr>
              <w:t>，按人均用水量</w:t>
            </w:r>
            <w:r>
              <w:rPr>
                <w:rFonts w:ascii="Times New Roman" w:hAnsi="Times New Roman"/>
                <w:sz w:val="24"/>
              </w:rPr>
              <w:t>10L/</w:t>
            </w:r>
            <w:r>
              <w:rPr>
                <w:rFonts w:ascii="Times New Roman" w:hAnsi="宋体"/>
                <w:sz w:val="24"/>
              </w:rPr>
              <w:t>人</w:t>
            </w:r>
            <w:r>
              <w:rPr>
                <w:rFonts w:ascii="Times New Roman" w:hAnsi="Times New Roman"/>
                <w:sz w:val="24"/>
              </w:rPr>
              <w:t>·</w:t>
            </w:r>
            <w:r>
              <w:rPr>
                <w:rFonts w:ascii="Times New Roman" w:hAnsi="宋体"/>
                <w:sz w:val="24"/>
              </w:rPr>
              <w:t>次计算，则总用水量为</w:t>
            </w:r>
            <w:r>
              <w:rPr>
                <w:rFonts w:hint="eastAsia" w:ascii="Times New Roman" w:hAnsi="Times New Roman"/>
                <w:sz w:val="24"/>
                <w:lang w:val="en-US" w:eastAsia="zh-CN"/>
              </w:rPr>
              <w:t>72</w:t>
            </w:r>
            <w:r>
              <w:rPr>
                <w:rFonts w:hint="eastAsia" w:ascii="Times New Roman" w:hAnsi="Times New Roman"/>
                <w:sz w:val="24"/>
              </w:rPr>
              <w:t>0</w:t>
            </w:r>
            <w:r>
              <w:rPr>
                <w:rFonts w:ascii="Times New Roman" w:hAnsi="Times New Roman"/>
                <w:sz w:val="24"/>
              </w:rPr>
              <w:t>m</w:t>
            </w:r>
            <w:r>
              <w:rPr>
                <w:rFonts w:ascii="Times New Roman" w:hAnsi="Times New Roman"/>
                <w:sz w:val="24"/>
                <w:vertAlign w:val="superscript"/>
              </w:rPr>
              <w:t>3</w:t>
            </w:r>
            <w:r>
              <w:rPr>
                <w:rFonts w:ascii="Times New Roman" w:hAnsi="Times New Roman"/>
                <w:sz w:val="24"/>
              </w:rPr>
              <w:t>/a</w:t>
            </w:r>
            <w:r>
              <w:rPr>
                <w:rFonts w:ascii="Times New Roman" w:hAnsi="宋体"/>
                <w:sz w:val="24"/>
              </w:rPr>
              <w:t>，以排放系数</w:t>
            </w:r>
            <w:r>
              <w:rPr>
                <w:rFonts w:ascii="Times New Roman" w:hAnsi="Times New Roman"/>
                <w:sz w:val="24"/>
              </w:rPr>
              <w:t>80%</w:t>
            </w:r>
            <w:r>
              <w:rPr>
                <w:rFonts w:ascii="Times New Roman" w:hAnsi="宋体"/>
                <w:sz w:val="24"/>
              </w:rPr>
              <w:t>计算，排水量为</w:t>
            </w:r>
            <w:r>
              <w:rPr>
                <w:rFonts w:hint="eastAsia" w:ascii="Times New Roman" w:hAnsi="Times New Roman"/>
                <w:sz w:val="24"/>
                <w:lang w:val="en-US" w:eastAsia="zh-CN"/>
              </w:rPr>
              <w:t>576</w:t>
            </w:r>
            <w:r>
              <w:rPr>
                <w:rFonts w:ascii="Times New Roman" w:hAnsi="Times New Roman"/>
                <w:sz w:val="24"/>
              </w:rPr>
              <w:t>m</w:t>
            </w:r>
            <w:r>
              <w:rPr>
                <w:rFonts w:ascii="Times New Roman" w:hAnsi="Times New Roman"/>
                <w:sz w:val="24"/>
                <w:vertAlign w:val="superscript"/>
              </w:rPr>
              <w:t>3</w:t>
            </w:r>
            <w:r>
              <w:rPr>
                <w:rFonts w:ascii="Times New Roman" w:hAnsi="Times New Roman"/>
                <w:sz w:val="24"/>
              </w:rPr>
              <w:t>/a</w:t>
            </w:r>
            <w:r>
              <w:rPr>
                <w:rFonts w:ascii="Times New Roman" w:hAnsi="宋体"/>
                <w:sz w:val="24"/>
              </w:rPr>
              <w:t>。</w:t>
            </w:r>
          </w:p>
          <w:p>
            <w:pPr>
              <w:pStyle w:val="2"/>
              <w:keepNext w:val="0"/>
              <w:keepLines w:val="0"/>
              <w:suppressLineNumbers w:val="0"/>
              <w:spacing w:before="0" w:beforeAutospacing="0" w:after="0" w:afterAutospacing="0" w:line="360" w:lineRule="auto"/>
              <w:ind w:left="0" w:leftChars="0" w:right="0" w:rightChars="0" w:firstLine="480" w:firstLineChars="200"/>
              <w:rPr>
                <w:rFonts w:ascii="Times New Roman" w:hAnsi="Times New Roman"/>
                <w:color w:val="000000"/>
                <w:sz w:val="24"/>
              </w:rPr>
            </w:pPr>
            <w:r>
              <w:rPr>
                <w:rFonts w:hint="eastAsia" w:ascii="宋体" w:hAnsi="宋体"/>
                <w:sz w:val="24"/>
              </w:rPr>
              <w:t>③</w:t>
            </w:r>
            <w:r>
              <w:rPr>
                <w:rFonts w:ascii="Times New Roman" w:hAnsi="宋体"/>
                <w:color w:val="000000"/>
                <w:sz w:val="24"/>
              </w:rPr>
              <w:t>冷却用水：本项目生产过程中注塑</w:t>
            </w:r>
            <w:r>
              <w:rPr>
                <w:rFonts w:hint="eastAsia" w:ascii="Times New Roman" w:hAnsi="宋体"/>
                <w:color w:val="000000"/>
                <w:sz w:val="24"/>
              </w:rPr>
              <w:t>成型</w:t>
            </w:r>
            <w:r>
              <w:rPr>
                <w:rFonts w:ascii="Times New Roman" w:hAnsi="宋体"/>
                <w:color w:val="000000"/>
                <w:sz w:val="24"/>
              </w:rPr>
              <w:t>工序需使用冷却水进行冷却，项目设有</w:t>
            </w:r>
            <w:r>
              <w:rPr>
                <w:rFonts w:hint="eastAsia" w:ascii="Times New Roman" w:hAnsi="Times New Roman"/>
                <w:color w:val="000000"/>
                <w:sz w:val="24"/>
              </w:rPr>
              <w:t>5</w:t>
            </w:r>
            <w:r>
              <w:rPr>
                <w:rFonts w:ascii="Times New Roman" w:hAnsi="宋体"/>
                <w:color w:val="000000"/>
                <w:sz w:val="24"/>
              </w:rPr>
              <w:t>台注塑机，共配有</w:t>
            </w:r>
            <w:r>
              <w:rPr>
                <w:rFonts w:ascii="Times New Roman" w:hAnsi="Times New Roman"/>
                <w:color w:val="000000"/>
                <w:sz w:val="24"/>
              </w:rPr>
              <w:t>1</w:t>
            </w:r>
            <w:r>
              <w:rPr>
                <w:rFonts w:ascii="Times New Roman" w:hAnsi="宋体"/>
                <w:color w:val="000000"/>
                <w:sz w:val="24"/>
              </w:rPr>
              <w:t>台冷水机，</w:t>
            </w:r>
            <w:r>
              <w:rPr>
                <w:rFonts w:hint="eastAsia" w:ascii="Times New Roman" w:hAnsi="宋体"/>
                <w:color w:val="000000"/>
                <w:sz w:val="24"/>
              </w:rPr>
              <w:t>1个冷却池（3m×2.2m×2m），</w:t>
            </w:r>
            <w:r>
              <w:rPr>
                <w:rFonts w:ascii="Times New Roman" w:hAnsi="宋体"/>
                <w:color w:val="000000"/>
                <w:sz w:val="24"/>
              </w:rPr>
              <w:t>冷水机循环水量为</w:t>
            </w:r>
            <w:r>
              <w:rPr>
                <w:rFonts w:ascii="Times New Roman" w:hAnsi="Times New Roman"/>
                <w:color w:val="000000"/>
                <w:sz w:val="24"/>
              </w:rPr>
              <w:t>5t/h</w:t>
            </w:r>
            <w:r>
              <w:rPr>
                <w:rFonts w:ascii="Times New Roman" w:hAnsi="宋体"/>
                <w:color w:val="000000"/>
                <w:sz w:val="24"/>
              </w:rPr>
              <w:t>，由于在循环冷却过程中存在一定量的消耗，需对其补水，根据《工业循环冷却水处理设计规范》（</w:t>
            </w:r>
            <w:r>
              <w:rPr>
                <w:rFonts w:ascii="Times New Roman" w:hAnsi="Times New Roman"/>
                <w:color w:val="000000"/>
                <w:sz w:val="24"/>
              </w:rPr>
              <w:t>GB50050-2007</w:t>
            </w:r>
            <w:r>
              <w:rPr>
                <w:rFonts w:ascii="Times New Roman" w:hAnsi="宋体"/>
                <w:color w:val="000000"/>
                <w:sz w:val="24"/>
              </w:rPr>
              <w:t>）中开式系统补充水计算公式：</w:t>
            </w:r>
          </w:p>
          <w:p>
            <w:pPr>
              <w:pStyle w:val="2"/>
              <w:keepNext w:val="0"/>
              <w:keepLines w:val="0"/>
              <w:suppressLineNumbers w:val="0"/>
              <w:spacing w:before="0" w:beforeAutospacing="0" w:after="0" w:afterAutospacing="0" w:line="360" w:lineRule="auto"/>
              <w:ind w:left="0" w:leftChars="0" w:right="0" w:rightChars="0"/>
              <w:jc w:val="center"/>
              <w:rPr>
                <w:rFonts w:ascii="Times New Roman" w:hAnsi="Times New Roman"/>
                <w:color w:val="000000"/>
                <w:sz w:val="24"/>
              </w:rPr>
            </w:pPr>
            <w:r>
              <w:rPr>
                <w:rFonts w:ascii="Times New Roman" w:hAnsi="Times New Roman"/>
                <w:color w:val="000000"/>
                <w:sz w:val="24"/>
              </w:rPr>
              <w:t>Q</w:t>
            </w:r>
            <w:r>
              <w:rPr>
                <w:rFonts w:ascii="Times New Roman" w:hAnsi="Times New Roman"/>
                <w:color w:val="000000"/>
                <w:sz w:val="24"/>
                <w:vertAlign w:val="subscript"/>
              </w:rPr>
              <w:t>m</w:t>
            </w:r>
            <w:r>
              <w:rPr>
                <w:rFonts w:ascii="Times New Roman" w:hAnsi="Times New Roman"/>
                <w:color w:val="000000"/>
                <w:sz w:val="24"/>
              </w:rPr>
              <w:t>=Q</w:t>
            </w:r>
            <w:r>
              <w:rPr>
                <w:rFonts w:ascii="Times New Roman" w:hAnsi="Times New Roman"/>
                <w:color w:val="000000"/>
                <w:sz w:val="24"/>
                <w:vertAlign w:val="subscript"/>
              </w:rPr>
              <w:t>e</w:t>
            </w:r>
            <w:r>
              <w:rPr>
                <w:rFonts w:ascii="Times New Roman" w:hAnsi="Times New Roman"/>
                <w:color w:val="000000"/>
                <w:sz w:val="24"/>
              </w:rPr>
              <w:t>+Q</w:t>
            </w:r>
            <w:r>
              <w:rPr>
                <w:rFonts w:ascii="Times New Roman" w:hAnsi="Times New Roman"/>
                <w:color w:val="000000"/>
                <w:sz w:val="24"/>
                <w:vertAlign w:val="subscript"/>
              </w:rPr>
              <w:t>b</w:t>
            </w:r>
            <w:r>
              <w:rPr>
                <w:rFonts w:ascii="Times New Roman" w:hAnsi="Times New Roman"/>
                <w:color w:val="000000"/>
                <w:sz w:val="24"/>
              </w:rPr>
              <w:t>+Q</w:t>
            </w:r>
            <w:r>
              <w:rPr>
                <w:rFonts w:ascii="Times New Roman" w:hAnsi="Times New Roman"/>
                <w:color w:val="000000"/>
                <w:sz w:val="24"/>
                <w:vertAlign w:val="subscript"/>
              </w:rPr>
              <w:t>w</w:t>
            </w:r>
          </w:p>
          <w:p>
            <w:pPr>
              <w:pStyle w:val="2"/>
              <w:keepNext w:val="0"/>
              <w:keepLines w:val="0"/>
              <w:suppressLineNumbers w:val="0"/>
              <w:spacing w:before="0" w:beforeAutospacing="0" w:after="0" w:afterAutospacing="0" w:line="360" w:lineRule="auto"/>
              <w:ind w:left="0" w:leftChars="0" w:right="0" w:rightChars="0" w:firstLine="480" w:firstLineChars="200"/>
              <w:rPr>
                <w:rFonts w:ascii="Times New Roman" w:hAnsi="Times New Roman"/>
                <w:color w:val="000000"/>
                <w:sz w:val="24"/>
              </w:rPr>
            </w:pPr>
            <w:r>
              <w:rPr>
                <w:rFonts w:ascii="Times New Roman" w:hAnsi="宋体"/>
                <w:color w:val="000000"/>
                <w:sz w:val="24"/>
              </w:rPr>
              <w:t>式中，</w:t>
            </w:r>
            <w:r>
              <w:rPr>
                <w:rFonts w:ascii="Times New Roman" w:hAnsi="Times New Roman"/>
                <w:color w:val="000000"/>
                <w:sz w:val="24"/>
              </w:rPr>
              <w:t>Q</w:t>
            </w:r>
            <w:r>
              <w:rPr>
                <w:rFonts w:ascii="Times New Roman" w:hAnsi="Times New Roman"/>
                <w:color w:val="000000"/>
                <w:sz w:val="24"/>
                <w:vertAlign w:val="subscript"/>
              </w:rPr>
              <w:t>m</w:t>
            </w:r>
            <w:r>
              <w:rPr>
                <w:rFonts w:ascii="Times New Roman" w:hAnsi="Times New Roman"/>
                <w:color w:val="000000"/>
                <w:sz w:val="24"/>
              </w:rPr>
              <w:t>——</w:t>
            </w:r>
            <w:r>
              <w:rPr>
                <w:rFonts w:ascii="Times New Roman" w:hAnsi="宋体"/>
                <w:color w:val="000000"/>
                <w:sz w:val="24"/>
              </w:rPr>
              <w:t>补充水量（</w:t>
            </w:r>
            <w:r>
              <w:rPr>
                <w:rFonts w:ascii="Times New Roman" w:hAnsi="Times New Roman"/>
                <w:color w:val="000000"/>
                <w:sz w:val="24"/>
              </w:rPr>
              <w:t>m</w:t>
            </w:r>
            <w:r>
              <w:rPr>
                <w:rFonts w:ascii="Times New Roman" w:hAnsi="Times New Roman"/>
                <w:color w:val="000000"/>
                <w:sz w:val="24"/>
                <w:vertAlign w:val="superscript"/>
              </w:rPr>
              <w:t>3</w:t>
            </w:r>
            <w:r>
              <w:rPr>
                <w:rFonts w:ascii="Times New Roman" w:hAnsi="Times New Roman"/>
                <w:color w:val="000000"/>
                <w:sz w:val="24"/>
              </w:rPr>
              <w:t>/h</w:t>
            </w:r>
            <w:r>
              <w:rPr>
                <w:rFonts w:ascii="Times New Roman" w:hAnsi="宋体"/>
                <w:color w:val="000000"/>
                <w:sz w:val="24"/>
              </w:rPr>
              <w:t>）；</w:t>
            </w:r>
          </w:p>
          <w:p>
            <w:pPr>
              <w:pStyle w:val="2"/>
              <w:keepNext w:val="0"/>
              <w:keepLines w:val="0"/>
              <w:suppressLineNumbers w:val="0"/>
              <w:spacing w:before="0" w:beforeAutospacing="0" w:after="0" w:afterAutospacing="0" w:line="360" w:lineRule="auto"/>
              <w:ind w:left="0" w:leftChars="0" w:right="0" w:rightChars="0" w:firstLine="480" w:firstLineChars="200"/>
              <w:rPr>
                <w:rFonts w:ascii="Times New Roman" w:hAnsi="Times New Roman"/>
                <w:color w:val="000000"/>
                <w:sz w:val="24"/>
              </w:rPr>
            </w:pPr>
            <w:r>
              <w:rPr>
                <w:rFonts w:ascii="Times New Roman" w:hAnsi="Times New Roman"/>
                <w:color w:val="000000"/>
                <w:sz w:val="24"/>
              </w:rPr>
              <w:t>Q</w:t>
            </w:r>
            <w:r>
              <w:rPr>
                <w:rFonts w:ascii="Times New Roman" w:hAnsi="Times New Roman"/>
                <w:color w:val="000000"/>
                <w:sz w:val="24"/>
                <w:vertAlign w:val="subscript"/>
              </w:rPr>
              <w:t>e</w:t>
            </w:r>
            <w:r>
              <w:rPr>
                <w:rFonts w:ascii="Times New Roman" w:hAnsi="Times New Roman"/>
                <w:color w:val="000000"/>
                <w:sz w:val="24"/>
              </w:rPr>
              <w:t>——</w:t>
            </w:r>
            <w:r>
              <w:rPr>
                <w:rFonts w:ascii="Times New Roman" w:hAnsi="宋体"/>
                <w:color w:val="000000"/>
                <w:sz w:val="24"/>
              </w:rPr>
              <w:t>蒸发水量（</w:t>
            </w:r>
            <w:r>
              <w:rPr>
                <w:rFonts w:ascii="Times New Roman" w:hAnsi="Times New Roman"/>
                <w:color w:val="000000"/>
                <w:sz w:val="24"/>
              </w:rPr>
              <w:t>m</w:t>
            </w:r>
            <w:r>
              <w:rPr>
                <w:rFonts w:ascii="Times New Roman" w:hAnsi="Times New Roman"/>
                <w:color w:val="000000"/>
                <w:sz w:val="24"/>
                <w:vertAlign w:val="superscript"/>
              </w:rPr>
              <w:t>3</w:t>
            </w:r>
            <w:r>
              <w:rPr>
                <w:rFonts w:ascii="Times New Roman" w:hAnsi="Times New Roman"/>
                <w:color w:val="000000"/>
                <w:sz w:val="24"/>
              </w:rPr>
              <w:t>/h</w:t>
            </w:r>
            <w:r>
              <w:rPr>
                <w:rFonts w:ascii="Times New Roman" w:hAnsi="宋体"/>
                <w:color w:val="000000"/>
                <w:sz w:val="24"/>
              </w:rPr>
              <w:t>），</w:t>
            </w:r>
            <w:r>
              <w:rPr>
                <w:rFonts w:ascii="Times New Roman" w:hAnsi="Times New Roman"/>
                <w:color w:val="000000"/>
                <w:sz w:val="24"/>
              </w:rPr>
              <w:t>Q</w:t>
            </w:r>
            <w:r>
              <w:rPr>
                <w:rFonts w:ascii="Times New Roman" w:hAnsi="Times New Roman"/>
                <w:color w:val="000000"/>
                <w:sz w:val="24"/>
                <w:vertAlign w:val="subscript"/>
              </w:rPr>
              <w:t>e</w:t>
            </w:r>
            <w:r>
              <w:rPr>
                <w:rFonts w:ascii="Times New Roman" w:hAnsi="Times New Roman"/>
                <w:color w:val="000000"/>
                <w:sz w:val="24"/>
              </w:rPr>
              <w:t>=k·</w:t>
            </w:r>
            <w:r>
              <w:rPr>
                <w:rFonts w:ascii="Times New Roman" w:hAnsi="宋体"/>
                <w:color w:val="000000"/>
                <w:sz w:val="24"/>
              </w:rPr>
              <w:t>△</w:t>
            </w:r>
            <w:r>
              <w:rPr>
                <w:rFonts w:ascii="Times New Roman" w:hAnsi="Times New Roman"/>
                <w:color w:val="000000"/>
                <w:sz w:val="24"/>
              </w:rPr>
              <w:t>t·Q</w:t>
            </w:r>
            <w:r>
              <w:rPr>
                <w:rFonts w:ascii="Times New Roman" w:hAnsi="Times New Roman"/>
                <w:color w:val="000000"/>
                <w:sz w:val="24"/>
                <w:vertAlign w:val="subscript"/>
              </w:rPr>
              <w:t>r</w:t>
            </w:r>
            <w:r>
              <w:rPr>
                <w:rFonts w:ascii="Times New Roman" w:hAnsi="宋体"/>
                <w:color w:val="000000"/>
                <w:sz w:val="24"/>
              </w:rPr>
              <w:t>，</w:t>
            </w:r>
            <w:r>
              <w:rPr>
                <w:rFonts w:ascii="Times New Roman" w:hAnsi="Times New Roman"/>
                <w:color w:val="000000"/>
                <w:sz w:val="24"/>
              </w:rPr>
              <w:t>Q</w:t>
            </w:r>
            <w:r>
              <w:rPr>
                <w:rFonts w:ascii="Times New Roman" w:hAnsi="Times New Roman"/>
                <w:color w:val="000000"/>
                <w:sz w:val="24"/>
                <w:vertAlign w:val="subscript"/>
              </w:rPr>
              <w:t>r</w:t>
            </w:r>
            <w:r>
              <w:rPr>
                <w:rFonts w:ascii="Times New Roman" w:hAnsi="宋体"/>
                <w:color w:val="000000"/>
                <w:sz w:val="24"/>
              </w:rPr>
              <w:t>为循环冷却水量（</w:t>
            </w:r>
            <w:r>
              <w:rPr>
                <w:rFonts w:ascii="Times New Roman" w:hAnsi="Times New Roman"/>
                <w:color w:val="000000"/>
                <w:sz w:val="24"/>
              </w:rPr>
              <w:t>m</w:t>
            </w:r>
            <w:r>
              <w:rPr>
                <w:rFonts w:ascii="Times New Roman" w:hAnsi="Times New Roman"/>
                <w:color w:val="000000"/>
                <w:sz w:val="24"/>
                <w:vertAlign w:val="superscript"/>
              </w:rPr>
              <w:t>3</w:t>
            </w:r>
            <w:r>
              <w:rPr>
                <w:rFonts w:ascii="Times New Roman" w:hAnsi="Times New Roman"/>
                <w:color w:val="000000"/>
                <w:sz w:val="24"/>
              </w:rPr>
              <w:t>/h</w:t>
            </w:r>
            <w:r>
              <w:rPr>
                <w:rFonts w:ascii="Times New Roman" w:hAnsi="宋体"/>
                <w:color w:val="000000"/>
                <w:sz w:val="24"/>
              </w:rPr>
              <w:t>），本项目冷却机循环水量</w:t>
            </w:r>
            <w:r>
              <w:rPr>
                <w:rFonts w:hint="eastAsia" w:ascii="Times New Roman" w:hAnsi="宋体"/>
                <w:color w:val="000000"/>
                <w:sz w:val="24"/>
              </w:rPr>
              <w:t>为</w:t>
            </w:r>
            <w:r>
              <w:rPr>
                <w:rFonts w:hint="eastAsia" w:ascii="Times New Roman" w:hAnsi="Times New Roman"/>
                <w:color w:val="000000"/>
                <w:sz w:val="24"/>
              </w:rPr>
              <w:t>5</w:t>
            </w:r>
            <w:r>
              <w:rPr>
                <w:rFonts w:ascii="Times New Roman" w:hAnsi="Times New Roman"/>
                <w:color w:val="000000"/>
                <w:sz w:val="24"/>
              </w:rPr>
              <w:t>m</w:t>
            </w:r>
            <w:r>
              <w:rPr>
                <w:rFonts w:ascii="Times New Roman" w:hAnsi="Times New Roman"/>
                <w:color w:val="000000"/>
                <w:sz w:val="24"/>
                <w:vertAlign w:val="superscript"/>
              </w:rPr>
              <w:t>3</w:t>
            </w:r>
            <w:r>
              <w:rPr>
                <w:rFonts w:ascii="Times New Roman" w:hAnsi="Times New Roman"/>
                <w:color w:val="000000"/>
                <w:sz w:val="24"/>
              </w:rPr>
              <w:t>/h</w:t>
            </w:r>
            <w:r>
              <w:rPr>
                <w:rFonts w:ascii="Times New Roman" w:hAnsi="宋体"/>
                <w:color w:val="000000"/>
                <w:sz w:val="24"/>
              </w:rPr>
              <w:t>，</w:t>
            </w:r>
            <w:r>
              <w:rPr>
                <w:rFonts w:ascii="Times New Roman" w:hAnsi="Times New Roman"/>
                <w:color w:val="000000"/>
                <w:sz w:val="24"/>
              </w:rPr>
              <w:t>k</w:t>
            </w:r>
            <w:r>
              <w:rPr>
                <w:rFonts w:ascii="Times New Roman" w:hAnsi="宋体"/>
                <w:color w:val="000000"/>
                <w:sz w:val="24"/>
              </w:rPr>
              <w:t>取</w:t>
            </w:r>
            <w:r>
              <w:rPr>
                <w:rFonts w:ascii="Times New Roman" w:hAnsi="Times New Roman"/>
                <w:color w:val="000000"/>
                <w:sz w:val="24"/>
              </w:rPr>
              <w:t>0.0014</w:t>
            </w:r>
            <w:r>
              <w:rPr>
                <w:rFonts w:ascii="Times New Roman" w:hAnsi="宋体"/>
                <w:color w:val="000000"/>
                <w:sz w:val="24"/>
              </w:rPr>
              <w:t>（气温</w:t>
            </w:r>
            <w:r>
              <w:rPr>
                <w:rFonts w:ascii="Times New Roman" w:hAnsi="Times New Roman"/>
                <w:color w:val="000000"/>
                <w:sz w:val="24"/>
              </w:rPr>
              <w:t>20</w:t>
            </w:r>
            <w:r>
              <w:rPr>
                <w:rFonts w:ascii="Times New Roman" w:hAnsi="宋体"/>
                <w:color w:val="000000"/>
                <w:sz w:val="24"/>
              </w:rPr>
              <w:t>℃），△</w:t>
            </w:r>
            <w:r>
              <w:rPr>
                <w:rFonts w:ascii="Times New Roman" w:hAnsi="Times New Roman"/>
                <w:color w:val="000000"/>
                <w:sz w:val="24"/>
              </w:rPr>
              <w:t>t</w:t>
            </w:r>
            <w:r>
              <w:rPr>
                <w:rFonts w:ascii="Times New Roman" w:hAnsi="宋体"/>
                <w:color w:val="000000"/>
                <w:sz w:val="24"/>
              </w:rPr>
              <w:t>为冷却水温差，本项目取</w:t>
            </w:r>
            <w:r>
              <w:rPr>
                <w:rFonts w:ascii="Times New Roman" w:hAnsi="Times New Roman"/>
                <w:color w:val="000000"/>
                <w:sz w:val="24"/>
              </w:rPr>
              <w:t>5</w:t>
            </w:r>
            <w:r>
              <w:rPr>
                <w:rFonts w:ascii="Times New Roman" w:hAnsi="宋体"/>
                <w:color w:val="000000"/>
                <w:sz w:val="24"/>
              </w:rPr>
              <w:t>；</w:t>
            </w:r>
          </w:p>
          <w:p>
            <w:pPr>
              <w:pStyle w:val="2"/>
              <w:keepNext w:val="0"/>
              <w:keepLines w:val="0"/>
              <w:suppressLineNumbers w:val="0"/>
              <w:spacing w:before="0" w:beforeAutospacing="0" w:after="0" w:afterAutospacing="0" w:line="360" w:lineRule="auto"/>
              <w:ind w:left="0" w:leftChars="0" w:right="0" w:rightChars="0" w:firstLine="480" w:firstLineChars="200"/>
              <w:rPr>
                <w:rFonts w:ascii="Times New Roman" w:hAnsi="Times New Roman"/>
                <w:color w:val="000000"/>
                <w:sz w:val="24"/>
              </w:rPr>
            </w:pPr>
            <w:r>
              <w:rPr>
                <w:rFonts w:ascii="Times New Roman" w:hAnsi="Times New Roman"/>
                <w:color w:val="000000"/>
                <w:sz w:val="24"/>
              </w:rPr>
              <w:t>Q</w:t>
            </w:r>
            <w:r>
              <w:rPr>
                <w:rFonts w:ascii="Times New Roman" w:hAnsi="Times New Roman"/>
                <w:color w:val="000000"/>
                <w:sz w:val="24"/>
                <w:vertAlign w:val="subscript"/>
              </w:rPr>
              <w:t>b</w:t>
            </w:r>
            <w:r>
              <w:rPr>
                <w:rFonts w:ascii="Times New Roman" w:hAnsi="Times New Roman"/>
                <w:color w:val="000000"/>
                <w:sz w:val="24"/>
              </w:rPr>
              <w:t>——</w:t>
            </w:r>
            <w:r>
              <w:rPr>
                <w:rFonts w:ascii="Times New Roman" w:hAnsi="宋体"/>
                <w:color w:val="000000"/>
                <w:sz w:val="24"/>
              </w:rPr>
              <w:t>排污水量（</w:t>
            </w:r>
            <w:r>
              <w:rPr>
                <w:rFonts w:ascii="Times New Roman" w:hAnsi="Times New Roman"/>
                <w:color w:val="000000"/>
                <w:sz w:val="24"/>
              </w:rPr>
              <w:t>m</w:t>
            </w:r>
            <w:r>
              <w:rPr>
                <w:rFonts w:ascii="Times New Roman" w:hAnsi="Times New Roman"/>
                <w:color w:val="000000"/>
                <w:sz w:val="24"/>
                <w:vertAlign w:val="superscript"/>
              </w:rPr>
              <w:t>3</w:t>
            </w:r>
            <w:r>
              <w:rPr>
                <w:rFonts w:ascii="Times New Roman" w:hAnsi="Times New Roman"/>
                <w:color w:val="000000"/>
                <w:sz w:val="24"/>
              </w:rPr>
              <w:t>/h</w:t>
            </w:r>
            <w:r>
              <w:rPr>
                <w:rFonts w:ascii="Times New Roman" w:hAnsi="宋体"/>
                <w:color w:val="000000"/>
                <w:sz w:val="24"/>
              </w:rPr>
              <w:t>），本项目取</w:t>
            </w:r>
            <w:r>
              <w:rPr>
                <w:rFonts w:ascii="Times New Roman" w:hAnsi="Times New Roman"/>
                <w:color w:val="000000"/>
                <w:sz w:val="24"/>
              </w:rPr>
              <w:t>0</w:t>
            </w:r>
            <w:r>
              <w:rPr>
                <w:rFonts w:ascii="Times New Roman" w:hAnsi="宋体"/>
                <w:color w:val="000000"/>
                <w:sz w:val="24"/>
              </w:rPr>
              <w:t>；</w:t>
            </w:r>
          </w:p>
          <w:p>
            <w:pPr>
              <w:pStyle w:val="2"/>
              <w:keepNext w:val="0"/>
              <w:keepLines w:val="0"/>
              <w:suppressLineNumbers w:val="0"/>
              <w:spacing w:before="0" w:beforeAutospacing="0" w:after="0" w:afterAutospacing="0" w:line="360" w:lineRule="auto"/>
              <w:ind w:left="0" w:leftChars="0" w:right="0" w:rightChars="0" w:firstLine="480" w:firstLineChars="200"/>
              <w:rPr>
                <w:rFonts w:ascii="Times New Roman" w:hAnsi="Times New Roman"/>
                <w:color w:val="000000"/>
                <w:sz w:val="24"/>
              </w:rPr>
            </w:pPr>
            <w:r>
              <w:rPr>
                <w:rFonts w:ascii="Times New Roman" w:hAnsi="Times New Roman"/>
                <w:color w:val="000000"/>
                <w:sz w:val="24"/>
              </w:rPr>
              <w:t>Q</w:t>
            </w:r>
            <w:r>
              <w:rPr>
                <w:rFonts w:ascii="Times New Roman" w:hAnsi="Times New Roman"/>
                <w:color w:val="000000"/>
                <w:sz w:val="24"/>
                <w:vertAlign w:val="subscript"/>
              </w:rPr>
              <w:t>w</w:t>
            </w:r>
            <w:r>
              <w:rPr>
                <w:rFonts w:ascii="Times New Roman" w:hAnsi="Times New Roman"/>
                <w:color w:val="000000"/>
                <w:sz w:val="24"/>
              </w:rPr>
              <w:t>——</w:t>
            </w:r>
            <w:r>
              <w:rPr>
                <w:rFonts w:ascii="Times New Roman" w:hAnsi="宋体"/>
                <w:color w:val="000000"/>
                <w:sz w:val="24"/>
              </w:rPr>
              <w:t>蒸风吹损失水量（</w:t>
            </w:r>
            <w:r>
              <w:rPr>
                <w:rFonts w:ascii="Times New Roman" w:hAnsi="Times New Roman"/>
                <w:color w:val="000000"/>
                <w:sz w:val="24"/>
              </w:rPr>
              <w:t>m</w:t>
            </w:r>
            <w:r>
              <w:rPr>
                <w:rFonts w:ascii="Times New Roman" w:hAnsi="Times New Roman"/>
                <w:color w:val="000000"/>
                <w:sz w:val="24"/>
                <w:vertAlign w:val="superscript"/>
              </w:rPr>
              <w:t>3</w:t>
            </w:r>
            <w:r>
              <w:rPr>
                <w:rFonts w:ascii="Times New Roman" w:hAnsi="Times New Roman"/>
                <w:color w:val="000000"/>
                <w:sz w:val="24"/>
              </w:rPr>
              <w:t>/h</w:t>
            </w:r>
            <w:r>
              <w:rPr>
                <w:rFonts w:ascii="Times New Roman" w:hAnsi="宋体"/>
                <w:color w:val="000000"/>
                <w:sz w:val="24"/>
              </w:rPr>
              <w:t>），本项目取</w:t>
            </w:r>
            <w:r>
              <w:rPr>
                <w:rFonts w:ascii="Times New Roman" w:hAnsi="Times New Roman"/>
                <w:color w:val="000000"/>
                <w:sz w:val="24"/>
              </w:rPr>
              <w:t>0</w:t>
            </w:r>
            <w:r>
              <w:rPr>
                <w:rFonts w:ascii="Times New Roman" w:hAnsi="宋体"/>
                <w:color w:val="000000"/>
                <w:sz w:val="24"/>
              </w:rPr>
              <w:t>。</w:t>
            </w:r>
          </w:p>
          <w:p>
            <w:pPr>
              <w:pStyle w:val="2"/>
              <w:keepNext w:val="0"/>
              <w:keepLines w:val="0"/>
              <w:suppressLineNumbers w:val="0"/>
              <w:spacing w:before="0" w:beforeAutospacing="0" w:after="0" w:afterAutospacing="0" w:line="360" w:lineRule="auto"/>
              <w:ind w:left="0" w:leftChars="0" w:right="0" w:rightChars="0" w:firstLine="480" w:firstLineChars="200"/>
              <w:rPr>
                <w:rFonts w:ascii="Times New Roman" w:hAnsi="宋体"/>
                <w:sz w:val="24"/>
              </w:rPr>
            </w:pPr>
            <w:r>
              <w:rPr>
                <w:rFonts w:ascii="Times New Roman" w:hAnsi="宋体"/>
                <w:color w:val="000000"/>
                <w:sz w:val="24"/>
              </w:rPr>
              <w:t>经计算本项目冷却水需补充水量为</w:t>
            </w:r>
            <w:r>
              <w:rPr>
                <w:rFonts w:ascii="Times New Roman" w:hAnsi="Times New Roman"/>
                <w:color w:val="000000"/>
                <w:sz w:val="24"/>
              </w:rPr>
              <w:t>0.</w:t>
            </w:r>
            <w:r>
              <w:rPr>
                <w:rFonts w:hint="eastAsia" w:ascii="Times New Roman" w:hAnsi="Times New Roman"/>
                <w:color w:val="000000"/>
                <w:sz w:val="24"/>
              </w:rPr>
              <w:t>035</w:t>
            </w:r>
            <w:r>
              <w:rPr>
                <w:rFonts w:ascii="Times New Roman" w:hAnsi="Times New Roman"/>
                <w:color w:val="000000"/>
                <w:sz w:val="24"/>
              </w:rPr>
              <w:t>m</w:t>
            </w:r>
            <w:r>
              <w:rPr>
                <w:rFonts w:ascii="Times New Roman" w:hAnsi="Times New Roman"/>
                <w:color w:val="000000"/>
                <w:sz w:val="24"/>
                <w:vertAlign w:val="superscript"/>
              </w:rPr>
              <w:t>3</w:t>
            </w:r>
            <w:r>
              <w:rPr>
                <w:rFonts w:ascii="Times New Roman" w:hAnsi="Times New Roman"/>
                <w:color w:val="000000"/>
                <w:sz w:val="24"/>
              </w:rPr>
              <w:t>/h</w:t>
            </w:r>
            <w:r>
              <w:rPr>
                <w:rFonts w:ascii="Times New Roman" w:hAnsi="宋体"/>
                <w:color w:val="000000"/>
                <w:sz w:val="24"/>
              </w:rPr>
              <w:t>，</w:t>
            </w:r>
            <w:r>
              <w:rPr>
                <w:rFonts w:hint="eastAsia" w:ascii="Times New Roman" w:hAnsi="宋体"/>
                <w:color w:val="000000"/>
                <w:sz w:val="24"/>
              </w:rPr>
              <w:t>注塑机</w:t>
            </w:r>
            <w:r>
              <w:rPr>
                <w:rFonts w:ascii="Times New Roman" w:hAnsi="宋体"/>
                <w:color w:val="000000"/>
                <w:sz w:val="24"/>
              </w:rPr>
              <w:t>年工作时间按</w:t>
            </w:r>
            <w:r>
              <w:rPr>
                <w:rFonts w:hint="eastAsia" w:ascii="Times New Roman" w:hAnsi="Times New Roman"/>
                <w:color w:val="000000"/>
                <w:sz w:val="24"/>
              </w:rPr>
              <w:t>3</w:t>
            </w:r>
            <w:r>
              <w:rPr>
                <w:rFonts w:hint="eastAsia" w:ascii="Times New Roman" w:hAnsi="Times New Roman"/>
                <w:color w:val="000000"/>
                <w:sz w:val="24"/>
                <w:lang w:val="en-US" w:eastAsia="zh-CN"/>
              </w:rPr>
              <w:t>0</w:t>
            </w:r>
            <w:r>
              <w:rPr>
                <w:rFonts w:ascii="Times New Roman" w:hAnsi="Times New Roman"/>
                <w:color w:val="000000"/>
                <w:sz w:val="24"/>
              </w:rPr>
              <w:t>00h</w:t>
            </w:r>
            <w:r>
              <w:rPr>
                <w:rFonts w:ascii="Times New Roman" w:hAnsi="宋体"/>
                <w:color w:val="000000"/>
                <w:sz w:val="24"/>
              </w:rPr>
              <w:t>计，则需年补充冷却水量为</w:t>
            </w:r>
            <w:r>
              <w:rPr>
                <w:rFonts w:hint="eastAsia" w:ascii="Times New Roman" w:hAnsi="Times New Roman"/>
                <w:color w:val="000000"/>
                <w:sz w:val="24"/>
                <w:lang w:val="en-US" w:eastAsia="zh-CN"/>
              </w:rPr>
              <w:t>105</w:t>
            </w:r>
            <w:r>
              <w:rPr>
                <w:rFonts w:ascii="Times New Roman" w:hAnsi="Times New Roman"/>
                <w:color w:val="000000"/>
                <w:sz w:val="24"/>
              </w:rPr>
              <w:t>m</w:t>
            </w:r>
            <w:r>
              <w:rPr>
                <w:rFonts w:ascii="Times New Roman" w:hAnsi="Times New Roman"/>
                <w:color w:val="000000"/>
                <w:sz w:val="24"/>
                <w:vertAlign w:val="superscript"/>
              </w:rPr>
              <w:t>3</w:t>
            </w:r>
            <w:r>
              <w:rPr>
                <w:rFonts w:ascii="Times New Roman" w:hAnsi="宋体"/>
                <w:color w:val="000000"/>
                <w:sz w:val="24"/>
              </w:rPr>
              <w:t>，本项目冷却水循环使用，不外排。</w:t>
            </w:r>
          </w:p>
          <w:p>
            <w:pPr>
              <w:keepNext w:val="0"/>
              <w:keepLines w:val="0"/>
              <w:suppressLineNumbers w:val="0"/>
              <w:adjustRightInd w:val="0"/>
              <w:snapToGrid w:val="0"/>
              <w:spacing w:before="0" w:beforeAutospacing="0" w:after="0" w:afterAutospacing="0" w:line="360" w:lineRule="auto"/>
              <w:ind w:left="0" w:right="0" w:firstLine="480" w:firstLineChars="200"/>
              <w:jc w:val="left"/>
              <w:rPr>
                <w:sz w:val="24"/>
              </w:rPr>
            </w:pPr>
            <w:r>
              <w:rPr>
                <w:rFonts w:hAnsi="宋体"/>
                <w:sz w:val="24"/>
              </w:rPr>
              <w:t>本项目水平衡图如下（单位：</w:t>
            </w:r>
            <w:r>
              <w:rPr>
                <w:sz w:val="24"/>
              </w:rPr>
              <w:t>t/a）：</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firstLineChars="0"/>
              <w:jc w:val="left"/>
              <w:textAlignment w:val="auto"/>
              <w:rPr>
                <w:b/>
                <w:sz w:val="24"/>
              </w:rPr>
            </w:pPr>
          </w:p>
          <w:p>
            <w:pPr>
              <w:keepNext w:val="0"/>
              <w:keepLines w:val="0"/>
              <w:suppressLineNumbers w:val="0"/>
              <w:adjustRightInd w:val="0"/>
              <w:snapToGrid w:val="0"/>
              <w:spacing w:before="0" w:beforeAutospacing="0" w:after="0" w:afterAutospacing="0" w:line="360" w:lineRule="auto"/>
              <w:ind w:left="0" w:right="0"/>
              <w:jc w:val="center"/>
              <w:rPr>
                <w:rFonts w:hint="eastAsia"/>
                <w:b/>
                <w:sz w:val="24"/>
              </w:rPr>
            </w:pPr>
          </w:p>
          <w:p>
            <w:pPr>
              <w:keepNext w:val="0"/>
              <w:keepLines w:val="0"/>
              <w:suppressLineNumbers w:val="0"/>
              <w:adjustRightInd w:val="0"/>
              <w:snapToGrid w:val="0"/>
              <w:spacing w:before="0" w:beforeAutospacing="0" w:after="0" w:afterAutospacing="0" w:line="360" w:lineRule="auto"/>
              <w:ind w:left="0" w:right="0"/>
              <w:jc w:val="center"/>
              <w:rPr>
                <w:rFonts w:hint="eastAsia"/>
                <w:b/>
                <w:sz w:val="24"/>
              </w:rPr>
            </w:pPr>
          </w:p>
          <w:p>
            <w:pPr>
              <w:keepNext w:val="0"/>
              <w:keepLines w:val="0"/>
              <w:suppressLineNumbers w:val="0"/>
              <w:adjustRightInd w:val="0"/>
              <w:snapToGrid w:val="0"/>
              <w:spacing w:before="0" w:beforeAutospacing="0" w:after="0" w:afterAutospacing="0" w:line="360" w:lineRule="auto"/>
              <w:ind w:left="0" w:right="0"/>
              <w:jc w:val="center"/>
              <w:rPr>
                <w:rFonts w:hint="eastAsia"/>
                <w:b/>
                <w:sz w:val="24"/>
              </w:rPr>
            </w:pPr>
          </w:p>
          <w:p>
            <w:pPr>
              <w:keepNext w:val="0"/>
              <w:keepLines w:val="0"/>
              <w:suppressLineNumbers w:val="0"/>
              <w:adjustRightInd w:val="0"/>
              <w:snapToGrid w:val="0"/>
              <w:spacing w:before="0" w:beforeAutospacing="0" w:after="0" w:afterAutospacing="0" w:line="360" w:lineRule="auto"/>
              <w:ind w:left="0" w:right="0"/>
              <w:jc w:val="center"/>
              <w:rPr>
                <w:rFonts w:hint="eastAsia"/>
                <w:b/>
                <w:sz w:val="24"/>
              </w:rPr>
            </w:pPr>
          </w:p>
          <w:p>
            <w:pPr>
              <w:keepNext w:val="0"/>
              <w:keepLines w:val="0"/>
              <w:suppressLineNumbers w:val="0"/>
              <w:adjustRightInd w:val="0"/>
              <w:snapToGrid w:val="0"/>
              <w:spacing w:before="0" w:beforeAutospacing="0" w:after="0" w:afterAutospacing="0" w:line="360" w:lineRule="auto"/>
              <w:ind w:left="0" w:right="0"/>
              <w:jc w:val="center"/>
              <w:rPr>
                <w:rFonts w:hint="eastAsia"/>
                <w:b/>
                <w:sz w:val="24"/>
              </w:rPr>
            </w:pPr>
          </w:p>
          <w:p>
            <w:pPr>
              <w:pStyle w:val="2"/>
              <w:keepNext w:val="0"/>
              <w:keepLines w:val="0"/>
              <w:suppressLineNumbers w:val="0"/>
              <w:spacing w:before="0" w:beforeAutospacing="0" w:afterAutospacing="0"/>
              <w:rPr>
                <w:rFonts w:hint="eastAsia"/>
                <w:b/>
                <w:sz w:val="24"/>
              </w:rPr>
            </w:pPr>
          </w:p>
          <w:p>
            <w:pPr>
              <w:pStyle w:val="2"/>
              <w:keepNext w:val="0"/>
              <w:keepLines w:val="0"/>
              <w:suppressLineNumbers w:val="0"/>
              <w:spacing w:before="0" w:beforeAutospacing="0" w:afterAutospacing="0"/>
              <w:rPr>
                <w:rFonts w:hint="eastAsia"/>
                <w:b/>
                <w:sz w:val="24"/>
              </w:rPr>
            </w:pPr>
          </w:p>
          <w:p>
            <w:pPr>
              <w:pStyle w:val="2"/>
              <w:keepNext w:val="0"/>
              <w:keepLines w:val="0"/>
              <w:suppressLineNumbers w:val="0"/>
              <w:spacing w:before="0" w:beforeAutospacing="0" w:afterAutospacing="0"/>
              <w:rPr>
                <w:rFonts w:hint="eastAsia"/>
                <w:b/>
                <w:sz w:val="24"/>
              </w:rPr>
            </w:pPr>
          </w:p>
          <w:p>
            <w:pPr>
              <w:pStyle w:val="2"/>
              <w:keepNext w:val="0"/>
              <w:keepLines w:val="0"/>
              <w:suppressLineNumbers w:val="0"/>
              <w:spacing w:before="0" w:beforeAutospacing="0" w:afterAutospacing="0"/>
              <w:rPr>
                <w:rFonts w:hint="eastAsia"/>
                <w:b/>
                <w:sz w:val="24"/>
              </w:rPr>
            </w:pPr>
          </w:p>
          <w:p>
            <w:pPr>
              <w:pStyle w:val="2"/>
              <w:keepNext w:val="0"/>
              <w:keepLines w:val="0"/>
              <w:suppressLineNumbers w:val="0"/>
              <w:spacing w:before="0" w:beforeAutospacing="0" w:afterAutospacing="0"/>
              <w:rPr>
                <w:rFonts w:hint="eastAsia"/>
                <w:b/>
                <w:sz w:val="24"/>
              </w:rPr>
            </w:pPr>
          </w:p>
          <w:p>
            <w:pPr>
              <w:pStyle w:val="2"/>
              <w:keepNext w:val="0"/>
              <w:keepLines w:val="0"/>
              <w:suppressLineNumbers w:val="0"/>
              <w:spacing w:before="0" w:beforeAutospacing="0" w:afterAutospacing="0"/>
              <w:rPr>
                <w:rFonts w:hint="eastAsia"/>
                <w:b/>
                <w:sz w:val="24"/>
              </w:rPr>
            </w:pPr>
          </w:p>
          <w:p>
            <w:pPr>
              <w:pStyle w:val="2"/>
              <w:keepNext w:val="0"/>
              <w:keepLines w:val="0"/>
              <w:suppressLineNumbers w:val="0"/>
              <w:spacing w:before="0" w:beforeAutospacing="0" w:afterAutospacing="0"/>
              <w:rPr>
                <w:rFonts w:hint="eastAsia"/>
                <w:b/>
                <w:sz w:val="24"/>
              </w:rPr>
            </w:pPr>
          </w:p>
          <w:p>
            <w:pPr>
              <w:pStyle w:val="2"/>
              <w:keepNext w:val="0"/>
              <w:keepLines w:val="0"/>
              <w:suppressLineNumbers w:val="0"/>
              <w:spacing w:before="0" w:beforeAutospacing="0" w:afterAutospacing="0"/>
              <w:rPr>
                <w:rFonts w:hint="eastAsia"/>
                <w:b/>
                <w:sz w:val="24"/>
              </w:rPr>
            </w:pPr>
          </w:p>
          <w:p>
            <w:pPr>
              <w:pStyle w:val="2"/>
              <w:keepNext w:val="0"/>
              <w:keepLines w:val="0"/>
              <w:suppressLineNumbers w:val="0"/>
              <w:spacing w:before="0" w:beforeAutospacing="0" w:afterAutospacing="0"/>
              <w:rPr>
                <w:rFonts w:hint="eastAsia"/>
                <w:b/>
                <w:sz w:val="24"/>
              </w:rPr>
            </w:pPr>
          </w:p>
          <w:p>
            <w:pPr>
              <w:keepNext w:val="0"/>
              <w:keepLines w:val="0"/>
              <w:suppressLineNumbers w:val="0"/>
              <w:adjustRightInd w:val="0"/>
              <w:snapToGrid w:val="0"/>
              <w:spacing w:before="0" w:beforeAutospacing="0" w:after="0" w:afterAutospacing="0" w:line="360" w:lineRule="auto"/>
              <w:ind w:left="0" w:right="0"/>
              <w:jc w:val="center"/>
              <w:rPr>
                <w:rFonts w:hint="eastAsia"/>
                <w:b/>
                <w:sz w:val="24"/>
              </w:rPr>
            </w:pPr>
          </w:p>
          <w:p>
            <w:pPr>
              <w:keepNext w:val="0"/>
              <w:keepLines w:val="0"/>
              <w:suppressLineNumbers w:val="0"/>
              <w:adjustRightInd w:val="0"/>
              <w:snapToGrid w:val="0"/>
              <w:spacing w:before="0" w:beforeAutospacing="0" w:after="0" w:afterAutospacing="0" w:line="360" w:lineRule="auto"/>
              <w:ind w:left="0" w:right="0"/>
              <w:jc w:val="center"/>
              <w:rPr>
                <w:b/>
                <w:sz w:val="24"/>
              </w:rPr>
            </w:pPr>
            <w:r>
              <w:rPr>
                <w:rFonts w:ascii="宋体" w:hAnsi="宋体"/>
                <w:sz w:val="24"/>
              </w:rPr>
              <w:pict>
                <v:group id="_x0000_s2110" o:spid="_x0000_s2110" o:spt="203" style="height:226.85pt;width:421.75pt;" coordorigin="1655,2842" coordsize="8435,4537" editas="canvas">
                  <o:lock v:ext="edit"/>
                  <v:shape id="_x0000_s2111" o:spid="_x0000_s2111" o:spt="75" type="#_x0000_t75" style="position:absolute;left:1655;top:2842;height:4537;width:8435;" filled="f" stroked="f" coordsize="21600,21600">
                    <v:path/>
                    <v:fill on="f" focussize="0,0"/>
                    <v:stroke on="f"/>
                    <v:imagedata o:title=""/>
                    <o:lock v:ext="edit" text="t" aspectratio="t"/>
                  </v:shape>
                  <v:shape id="_x0000_s2112" o:spid="_x0000_s2112" o:spt="202" type="#_x0000_t202" style="position:absolute;left:1857;top:4888;height:499;width:923;" filled="f" stroked="f" coordsize="21600,21600">
                    <v:path/>
                    <v:fill on="f" focussize="0,0"/>
                    <v:stroke on="f"/>
                    <v:imagedata o:title=""/>
                    <o:lock v:ext="edit" aspectratio="f"/>
                    <v:textbox>
                      <w:txbxContent>
                        <w:p>
                          <w:r>
                            <w:rPr>
                              <w:rFonts w:hint="eastAsia"/>
                            </w:rPr>
                            <w:t>自来水</w:t>
                          </w:r>
                        </w:p>
                      </w:txbxContent>
                    </v:textbox>
                  </v:shape>
                  <v:shape id="_x0000_s2113" o:spid="_x0000_s2113" o:spt="32" type="#_x0000_t32" style="position:absolute;left:3361;top:3853;height:1;width:709;" filled="f" stroked="t" coordsize="21600,21600">
                    <v:path arrowok="t"/>
                    <v:fill on="f" focussize="0,0"/>
                    <v:stroke color="#000000" endarrow="block"/>
                    <v:imagedata o:title=""/>
                    <o:lock v:ext="edit" aspectratio="f"/>
                  </v:shape>
                  <v:shape id="_x0000_s2114" o:spid="_x0000_s2114" o:spt="202" type="#_x0000_t202" style="position:absolute;left:4070;top:3681;height:416;width:1160;" fillcolor="#FFFFFF" filled="t" stroked="t" coordsize="21600,21600">
                    <v:path/>
                    <v:fill on="t" color2="#FFFFFF" focussize="0,0"/>
                    <v:stroke color="#000000" joinstyle="miter"/>
                    <v:imagedata o:title=""/>
                    <o:lock v:ext="edit" aspectratio="f"/>
                    <v:textbox>
                      <w:txbxContent>
                        <w:p>
                          <w:r>
                            <w:rPr>
                              <w:rFonts w:hint="eastAsia"/>
                            </w:rPr>
                            <w:t>生活用水</w:t>
                          </w:r>
                        </w:p>
                      </w:txbxContent>
                    </v:textbox>
                  </v:shape>
                  <v:shape id="_x0000_s2115" o:spid="_x0000_s2115" o:spt="202" type="#_x0000_t202" style="position:absolute;left:5563;top:6567;height:424;width:1473;" filled="f" stroked="f" coordsize="21600,21600">
                    <v:path/>
                    <v:fill on="f" focussize="0,0"/>
                    <v:stroke on="f"/>
                    <v:imagedata o:title=""/>
                    <o:lock v:ext="edit" aspectratio="f"/>
                    <v:textbox>
                      <w:txbxContent>
                        <w:p>
                          <w:r>
                            <w:rPr>
                              <w:rFonts w:hint="eastAsia"/>
                            </w:rPr>
                            <w:t>循环1</w:t>
                          </w:r>
                          <w:r>
                            <w:rPr>
                              <w:rFonts w:hint="eastAsia"/>
                              <w:lang w:val="en-US" w:eastAsia="zh-CN"/>
                            </w:rPr>
                            <w:t>5</w:t>
                          </w:r>
                          <w:r>
                            <w:rPr>
                              <w:rFonts w:hint="eastAsia"/>
                            </w:rPr>
                            <w:t>000</w:t>
                          </w:r>
                        </w:p>
                      </w:txbxContent>
                    </v:textbox>
                  </v:shape>
                  <v:shape id="_x0000_s2116" o:spid="_x0000_s2116" o:spt="32" type="#_x0000_t32" style="position:absolute;left:4650;top:3324;flip:y;height:357;width:194;" filled="f" stroked="t" coordsize="21600,21600">
                    <v:path arrowok="t"/>
                    <v:fill on="f" focussize="0,0"/>
                    <v:stroke color="#000000"/>
                    <v:imagedata o:title=""/>
                    <o:lock v:ext="edit" aspectratio="f"/>
                  </v:shape>
                  <v:shape id="_x0000_s2133" o:spid="_x0000_s2133" o:spt="32" type="#_x0000_t32" style="position:absolute;left:4844;top:3324;height:226;width:2;" filled="f" stroked="t" coordsize="21600,21600">
                    <v:path arrowok="t"/>
                    <v:fill on="f" focussize="0,0"/>
                    <v:stroke color="#000000"/>
                    <v:imagedata o:title=""/>
                    <o:lock v:ext="edit" aspectratio="f"/>
                  </v:shape>
                  <v:shape id="_x0000_s2134" o:spid="_x0000_s2134" o:spt="32" type="#_x0000_t32" style="position:absolute;left:4844;top:3217;flip:y;height:333;width:213;" filled="f" stroked="t" coordsize="21600,21600">
                    <v:path arrowok="t"/>
                    <v:fill on="f" focussize="0,0"/>
                    <v:stroke color="#000000" endarrow="block"/>
                    <v:imagedata o:title=""/>
                    <o:lock v:ext="edit" aspectratio="f"/>
                  </v:shape>
                  <v:shape id="_x0000_s2135" o:spid="_x0000_s2135" o:spt="32" type="#_x0000_t32" style="position:absolute;left:5230;top:3854;height:2;width:709;" filled="f" stroked="t" coordsize="21600,21600">
                    <v:path arrowok="t"/>
                    <v:fill on="f" focussize="0,0"/>
                    <v:stroke color="#000000" endarrow="block"/>
                    <v:imagedata o:title=""/>
                    <o:lock v:ext="edit" aspectratio="f"/>
                  </v:shape>
                  <v:shape id="_x0000_s2136" o:spid="_x0000_s2136" o:spt="202" type="#_x0000_t202" style="position:absolute;left:5230;top:3483;height:426;width:774;" filled="f" stroked="f" coordsize="21600,21600">
                    <v:path/>
                    <v:fill on="f" focussize="0,0"/>
                    <v:stroke on="f"/>
                    <v:imagedata o:title=""/>
                    <o:lock v:ext="edit" aspectratio="f"/>
                    <v:textbox>
                      <w:txbxContent>
                        <w:p>
                          <w:r>
                            <w:rPr>
                              <w:rFonts w:hint="eastAsia"/>
                            </w:rPr>
                            <w:t>2880</w:t>
                          </w:r>
                        </w:p>
                      </w:txbxContent>
                    </v:textbox>
                  </v:shape>
                  <v:shape id="_x0000_s2137" o:spid="_x0000_s2137" o:spt="202" type="#_x0000_t202" style="position:absolute;left:5939;top:3505;height:667;width:1892;" fillcolor="#FFFFFF" filled="t" stroked="t" coordsize="21600,21600">
                    <v:path/>
                    <v:fill on="t" color2="#FFFFFF" focussize="0,0"/>
                    <v:stroke color="#000000" joinstyle="miter"/>
                    <v:imagedata o:title=""/>
                    <o:lock v:ext="edit" aspectratio="f"/>
                    <v:textbox>
                      <w:txbxContent>
                        <w:p>
                          <w:r>
                            <w:rPr>
                              <w:rFonts w:hint="eastAsia"/>
                            </w:rPr>
                            <w:t>武南污水处理厂</w:t>
                          </w:r>
                        </w:p>
                        <w:p>
                          <w:pPr>
                            <w:jc w:val="center"/>
                          </w:pPr>
                          <w:r>
                            <w:rPr>
                              <w:rFonts w:hint="eastAsia"/>
                            </w:rPr>
                            <w:t>2880</w:t>
                          </w:r>
                        </w:p>
                      </w:txbxContent>
                    </v:textbox>
                  </v:shape>
                  <v:shape id="_x0000_s2138" o:spid="_x0000_s2138" o:spt="32" type="#_x0000_t32" style="position:absolute;left:7831;top:3852;height:1;width:708;" filled="f" stroked="t" coordsize="21600,21600">
                    <v:path arrowok="t"/>
                    <v:fill on="f" focussize="0,0"/>
                    <v:stroke color="#000000" endarrow="block"/>
                    <v:imagedata o:title=""/>
                    <o:lock v:ext="edit" aspectratio="f"/>
                  </v:shape>
                  <v:shape id="_x0000_s2139" o:spid="_x0000_s2139" o:spt="202" type="#_x0000_t202" style="position:absolute;left:8539;top:3483;height:1016;width:1288;" filled="f" stroked="f" coordsize="21600,21600">
                    <v:path/>
                    <v:fill on="f" focussize="0,0"/>
                    <v:stroke on="f"/>
                    <v:imagedata o:title=""/>
                    <o:lock v:ext="edit" aspectratio="f"/>
                    <v:textbox>
                      <w:txbxContent>
                        <w:p>
                          <w:r>
                            <w:rPr>
                              <w:rFonts w:hint="eastAsia"/>
                            </w:rPr>
                            <w:t>达标尾水排至武南河</w:t>
                          </w:r>
                        </w:p>
                      </w:txbxContent>
                    </v:textbox>
                  </v:shape>
                  <v:shape id="_x0000_s2140" o:spid="_x0000_s2140" o:spt="202" type="#_x0000_t202" style="position:absolute;left:5057;top:3066;height:417;width:1388;" filled="f" stroked="f" coordsize="21600,21600">
                    <v:path/>
                    <v:fill on="f" focussize="0,0"/>
                    <v:stroke on="f"/>
                    <v:imagedata o:title=""/>
                    <o:lock v:ext="edit" aspectratio="f"/>
                    <v:textbox>
                      <w:txbxContent>
                        <w:p>
                          <w:r>
                            <w:rPr>
                              <w:rFonts w:hint="eastAsia"/>
                            </w:rPr>
                            <w:t>损耗720</w:t>
                          </w:r>
                        </w:p>
                      </w:txbxContent>
                    </v:textbox>
                  </v:shape>
                  <v:shape id="_x0000_s2141" o:spid="_x0000_s2141" o:spt="32" type="#_x0000_t32" style="position:absolute;left:3351;top:3841;height:2435;width:1;" filled="f" stroked="t" coordsize="21600,21600">
                    <v:path arrowok="t"/>
                    <v:fill on="f" focussize="0,0"/>
                    <v:stroke color="#000000"/>
                    <v:imagedata o:title=""/>
                    <o:lock v:ext="edit" aspectratio="f"/>
                  </v:shape>
                  <v:shape id="_x0000_s2142" o:spid="_x0000_s2142" o:spt="32" type="#_x0000_t32" style="position:absolute;left:3391;top:6287;height:1;width:675;" filled="f" stroked="t" coordsize="21600,21600">
                    <v:path arrowok="t"/>
                    <v:fill on="f" focussize="0,0"/>
                    <v:stroke color="#000000" endarrow="block"/>
                    <v:imagedata o:title=""/>
                    <o:lock v:ext="edit" aspectratio="f"/>
                  </v:shape>
                  <v:shape id="_x0000_s2143" o:spid="_x0000_s2143" o:spt="202" type="#_x0000_t202" style="position:absolute;left:4081;top:6062;height:416;width:1160;" fillcolor="#FFFFFF" filled="t" stroked="t" coordsize="21600,21600">
                    <v:path/>
                    <v:fill on="t" color2="#FFFFFF" focussize="0,0"/>
                    <v:stroke color="#000000" joinstyle="miter"/>
                    <v:imagedata o:title=""/>
                    <o:lock v:ext="edit" aspectratio="f"/>
                    <v:textbox>
                      <w:txbxContent>
                        <w:p>
                          <w:r>
                            <w:rPr>
                              <w:rFonts w:hint="eastAsia"/>
                            </w:rPr>
                            <w:t>冷却用水</w:t>
                          </w:r>
                        </w:p>
                      </w:txbxContent>
                    </v:textbox>
                  </v:shape>
                  <v:shape id="_x0000_s2144" o:spid="_x0000_s2144" o:spt="202" type="#_x0000_t202" style="position:absolute;left:3403;top:5942;height:424;width:775;" filled="f" stroked="f" coordsize="21600,21600">
                    <v:path/>
                    <v:fill on="f" focussize="0,0"/>
                    <v:stroke on="f"/>
                    <v:imagedata o:title=""/>
                    <o:lock v:ext="edit" aspectratio="f"/>
                    <v:textbox>
                      <w:txbxContent>
                        <w:p>
                          <w:pPr>
                            <w:rPr>
                              <w:rFonts w:hint="default" w:eastAsia="宋体"/>
                              <w:lang w:val="en-US" w:eastAsia="zh-CN"/>
                            </w:rPr>
                          </w:pPr>
                          <w:r>
                            <w:rPr>
                              <w:rFonts w:hint="eastAsia"/>
                            </w:rPr>
                            <w:t>1</w:t>
                          </w:r>
                          <w:r>
                            <w:rPr>
                              <w:rFonts w:hint="eastAsia"/>
                              <w:lang w:val="en-US" w:eastAsia="zh-CN"/>
                            </w:rPr>
                            <w:t>05</w:t>
                          </w:r>
                        </w:p>
                      </w:txbxContent>
                    </v:textbox>
                  </v:shape>
                  <v:shape id="_x0000_s2145" o:spid="_x0000_s2145" o:spt="32" type="#_x0000_t32" style="position:absolute;left:2642;top:5096;height:1;width:709;" filled="f" stroked="t" coordsize="21600,21600">
                    <v:path arrowok="t"/>
                    <v:fill on="f" focussize="0,0"/>
                    <v:stroke color="#000000" endarrow="block"/>
                    <v:imagedata o:title=""/>
                    <o:lock v:ext="edit" aspectratio="f"/>
                  </v:shape>
                  <v:shape id="_x0000_s2146" o:spid="_x0000_s2146" o:spt="202" type="#_x0000_t202" style="position:absolute;left:2640;top:4742;height:424;width:775;" filled="f" stroked="f" coordsize="21600,21600">
                    <v:path/>
                    <v:fill on="f" focussize="0,0"/>
                    <v:stroke on="f"/>
                    <v:imagedata o:title=""/>
                    <o:lock v:ext="edit" aspectratio="f"/>
                    <v:textbox>
                      <w:txbxContent>
                        <w:p>
                          <w:pPr>
                            <w:rPr>
                              <w:rFonts w:hint="default" w:eastAsia="宋体"/>
                              <w:lang w:val="en-US" w:eastAsia="zh-CN"/>
                            </w:rPr>
                          </w:pPr>
                          <w:r>
                            <w:rPr>
                              <w:rFonts w:hint="eastAsia"/>
                            </w:rPr>
                            <w:t>4</w:t>
                          </w:r>
                          <w:r>
                            <w:rPr>
                              <w:rFonts w:hint="eastAsia"/>
                              <w:lang w:val="en-US" w:eastAsia="zh-CN"/>
                            </w:rPr>
                            <w:t>425</w:t>
                          </w:r>
                        </w:p>
                      </w:txbxContent>
                    </v:textbox>
                  </v:shape>
                  <v:shape id="_x0000_s2147" o:spid="_x0000_s2147" o:spt="202" type="#_x0000_t202" style="position:absolute;left:3366;top:3520;height:424;width:775;" filled="f" stroked="f" coordsize="21600,21600">
                    <v:path/>
                    <v:fill on="f" focussize="0,0"/>
                    <v:stroke on="f"/>
                    <v:imagedata o:title=""/>
                    <o:lock v:ext="edit" aspectratio="f"/>
                    <v:textbox>
                      <w:txbxContent>
                        <w:p>
                          <w:r>
                            <w:rPr>
                              <w:rFonts w:hint="eastAsia"/>
                            </w:rPr>
                            <w:t>3600</w:t>
                          </w:r>
                        </w:p>
                      </w:txbxContent>
                    </v:textbox>
                  </v:shape>
                  <v:shape id="_x0000_s2148" o:spid="_x0000_s2148" o:spt="32" type="#_x0000_t32" style="position:absolute;left:4911;top:5680;flip:y;height:357;width:194;" filled="f" stroked="t" coordsize="21600,21600">
                    <v:path arrowok="t"/>
                    <v:fill on="f" focussize="0,0"/>
                    <v:stroke color="#000000"/>
                    <v:imagedata o:title=""/>
                    <o:lock v:ext="edit" aspectratio="f"/>
                  </v:shape>
                  <v:shape id="_x0000_s2149" o:spid="_x0000_s2149" o:spt="32" type="#_x0000_t32" style="position:absolute;left:5105;top:5680;height:226;width:2;" filled="f" stroked="t" coordsize="21600,21600">
                    <v:path arrowok="t"/>
                    <v:fill on="f" focussize="0,0"/>
                    <v:stroke color="#000000"/>
                    <v:imagedata o:title=""/>
                    <o:lock v:ext="edit" aspectratio="f"/>
                  </v:shape>
                  <v:shape id="_x0000_s2150" o:spid="_x0000_s2150" o:spt="32" type="#_x0000_t32" style="position:absolute;left:5105;top:5573;flip:y;height:333;width:213;" filled="f" stroked="t" coordsize="21600,21600">
                    <v:path arrowok="t"/>
                    <v:fill on="f" focussize="0,0"/>
                    <v:stroke color="#000000" endarrow="block"/>
                    <v:imagedata o:title=""/>
                    <o:lock v:ext="edit" aspectratio="f"/>
                  </v:shape>
                  <v:shape id="_x0000_s2151" o:spid="_x0000_s2151" o:spt="202" type="#_x0000_t202" style="position:absolute;left:5318;top:5422;height:417;width:1388;" filled="f" stroked="f" coordsize="21600,21600">
                    <v:path/>
                    <v:fill on="f" focussize="0,0"/>
                    <v:stroke on="f"/>
                    <v:imagedata o:title=""/>
                    <o:lock v:ext="edit" aspectratio="f"/>
                    <v:textbox>
                      <w:txbxContent>
                        <w:p>
                          <w:pPr>
                            <w:rPr>
                              <w:rFonts w:hint="default" w:eastAsia="宋体"/>
                              <w:lang w:val="en-US" w:eastAsia="zh-CN"/>
                            </w:rPr>
                          </w:pPr>
                          <w:r>
                            <w:rPr>
                              <w:rFonts w:hint="eastAsia"/>
                            </w:rPr>
                            <w:t>损耗1</w:t>
                          </w:r>
                          <w:r>
                            <w:rPr>
                              <w:rFonts w:hint="eastAsia"/>
                              <w:lang w:val="en-US" w:eastAsia="zh-CN"/>
                            </w:rPr>
                            <w:t>05</w:t>
                          </w:r>
                        </w:p>
                      </w:txbxContent>
                    </v:textbox>
                  </v:shape>
                  <v:shape id="_x0000_s2152" o:spid="_x0000_s2152" o:spt="39" type="#_x0000_t39" style="position:absolute;left:4847;top:6084;flip:x y;height:580;width:208;rotation:5898240f;" filled="f" stroked="t" coordsize="21600,21600" adj="-37385,35007,506354">
                    <v:path arrowok="t"/>
                    <v:fill on="f" focussize="0,0"/>
                    <v:stroke color="#000000" endarrow="block"/>
                    <v:imagedata o:title=""/>
                    <o:lock v:ext="edit" aspectratio="f"/>
                  </v:shape>
                  <v:shape id="_x0000_s2153" o:spid="_x0000_s2153" o:spt="32" type="#_x0000_t32" style="position:absolute;left:3351;top:5199;height:1;width:709;" filled="f" stroked="t" coordsize="21600,21600">
                    <v:path arrowok="t"/>
                    <v:fill on="f" focussize="0,0"/>
                    <v:stroke color="#000000" endarrow="block"/>
                    <v:imagedata o:title=""/>
                    <o:lock v:ext="edit" aspectratio="f"/>
                  </v:shape>
                  <v:shape id="_x0000_s2154" o:spid="_x0000_s2154" o:spt="202" type="#_x0000_t202" style="position:absolute;left:4060;top:5027;height:416;width:1160;" fillcolor="#FFFFFF" filled="t" stroked="t" coordsize="21600,21600">
                    <v:path/>
                    <v:fill on="t" color2="#FFFFFF" focussize="0,0"/>
                    <v:stroke color="#000000" joinstyle="miter"/>
                    <v:imagedata o:title=""/>
                    <o:lock v:ext="edit" aspectratio="f"/>
                    <v:textbox>
                      <w:txbxContent>
                        <w:p>
                          <w:r>
                            <w:rPr>
                              <w:rFonts w:hint="eastAsia"/>
                            </w:rPr>
                            <w:t>食堂用水</w:t>
                          </w:r>
                        </w:p>
                      </w:txbxContent>
                    </v:textbox>
                  </v:shape>
                  <v:shape id="_x0000_s2155" o:spid="_x0000_s2155" o:spt="32" type="#_x0000_t32" style="position:absolute;left:4640;top:4670;flip:y;height:357;width:194;" filled="f" stroked="t" coordsize="21600,21600">
                    <v:path arrowok="t"/>
                    <v:fill on="f" focussize="0,0"/>
                    <v:stroke color="#000000"/>
                    <v:imagedata o:title=""/>
                    <o:lock v:ext="edit" aspectratio="f"/>
                  </v:shape>
                  <v:shape id="_x0000_s2156" o:spid="_x0000_s2156" o:spt="32" type="#_x0000_t32" style="position:absolute;left:4834;top:4670;height:226;width:2;" filled="f" stroked="t" coordsize="21600,21600">
                    <v:path arrowok="t"/>
                    <v:fill on="f" focussize="0,0"/>
                    <v:stroke color="#000000"/>
                    <v:imagedata o:title=""/>
                    <o:lock v:ext="edit" aspectratio="f"/>
                  </v:shape>
                  <v:shape id="_x0000_s2157" o:spid="_x0000_s2157" o:spt="32" type="#_x0000_t32" style="position:absolute;left:4834;top:4563;flip:y;height:333;width:213;" filled="f" stroked="t" coordsize="21600,21600">
                    <v:path arrowok="t"/>
                    <v:fill on="f" focussize="0,0"/>
                    <v:stroke color="#000000" endarrow="block"/>
                    <v:imagedata o:title=""/>
                    <o:lock v:ext="edit" aspectratio="f"/>
                  </v:shape>
                  <v:shape id="_x0000_s2158" o:spid="_x0000_s2158" o:spt="32" type="#_x0000_t32" style="position:absolute;left:5220;top:5200;height:2;width:709;" filled="f" stroked="t" coordsize="21600,21600">
                    <v:path arrowok="t"/>
                    <v:fill on="f" focussize="0,0"/>
                    <v:stroke color="#000000" endarrow="block"/>
                    <v:imagedata o:title=""/>
                    <o:lock v:ext="edit" aspectratio="f"/>
                  </v:shape>
                  <v:shape id="_x0000_s2159" o:spid="_x0000_s2159" o:spt="202" type="#_x0000_t202" style="position:absolute;left:5220;top:4829;height:426;width:774;" filled="f" stroked="f" coordsize="21600,21600">
                    <v:path/>
                    <v:fill on="f" focussize="0,0"/>
                    <v:stroke on="f"/>
                    <v:imagedata o:title=""/>
                    <o:lock v:ext="edit" aspectratio="f"/>
                    <v:textbox>
                      <w:txbxContent>
                        <w:p>
                          <w:pPr>
                            <w:rPr>
                              <w:rFonts w:hint="default" w:eastAsia="宋体"/>
                              <w:lang w:val="en-US" w:eastAsia="zh-CN"/>
                            </w:rPr>
                          </w:pPr>
                          <w:r>
                            <w:rPr>
                              <w:rFonts w:hint="eastAsia"/>
                              <w:lang w:val="en-US" w:eastAsia="zh-CN"/>
                            </w:rPr>
                            <w:t>576</w:t>
                          </w:r>
                        </w:p>
                      </w:txbxContent>
                    </v:textbox>
                  </v:shape>
                  <v:shape id="_x0000_s2160" o:spid="_x0000_s2160" o:spt="202" type="#_x0000_t202" style="position:absolute;left:5929;top:4851;height:667;width:1892;" fillcolor="#FFFFFF" filled="t" stroked="t" coordsize="21600,21600">
                    <v:path/>
                    <v:fill on="t" color2="#FFFFFF" focussize="0,0"/>
                    <v:stroke color="#000000" joinstyle="miter"/>
                    <v:imagedata o:title=""/>
                    <o:lock v:ext="edit" aspectratio="f"/>
                    <v:textbox>
                      <w:txbxContent>
                        <w:p>
                          <w:r>
                            <w:rPr>
                              <w:rFonts w:hint="eastAsia"/>
                            </w:rPr>
                            <w:t>武南污水处理厂</w:t>
                          </w:r>
                        </w:p>
                        <w:p>
                          <w:pPr>
                            <w:jc w:val="center"/>
                            <w:rPr>
                              <w:rFonts w:hint="default" w:eastAsia="宋体"/>
                              <w:lang w:val="en-US" w:eastAsia="zh-CN"/>
                            </w:rPr>
                          </w:pPr>
                          <w:r>
                            <w:rPr>
                              <w:rFonts w:hint="eastAsia"/>
                              <w:lang w:val="en-US" w:eastAsia="zh-CN"/>
                            </w:rPr>
                            <w:t>576</w:t>
                          </w:r>
                        </w:p>
                      </w:txbxContent>
                    </v:textbox>
                  </v:shape>
                  <v:shape id="_x0000_s2161" o:spid="_x0000_s2161" o:spt="32" type="#_x0000_t32" style="position:absolute;left:7821;top:5198;height:1;width:708;" filled="f" stroked="t" coordsize="21600,21600">
                    <v:path arrowok="t"/>
                    <v:fill on="f" focussize="0,0"/>
                    <v:stroke color="#000000" endarrow="block"/>
                    <v:imagedata o:title=""/>
                    <o:lock v:ext="edit" aspectratio="f"/>
                  </v:shape>
                  <v:shape id="_x0000_s2162" o:spid="_x0000_s2162" o:spt="202" type="#_x0000_t202" style="position:absolute;left:8529;top:4829;height:1010;width:1298;" filled="f" stroked="f" coordsize="21600,21600">
                    <v:path/>
                    <v:fill on="f" focussize="0,0"/>
                    <v:stroke on="f"/>
                    <v:imagedata o:title=""/>
                    <o:lock v:ext="edit" aspectratio="f"/>
                    <v:textbox>
                      <w:txbxContent>
                        <w:p>
                          <w:r>
                            <w:rPr>
                              <w:rFonts w:hint="eastAsia"/>
                            </w:rPr>
                            <w:t>达标尾水排至武南河</w:t>
                          </w:r>
                        </w:p>
                      </w:txbxContent>
                    </v:textbox>
                  </v:shape>
                  <v:shape id="_x0000_s2163" o:spid="_x0000_s2163" o:spt="202" type="#_x0000_t202" style="position:absolute;left:5047;top:4412;height:417;width:1388;" filled="f" stroked="f" coordsize="21600,21600">
                    <v:path/>
                    <v:fill on="f" focussize="0,0"/>
                    <v:stroke on="f"/>
                    <v:imagedata o:title=""/>
                    <o:lock v:ext="edit" aspectratio="f"/>
                    <v:textbox>
                      <w:txbxContent>
                        <w:p>
                          <w:pPr>
                            <w:rPr>
                              <w:rFonts w:hint="default" w:eastAsia="宋体"/>
                              <w:lang w:val="en-US" w:eastAsia="zh-CN"/>
                            </w:rPr>
                          </w:pPr>
                          <w:r>
                            <w:rPr>
                              <w:rFonts w:hint="eastAsia"/>
                            </w:rPr>
                            <w:t>损耗</w:t>
                          </w:r>
                          <w:r>
                            <w:rPr>
                              <w:rFonts w:hint="eastAsia"/>
                              <w:lang w:val="en-US" w:eastAsia="zh-CN"/>
                            </w:rPr>
                            <w:t>144</w:t>
                          </w:r>
                        </w:p>
                      </w:txbxContent>
                    </v:textbox>
                  </v:shape>
                  <v:shape id="_x0000_s2164" o:spid="_x0000_s2164" o:spt="202" type="#_x0000_t202" style="position:absolute;left:3356;top:4866;height:424;width:775;" filled="f" stroked="f" coordsize="21600,21600">
                    <v:path/>
                    <v:fill on="f" focussize="0,0"/>
                    <v:stroke on="f"/>
                    <v:imagedata o:title=""/>
                    <o:lock v:ext="edit" aspectratio="f"/>
                    <v:textbox>
                      <w:txbxContent>
                        <w:p>
                          <w:r>
                            <w:rPr>
                              <w:rFonts w:hint="eastAsia"/>
                              <w:lang w:val="en-US" w:eastAsia="zh-CN"/>
                            </w:rPr>
                            <w:t>72</w:t>
                          </w:r>
                          <w:r>
                            <w:rPr>
                              <w:rFonts w:hint="eastAsia"/>
                            </w:rPr>
                            <w:t>0</w:t>
                          </w:r>
                        </w:p>
                      </w:txbxContent>
                    </v:textbox>
                  </v:shape>
                  <w10:wrap type="none"/>
                  <w10:anchorlock/>
                </v:group>
              </w:pict>
            </w:r>
            <w:r>
              <w:rPr>
                <w:rFonts w:hint="eastAsia"/>
                <w:b/>
                <w:sz w:val="24"/>
              </w:rPr>
              <w:t xml:space="preserve"> 图2-1项目水平衡图</w:t>
            </w:r>
          </w:p>
          <w:p>
            <w:pPr>
              <w:keepNext w:val="0"/>
              <w:keepLines w:val="0"/>
              <w:suppressLineNumbers w:val="0"/>
              <w:adjustRightInd w:val="0"/>
              <w:snapToGrid w:val="0"/>
              <w:spacing w:before="0" w:beforeAutospacing="0" w:after="0" w:afterAutospacing="0" w:line="360" w:lineRule="auto"/>
              <w:ind w:left="0" w:right="0"/>
              <w:rPr>
                <w:b/>
                <w:sz w:val="24"/>
              </w:rPr>
            </w:pPr>
            <w:r>
              <w:rPr>
                <w:rFonts w:hint="eastAsia"/>
                <w:b/>
                <w:sz w:val="24"/>
              </w:rPr>
              <w:t>9</w:t>
            </w:r>
            <w:r>
              <w:rPr>
                <w:b/>
                <w:sz w:val="24"/>
              </w:rPr>
              <w:t>、生产制度、职工人数</w:t>
            </w:r>
          </w:p>
          <w:p>
            <w:pPr>
              <w:keepNext w:val="0"/>
              <w:keepLines w:val="0"/>
              <w:suppressLineNumbers w:val="0"/>
              <w:spacing w:before="0" w:beforeAutospacing="0" w:after="0" w:afterAutospacing="0" w:line="360" w:lineRule="auto"/>
              <w:ind w:left="0" w:right="0" w:firstLine="480" w:firstLineChars="200"/>
              <w:rPr>
                <w:sz w:val="24"/>
              </w:rPr>
            </w:pPr>
            <w:r>
              <w:rPr>
                <w:sz w:val="24"/>
              </w:rPr>
              <w:t>项目拟用职工</w:t>
            </w:r>
            <w:r>
              <w:rPr>
                <w:rFonts w:hint="eastAsia"/>
                <w:sz w:val="24"/>
              </w:rPr>
              <w:t>1</w:t>
            </w:r>
            <w:r>
              <w:rPr>
                <w:sz w:val="24"/>
              </w:rPr>
              <w:t>2</w:t>
            </w:r>
            <w:r>
              <w:rPr>
                <w:rFonts w:hint="eastAsia"/>
                <w:sz w:val="24"/>
              </w:rPr>
              <w:t>0</w:t>
            </w:r>
            <w:r>
              <w:rPr>
                <w:sz w:val="24"/>
              </w:rPr>
              <w:t>人，</w:t>
            </w:r>
            <w:r>
              <w:rPr>
                <w:rFonts w:hint="eastAsia"/>
                <w:sz w:val="24"/>
              </w:rPr>
              <w:t>两</w:t>
            </w:r>
            <w:r>
              <w:rPr>
                <w:sz w:val="24"/>
              </w:rPr>
              <w:t>班制</w:t>
            </w:r>
            <w:r>
              <w:rPr>
                <w:rFonts w:hint="eastAsia"/>
                <w:sz w:val="24"/>
              </w:rPr>
              <w:t>，每班</w:t>
            </w:r>
            <w:r>
              <w:rPr>
                <w:rFonts w:hint="eastAsia"/>
                <w:sz w:val="24"/>
                <w:lang w:val="en-US" w:eastAsia="zh-CN"/>
              </w:rPr>
              <w:t>8</w:t>
            </w:r>
            <w:r>
              <w:rPr>
                <w:sz w:val="24"/>
              </w:rPr>
              <w:t>小时生产，年工作日约300天，年工作</w:t>
            </w:r>
            <w:r>
              <w:rPr>
                <w:rFonts w:hint="eastAsia"/>
                <w:sz w:val="24"/>
                <w:lang w:val="en-US" w:eastAsia="zh-CN"/>
              </w:rPr>
              <w:t>48</w:t>
            </w:r>
            <w:r>
              <w:rPr>
                <w:sz w:val="24"/>
              </w:rPr>
              <w:t>00小时。厂</w:t>
            </w:r>
            <w:r>
              <w:rPr>
                <w:rFonts w:hint="eastAsia"/>
                <w:sz w:val="24"/>
              </w:rPr>
              <w:t>区内设食堂</w:t>
            </w:r>
            <w:r>
              <w:rPr>
                <w:sz w:val="24"/>
              </w:rPr>
              <w:t>及员工宿舍。</w:t>
            </w:r>
          </w:p>
          <w:p>
            <w:pPr>
              <w:keepNext w:val="0"/>
              <w:keepLines w:val="0"/>
              <w:suppressLineNumbers w:val="0"/>
              <w:adjustRightInd w:val="0"/>
              <w:snapToGrid w:val="0"/>
              <w:spacing w:before="0" w:beforeAutospacing="0" w:after="0" w:afterAutospacing="0" w:line="360" w:lineRule="auto"/>
              <w:ind w:left="0" w:right="0"/>
              <w:rPr>
                <w:b/>
                <w:sz w:val="24"/>
              </w:rPr>
            </w:pPr>
            <w:r>
              <w:rPr>
                <w:rFonts w:hint="eastAsia"/>
                <w:b/>
                <w:sz w:val="24"/>
              </w:rPr>
              <w:t>10</w:t>
            </w:r>
            <w:r>
              <w:rPr>
                <w:b/>
                <w:sz w:val="24"/>
              </w:rPr>
              <w:t>、厂区平面布置</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rFonts w:hint="eastAsia"/>
                <w:sz w:val="24"/>
              </w:rPr>
              <w:t>本项目主体工程、贮运工程以及公用工程、环保工程均在车间内有序布置，本项目</w:t>
            </w:r>
            <w:r>
              <w:rPr>
                <w:rFonts w:hAnsi="宋体"/>
                <w:sz w:val="24"/>
              </w:rPr>
              <w:t>购买</w:t>
            </w:r>
            <w:r>
              <w:rPr>
                <w:rFonts w:hint="eastAsia" w:hAnsi="宋体"/>
                <w:sz w:val="24"/>
                <w:lang w:eastAsia="zh-CN"/>
              </w:rPr>
              <w:t>常州武进武新资产经营有限公司</w:t>
            </w:r>
            <w:r>
              <w:rPr>
                <w:rFonts w:hAnsi="宋体"/>
                <w:sz w:val="24"/>
              </w:rPr>
              <w:t>存量土地</w:t>
            </w:r>
            <w:r>
              <w:rPr>
                <w:sz w:val="24"/>
              </w:rPr>
              <w:t>68</w:t>
            </w:r>
            <w:r>
              <w:rPr>
                <w:rFonts w:hAnsi="宋体"/>
                <w:sz w:val="24"/>
              </w:rPr>
              <w:t>亩、存量厂房</w:t>
            </w:r>
            <w:r>
              <w:rPr>
                <w:sz w:val="24"/>
              </w:rPr>
              <w:t>26541.73</w:t>
            </w:r>
            <w:r>
              <w:rPr>
                <w:rFonts w:hAnsi="宋体"/>
                <w:sz w:val="24"/>
              </w:rPr>
              <w:t>平方米，进行厂房改造</w:t>
            </w:r>
            <w:r>
              <w:rPr>
                <w:rFonts w:hint="eastAsia"/>
                <w:sz w:val="24"/>
              </w:rPr>
              <w:t>，生产车间1和生产车间3用于冲压加工；生产车间2</w:t>
            </w:r>
            <w:r>
              <w:rPr>
                <w:rFonts w:hint="eastAsia"/>
                <w:sz w:val="24"/>
                <w:lang w:eastAsia="zh-CN"/>
              </w:rPr>
              <w:t>闲置</w:t>
            </w:r>
            <w:r>
              <w:rPr>
                <w:rFonts w:hint="eastAsia"/>
                <w:sz w:val="24"/>
              </w:rPr>
              <w:t>；生产车间4用于纵剪、仓储；生产车间5用于机加工、攻丝加工等，且内设涂</w:t>
            </w:r>
            <w:r>
              <w:rPr>
                <w:rFonts w:hint="eastAsia"/>
                <w:sz w:val="24"/>
                <w:lang w:eastAsia="zh-CN"/>
              </w:rPr>
              <w:t>敷</w:t>
            </w:r>
            <w:r>
              <w:rPr>
                <w:rFonts w:hint="eastAsia"/>
                <w:sz w:val="24"/>
              </w:rPr>
              <w:t>注塑车间，用于涂敷固化、注塑成型和焊接。本项目车间总平面布置有利于工厂的生产、运输和管理，各分区的布置规划整齐，既方便内外交通联系，又方便原料、产品的运输，平面布置较合理。</w:t>
            </w:r>
          </w:p>
          <w:p>
            <w:pPr>
              <w:keepNext w:val="0"/>
              <w:keepLines w:val="0"/>
              <w:suppressLineNumbers w:val="0"/>
              <w:adjustRightInd w:val="0"/>
              <w:snapToGrid w:val="0"/>
              <w:spacing w:before="0" w:beforeAutospacing="0" w:after="0" w:afterAutospacing="0" w:line="360" w:lineRule="auto"/>
              <w:ind w:left="0" w:right="0" w:firstLine="480" w:firstLineChars="200"/>
              <w:rPr>
                <w:rFonts w:hint="eastAsia"/>
                <w:sz w:val="24"/>
              </w:rPr>
            </w:pPr>
            <w:r>
              <w:rPr>
                <w:rFonts w:hint="eastAsia"/>
                <w:sz w:val="24"/>
              </w:rPr>
              <w:t>车间平面布置图详见附图3。</w:t>
            </w:r>
          </w:p>
          <w:p>
            <w:pPr>
              <w:pStyle w:val="2"/>
              <w:keepNext w:val="0"/>
              <w:keepLines w:val="0"/>
              <w:suppressLineNumbers w:val="0"/>
              <w:spacing w:before="0" w:beforeAutospacing="0" w:afterAutospacing="0"/>
              <w:rPr>
                <w:rFonts w:hint="eastAsia"/>
                <w:sz w:val="24"/>
              </w:rPr>
            </w:pPr>
          </w:p>
          <w:p>
            <w:pPr>
              <w:pStyle w:val="2"/>
              <w:keepNext w:val="0"/>
              <w:keepLines w:val="0"/>
              <w:suppressLineNumbers w:val="0"/>
              <w:spacing w:before="0" w:beforeAutospacing="0" w:afterAutospacing="0"/>
              <w:rPr>
                <w:rFonts w:hint="eastAsia"/>
                <w:sz w:val="24"/>
              </w:rPr>
            </w:pPr>
          </w:p>
          <w:p>
            <w:pPr>
              <w:pStyle w:val="2"/>
              <w:keepNext w:val="0"/>
              <w:keepLines w:val="0"/>
              <w:suppressLineNumbers w:val="0"/>
              <w:spacing w:before="0" w:beforeAutospacing="0" w:afterAutospacing="0"/>
              <w:rPr>
                <w:rFonts w:hint="eastAsia"/>
                <w:sz w:val="24"/>
              </w:rPr>
            </w:pPr>
          </w:p>
          <w:p>
            <w:pPr>
              <w:pStyle w:val="2"/>
              <w:keepNext w:val="0"/>
              <w:keepLines w:val="0"/>
              <w:suppressLineNumbers w:val="0"/>
              <w:spacing w:before="0" w:beforeAutospacing="0" w:afterAutospacing="0"/>
              <w:rPr>
                <w:rFonts w:hint="eastAsia"/>
                <w:sz w:val="24"/>
              </w:rPr>
            </w:pPr>
          </w:p>
          <w:p>
            <w:pPr>
              <w:pStyle w:val="2"/>
              <w:keepNext w:val="0"/>
              <w:keepLines w:val="0"/>
              <w:suppressLineNumbers w:val="0"/>
              <w:spacing w:before="0" w:beforeAutospacing="0" w:afterAutospacing="0"/>
              <w:rPr>
                <w:rFonts w:hint="eastAsia"/>
                <w:sz w:val="24"/>
              </w:rPr>
            </w:pPr>
          </w:p>
          <w:p>
            <w:pPr>
              <w:keepNext w:val="0"/>
              <w:keepLines w:val="0"/>
              <w:suppressLineNumbers w:val="0"/>
              <w:adjustRightInd w:val="0"/>
              <w:snapToGrid w:val="0"/>
              <w:spacing w:before="0" w:beforeAutospacing="0" w:after="0" w:afterAutospacing="0" w:line="360" w:lineRule="auto"/>
              <w:ind w:left="0" w:right="0" w:firstLine="420" w:firstLineChars="200"/>
              <w:rPr>
                <w:rFonts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5" w:hRule="atLeast"/>
          <w:jc w:val="center"/>
        </w:trPr>
        <w:tc>
          <w:tcPr>
            <w:tcW w:w="392" w:type="dxa"/>
            <w:vAlign w:val="center"/>
          </w:tcPr>
          <w:p>
            <w:pPr>
              <w:pStyle w:val="18"/>
              <w:keepNext w:val="0"/>
              <w:keepLines w:val="0"/>
              <w:suppressLineNumbers w:val="0"/>
              <w:adjustRightInd w:val="0"/>
              <w:snapToGrid w:val="0"/>
              <w:spacing w:before="0" w:beforeAutospacing="0" w:after="0" w:afterAutospacing="0"/>
              <w:ind w:left="0" w:right="0"/>
              <w:jc w:val="center"/>
              <w:rPr>
                <w:rFonts w:cs="宋体"/>
                <w:sz w:val="21"/>
                <w:szCs w:val="21"/>
              </w:rPr>
            </w:pPr>
            <w:r>
              <w:rPr>
                <w:rFonts w:hint="eastAsia" w:cs="宋体"/>
                <w:sz w:val="21"/>
                <w:szCs w:val="21"/>
              </w:rPr>
              <w:t>工艺流程和产排污环节</w:t>
            </w:r>
          </w:p>
        </w:tc>
        <w:tc>
          <w:tcPr>
            <w:tcW w:w="8668" w:type="dxa"/>
          </w:tcPr>
          <w:p>
            <w:pPr>
              <w:keepNext w:val="0"/>
              <w:keepLines w:val="0"/>
              <w:suppressLineNumbers w:val="0"/>
              <w:adjustRightInd w:val="0"/>
              <w:snapToGrid w:val="0"/>
              <w:spacing w:before="0" w:beforeAutospacing="0" w:after="0" w:afterAutospacing="0"/>
              <w:ind w:left="0" w:right="0"/>
              <w:rPr>
                <w:rFonts w:ascii="宋体" w:hAnsi="宋体"/>
                <w:b/>
                <w:bCs/>
                <w:sz w:val="24"/>
              </w:rPr>
            </w:pPr>
            <w:r>
              <w:rPr>
                <w:rFonts w:ascii="宋体"/>
                <w:b/>
                <w:sz w:val="20"/>
              </w:rPr>
              <w:pict>
                <v:line id="直线 751" o:spid="_x0000_s2088" o:spt="20" style="position:absolute;left:0pt;margin-left:0pt;margin-top:897pt;height:0pt;width:451.5pt;z-index:251664384;mso-width-relative:page;mso-height-relative:page;" coordsize="21600,21600" o:gfxdata="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R9511NQAAAAK&#10;AQAADwAAAAAAAAABACAAAAAiAAAAZHJzL2Rvd25yZXYueG1sUEsBAhQAFAAAAAgAh07iQOO6po7n&#10;AQAA4AMAAA4AAAAAAAAAAQAgAAAAIwEAAGRycy9lMm9Eb2MueG1sUEsFBgAAAAAGAAYAWQEAAHwF&#10;AAAAAA==&#10;">
                  <v:path arrowok="t"/>
                  <v:fill focussize="0,0"/>
                  <v:stroke/>
                  <v:imagedata o:title=""/>
                  <o:lock v:ext="edit"/>
                </v:line>
              </w:pict>
            </w:r>
            <w:r>
              <w:rPr>
                <w:rFonts w:hint="eastAsia" w:ascii="宋体" w:hAnsi="宋体"/>
                <w:b/>
                <w:bCs/>
                <w:sz w:val="24"/>
              </w:rPr>
              <w:t>工艺流程简述（图示）：</w:t>
            </w:r>
          </w:p>
          <w:p>
            <w:pPr>
              <w:keepNext w:val="0"/>
              <w:keepLines w:val="0"/>
              <w:suppressLineNumbers w:val="0"/>
              <w:adjustRightInd w:val="0"/>
              <w:snapToGrid w:val="0"/>
              <w:spacing w:before="0" w:beforeAutospacing="0" w:after="0" w:afterAutospacing="0"/>
              <w:ind w:left="0" w:right="0"/>
              <w:rPr>
                <w:rFonts w:ascii="宋体" w:hAnsi="宋体"/>
                <w:b/>
                <w:color w:val="000000"/>
                <w:sz w:val="24"/>
              </w:rPr>
            </w:pPr>
            <w:r>
              <w:rPr>
                <w:rFonts w:hint="eastAsia"/>
                <w:b/>
                <w:color w:val="000000"/>
                <w:sz w:val="24"/>
                <w:lang w:val="en-US" w:eastAsia="zh-CN"/>
              </w:rPr>
              <w:t>1</w:t>
            </w:r>
            <w:r>
              <w:rPr>
                <w:rFonts w:hint="eastAsia" w:ascii="宋体" w:hAnsi="宋体"/>
                <w:b/>
                <w:color w:val="000000"/>
                <w:sz w:val="24"/>
              </w:rPr>
              <w:t>、电机铁芯</w:t>
            </w:r>
            <w:r>
              <w:rPr>
                <w:rFonts w:ascii="宋体" w:hAnsi="宋体"/>
                <w:b/>
                <w:color w:val="000000"/>
                <w:sz w:val="24"/>
              </w:rPr>
              <w:t>工艺流程</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firstLineChars="0"/>
              <w:textAlignment w:val="auto"/>
              <w:rPr>
                <w:rFonts w:ascii="宋体" w:hAnsi="宋体"/>
                <w:b/>
                <w:sz w:val="24"/>
              </w:rPr>
            </w:pPr>
            <w:r>
              <w:rPr>
                <w:rFonts w:ascii="宋体" w:hAnsi="宋体"/>
                <w:b/>
                <w:sz w:val="24"/>
              </w:rPr>
              <w:pict>
                <v:group id="_x0000_s2109" o:spid="_x0000_s2109" o:spt="203" style="height:522.85pt;width:421.2pt;" coordorigin="2054,2022" coordsize="8424,10457" editas="canvas">
                  <o:lock v:ext="edit"/>
                  <v:shape id="_x0000_s124094" o:spid="_x0000_s124094" o:spt="75" type="#_x0000_t75" style="position:absolute;left:2054;top:2022;height:10457;width:8424;" filled="f" stroked="f" coordsize="21600,21600">
                    <v:path/>
                    <v:fill on="f" focussize="0,0"/>
                    <v:stroke on="f"/>
                    <v:imagedata o:title=""/>
                    <o:lock v:ext="edit" text="t" aspectratio="t"/>
                  </v:shape>
                  <v:shape id="_x0000_s124336" o:spid="_x0000_s124336" o:spt="32" type="#_x0000_t32" style="position:absolute;left:6085;top:10611;height:452;width:1;" filled="f" stroked="t" coordsize="21600,21600">
                    <v:path arrowok="t"/>
                    <v:fill on="f" focussize="0,0"/>
                    <v:stroke color="#000000" endarrow="block"/>
                    <v:imagedata o:title=""/>
                    <o:lock v:ext="edit" aspectratio="f"/>
                  </v:shape>
                  <v:shape id="_x0000_s124337" o:spid="_x0000_s124337" o:spt="202" type="#_x0000_t202" style="position:absolute;left:5613;top:11063;height:439;width:962;" filled="f" stroked="f" coordsize="21600,21600">
                    <v:path/>
                    <v:fill on="f" focussize="0,0"/>
                    <v:stroke on="f"/>
                    <v:imagedata o:title=""/>
                    <o:lock v:ext="edit" aspectratio="f"/>
                    <v:textbox>
                      <w:txbxContent>
                        <w:p>
                          <w:pPr>
                            <w:jc w:val="center"/>
                          </w:pPr>
                          <w:r>
                            <w:rPr>
                              <w:rFonts w:hint="eastAsia"/>
                            </w:rPr>
                            <w:t>成品</w:t>
                          </w:r>
                        </w:p>
                      </w:txbxContent>
                    </v:textbox>
                  </v:shape>
                  <v:shape id="文本框 11" o:spid="_x0000_s124338" o:spt="202" type="#_x0000_t202" style="position:absolute;left:8044;top:10909;height:1045;width:2201;" filled="f" stroked="f" coordsize="21600,21600" o:gfxdata="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">
                    <v:path/>
                    <v:fill on="f" focussize="0,0"/>
                    <v:stroke on="f"/>
                    <v:imagedata o:title=""/>
                    <o:lock v:ext="edit" aspectratio="f"/>
                    <v:textbox>
                      <w:txbxContent>
                        <w:p>
                          <w:pPr>
                            <w:rPr>
                              <w:rFonts w:ascii="宋体" w:hAnsi="宋体" w:cs="宋体"/>
                              <w:szCs w:val="21"/>
                            </w:rPr>
                          </w:pPr>
                          <w:r>
                            <w:rPr>
                              <w:rFonts w:hint="eastAsia" w:ascii="宋体" w:hAnsi="宋体" w:cs="宋体"/>
                              <w:szCs w:val="21"/>
                            </w:rPr>
                            <w:t>注：</w:t>
                          </w:r>
                          <w:r>
                            <w:rPr>
                              <w:rFonts w:hint="eastAsia" w:cs="宋体"/>
                              <w:szCs w:val="21"/>
                            </w:rPr>
                            <w:t>G</w:t>
                          </w:r>
                          <w:r>
                            <w:rPr>
                              <w:rFonts w:hint="eastAsia" w:ascii="宋体" w:hAnsi="宋体" w:cs="宋体"/>
                              <w:szCs w:val="21"/>
                            </w:rPr>
                            <w:t>有组织废气</w:t>
                          </w:r>
                        </w:p>
                        <w:p>
                          <w:pPr>
                            <w:ind w:firstLine="420" w:firstLineChars="200"/>
                            <w:rPr>
                              <w:rFonts w:ascii="宋体" w:hAnsi="宋体" w:cs="宋体"/>
                              <w:szCs w:val="21"/>
                            </w:rPr>
                          </w:pPr>
                          <w:r>
                            <w:rPr>
                              <w:rFonts w:hint="eastAsia" w:cs="宋体"/>
                              <w:szCs w:val="21"/>
                            </w:rPr>
                            <w:t>Gu</w:t>
                          </w:r>
                          <w:r>
                            <w:rPr>
                              <w:rFonts w:hint="eastAsia" w:ascii="宋体" w:hAnsi="宋体" w:cs="宋体"/>
                              <w:szCs w:val="21"/>
                            </w:rPr>
                            <w:t>无组织废气</w:t>
                          </w:r>
                        </w:p>
                        <w:p>
                          <w:pPr>
                            <w:ind w:firstLine="420" w:firstLineChars="200"/>
                            <w:rPr>
                              <w:szCs w:val="21"/>
                            </w:rPr>
                          </w:pPr>
                          <w:r>
                            <w:rPr>
                              <w:szCs w:val="21"/>
                            </w:rPr>
                            <w:t>S</w:t>
                          </w:r>
                          <w:r>
                            <w:rPr>
                              <w:rFonts w:hAnsi="宋体"/>
                              <w:szCs w:val="21"/>
                            </w:rPr>
                            <w:t>固体废物</w:t>
                          </w:r>
                        </w:p>
                      </w:txbxContent>
                    </v:textbox>
                  </v:shape>
                  <v:shape id="文本框 26" o:spid="_x0000_s124339" o:spt="202" type="#_x0000_t202" style="position:absolute;left:4073;top:11843;height:444;width:4140;" filled="f" stroked="f" coordsize="21600,21600" o:gfxdata="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">
                    <v:path/>
                    <v:fill on="f" focussize="0,0"/>
                    <v:stroke on="f"/>
                    <v:imagedata o:title=""/>
                    <o:lock v:ext="edit" aspectratio="f"/>
                    <v:textbox>
                      <w:txbxContent>
                        <w:p>
                          <w:pPr>
                            <w:rPr>
                              <w:rFonts w:ascii="宋体" w:hAnsi="宋体" w:cs="宋体"/>
                              <w:b/>
                              <w:bCs/>
                              <w:sz w:val="24"/>
                            </w:rPr>
                          </w:pPr>
                          <w:r>
                            <w:rPr>
                              <w:rFonts w:hint="eastAsia" w:ascii="宋体" w:hAnsi="宋体" w:cs="宋体"/>
                              <w:b/>
                              <w:bCs/>
                              <w:sz w:val="24"/>
                            </w:rPr>
                            <w:t>图</w:t>
                          </w:r>
                          <w:r>
                            <w:rPr>
                              <w:rFonts w:hint="eastAsia" w:cs="宋体"/>
                              <w:b/>
                              <w:bCs/>
                              <w:sz w:val="24"/>
                            </w:rPr>
                            <w:t>2</w:t>
                          </w:r>
                          <w:r>
                            <w:rPr>
                              <w:rFonts w:hint="eastAsia" w:ascii="宋体" w:hAnsi="宋体" w:cs="宋体"/>
                              <w:b/>
                              <w:bCs/>
                              <w:sz w:val="24"/>
                            </w:rPr>
                            <w:t>-</w:t>
                          </w:r>
                          <w:r>
                            <w:rPr>
                              <w:rFonts w:hint="eastAsia" w:cs="宋体"/>
                              <w:b/>
                              <w:bCs/>
                              <w:sz w:val="24"/>
                              <w:lang w:val="en-US" w:eastAsia="zh-CN"/>
                            </w:rPr>
                            <w:t>2</w:t>
                          </w:r>
                          <w:r>
                            <w:rPr>
                              <w:rFonts w:hint="eastAsia" w:ascii="宋体" w:hAnsi="宋体" w:cs="宋体"/>
                              <w:b/>
                              <w:bCs/>
                              <w:sz w:val="24"/>
                            </w:rPr>
                            <w:t xml:space="preserve"> 电机铁芯生产工艺流程图</w:t>
                          </w:r>
                        </w:p>
                      </w:txbxContent>
                    </v:textbox>
                  </v:shape>
                  <v:shape id="_x0000_s124340" o:spid="_x0000_s124340" o:spt="202" type="#_x0000_t202" style="position:absolute;left:5472;top:4100;height:440;width:1379;" filled="f" stroked="t" coordsize="21600,21600">
                    <v:path/>
                    <v:fill on="f" focussize="0,0"/>
                    <v:stroke color="#000000" joinstyle="miter"/>
                    <v:imagedata o:title=""/>
                    <o:lock v:ext="edit" aspectratio="f"/>
                    <v:textbox>
                      <w:txbxContent>
                        <w:p>
                          <w:pPr>
                            <w:jc w:val="center"/>
                          </w:pPr>
                          <w:r>
                            <w:rPr>
                              <w:rFonts w:hint="eastAsia"/>
                            </w:rPr>
                            <w:t>冲压</w:t>
                          </w:r>
                        </w:p>
                      </w:txbxContent>
                    </v:textbox>
                  </v:shape>
                  <v:shape id="_x0000_s124341" o:spid="_x0000_s124341" o:spt="32" type="#_x0000_t32" style="position:absolute;left:6866;top:4311;height:2;width:402;" filled="f" stroked="t" coordsize="21600,21600">
                    <v:path arrowok="t"/>
                    <v:fill on="f" focussize="0,0"/>
                    <v:stroke color="#000000" dashstyle="dash" endarrow="block"/>
                    <v:imagedata o:title=""/>
                    <o:lock v:ext="edit" aspectratio="f"/>
                  </v:shape>
                  <v:shape id="_x0000_s124342" o:spid="_x0000_s124342" o:spt="32" type="#_x0000_t32" style="position:absolute;left:5041;top:4323;height:1;width:401;" filled="f" stroked="t" coordsize="21600,21600">
                    <v:path arrowok="t"/>
                    <v:fill on="f" focussize="0,0"/>
                    <v:stroke color="#000000" endarrow="block"/>
                    <v:imagedata o:title=""/>
                    <o:lock v:ext="edit" aspectratio="f"/>
                  </v:shape>
                  <v:shape id="_x0000_s124343" o:spid="_x0000_s124343" o:spt="202" type="#_x0000_t202" style="position:absolute;left:4055;top:4128;height:412;width:1136;" filled="f" stroked="f" coordsize="21600,21600">
                    <v:path/>
                    <v:fill on="f" focussize="0,0"/>
                    <v:stroke on="f"/>
                    <v:imagedata o:title=""/>
                    <o:lock v:ext="edit" aspectratio="f"/>
                    <v:textbox>
                      <w:txbxContent>
                        <w:p>
                          <w:pPr>
                            <w:jc w:val="center"/>
                          </w:pPr>
                          <w:r>
                            <w:rPr>
                              <w:rFonts w:hint="eastAsia"/>
                            </w:rPr>
                            <w:t>冲压油</w:t>
                          </w:r>
                        </w:p>
                      </w:txbxContent>
                    </v:textbox>
                  </v:shape>
                  <v:shape id="_x0000_s124344" o:spid="_x0000_s124344" o:spt="32" type="#_x0000_t32" style="position:absolute;left:6789;top:10392;height:1;width:401;" filled="f" stroked="t" coordsize="21600,21600">
                    <v:path arrowok="t"/>
                    <v:fill on="f" focussize="0,0"/>
                    <v:stroke color="#000000" dashstyle="dash" endarrow="block"/>
                    <v:imagedata o:title=""/>
                    <o:lock v:ext="edit" aspectratio="f"/>
                  </v:shape>
                  <v:shape id="_x0000_s124345" o:spid="_x0000_s124345" o:spt="202" type="#_x0000_t202" style="position:absolute;left:7078;top:10172;height:439;width:1864;" filled="f" stroked="f" coordsize="21600,21600">
                    <v:path/>
                    <v:fill on="f" focussize="0,0"/>
                    <v:stroke on="f"/>
                    <v:imagedata o:title=""/>
                    <o:lock v:ext="edit" aspectratio="f"/>
                    <v:textbox>
                      <w:txbxContent>
                        <w:p>
                          <w:pPr>
                            <w:jc w:val="center"/>
                          </w:pPr>
                          <w:r>
                            <w:rPr>
                              <w:rFonts w:hint="eastAsia"/>
                              <w:lang w:eastAsia="zh-CN"/>
                            </w:rPr>
                            <w:t>S1</w:t>
                          </w:r>
                          <w:r>
                            <w:rPr>
                              <w:rFonts w:hint="eastAsia"/>
                            </w:rPr>
                            <w:t>-</w:t>
                          </w:r>
                          <w:r>
                            <w:rPr>
                              <w:rFonts w:hint="eastAsia"/>
                              <w:lang w:val="en-US" w:eastAsia="zh-CN"/>
                            </w:rPr>
                            <w:t>5</w:t>
                          </w:r>
                          <w:r>
                            <w:rPr>
                              <w:rFonts w:hint="eastAsia"/>
                            </w:rPr>
                            <w:t>不合格品</w:t>
                          </w:r>
                        </w:p>
                        <w:p>
                          <w:pPr>
                            <w:pStyle w:val="27"/>
                            <w:ind w:left="-84" w:right="-17" w:rightChars="-8" w:firstLine="560"/>
                          </w:pPr>
                        </w:p>
                      </w:txbxContent>
                    </v:textbox>
                  </v:shape>
                  <v:shape id="_x0000_s124346" o:spid="_x0000_s124346" o:spt="202" type="#_x0000_t202" style="position:absolute;left:5413;top:2270;height:461;width:1491;" filled="f" stroked="f" coordsize="21600,21600">
                    <v:path/>
                    <v:fill on="f" focussize="0,0"/>
                    <v:stroke on="f"/>
                    <v:imagedata o:title=""/>
                    <o:lock v:ext="edit" aspectratio="f"/>
                    <v:textbox>
                      <w:txbxContent>
                        <w:p>
                          <w:pPr>
                            <w:pStyle w:val="27"/>
                            <w:spacing w:before="0" w:beforeAutospacing="0" w:after="0" w:afterAutospacing="0" w:line="240" w:lineRule="auto"/>
                            <w:ind w:left="0" w:leftChars="0" w:right="0" w:firstLine="0" w:firstLineChars="0"/>
                            <w:jc w:val="center"/>
                            <w:rPr>
                              <w:rFonts w:ascii="Times New Roman" w:hAnsi="Times New Roman" w:eastAsia="宋体" w:cs="Times New Roman"/>
                              <w:sz w:val="21"/>
                              <w:szCs w:val="24"/>
                            </w:rPr>
                          </w:pPr>
                          <w:r>
                            <w:rPr>
                              <w:rFonts w:hint="eastAsia" w:ascii="Times New Roman" w:hAnsi="Times New Roman" w:eastAsia="宋体" w:cs="Times New Roman"/>
                              <w:sz w:val="21"/>
                              <w:szCs w:val="24"/>
                            </w:rPr>
                            <w:t>硅钢钢材</w:t>
                          </w:r>
                        </w:p>
                      </w:txbxContent>
                    </v:textbox>
                  </v:shape>
                  <v:shape id="_x0000_s124347" o:spid="_x0000_s124347" o:spt="32" type="#_x0000_t32" style="position:absolute;left:6143;top:2731;height:453;width:1;" filled="f" stroked="t" coordsize="21600,21600">
                    <v:path arrowok="t"/>
                    <v:fill on="f" focussize="0,0"/>
                    <v:stroke color="#000000" endarrow="block"/>
                    <v:imagedata o:title=""/>
                    <o:lock v:ext="edit" aspectratio="f"/>
                  </v:shape>
                  <v:shape id="_x0000_s124348" o:spid="_x0000_s124348" o:spt="32" type="#_x0000_t32" style="position:absolute;left:6156;top:3647;height:453;width:1;" filled="f" stroked="t" coordsize="21600,21600">
                    <v:path arrowok="t"/>
                    <v:fill on="f" focussize="0,0"/>
                    <v:stroke color="#000000" endarrow="block"/>
                    <v:imagedata o:title=""/>
                    <o:lock v:ext="edit" aspectratio="f"/>
                  </v:shape>
                  <v:shape id="_x0000_s124349" o:spid="_x0000_s124349" o:spt="202" type="#_x0000_t202" style="position:absolute;left:5472;top:3208;height:439;width:1379;" filled="f" stroked="t" coordsize="21600,21600">
                    <v:path/>
                    <v:fill on="f" focussize="0,0"/>
                    <v:stroke color="#000000" joinstyle="miter"/>
                    <v:imagedata o:title=""/>
                    <o:lock v:ext="edit" aspectratio="f"/>
                    <v:textbox>
                      <w:txbxContent>
                        <w:p>
                          <w:pPr>
                            <w:jc w:val="center"/>
                          </w:pPr>
                          <w:r>
                            <w:rPr>
                              <w:rFonts w:hint="eastAsia"/>
                            </w:rPr>
                            <w:t>纵剪</w:t>
                          </w:r>
                        </w:p>
                      </w:txbxContent>
                    </v:textbox>
                  </v:shape>
                  <v:shape id="_x0000_s124350" o:spid="_x0000_s124350" o:spt="202" type="#_x0000_t202" style="position:absolute;left:5499;top:5880;height:439;width:1379;" filled="f" stroked="t" coordsize="21600,21600">
                    <v:path/>
                    <v:fill on="f" focussize="0,0"/>
                    <v:stroke color="#000000" joinstyle="miter"/>
                    <v:imagedata o:title=""/>
                    <o:lock v:ext="edit" aspectratio="f"/>
                    <v:textbox>
                      <w:txbxContent>
                        <w:p>
                          <w:pPr>
                            <w:jc w:val="center"/>
                          </w:pPr>
                          <w:r>
                            <w:rPr>
                              <w:rFonts w:hint="eastAsia"/>
                            </w:rPr>
                            <w:t>入轴</w:t>
                          </w:r>
                        </w:p>
                      </w:txbxContent>
                    </v:textbox>
                  </v:shape>
                  <v:shape id="_x0000_s124351" o:spid="_x0000_s124351" o:spt="32" type="#_x0000_t32" style="position:absolute;left:6171;top:4540;height:452;width:1;" filled="f" stroked="t" coordsize="21600,21600">
                    <v:path arrowok="t"/>
                    <v:fill on="f" focussize="0,0"/>
                    <v:stroke color="#000000" endarrow="block"/>
                    <v:imagedata o:title=""/>
                    <o:lock v:ext="edit" aspectratio="f"/>
                  </v:shape>
                  <v:shape id="_x0000_s124352" o:spid="_x0000_s124352" o:spt="202" type="#_x0000_t202" style="position:absolute;left:3993;top:7253;height:438;width:1104;" filled="f" stroked="t" coordsize="21600,21600">
                    <v:path/>
                    <v:fill on="f" focussize="0,0"/>
                    <v:stroke color="#000000" joinstyle="miter"/>
                    <v:imagedata o:title=""/>
                    <o:lock v:ext="edit" aspectratio="f"/>
                    <v:textbox>
                      <w:txbxContent>
                        <w:p>
                          <w:pPr>
                            <w:jc w:val="center"/>
                          </w:pPr>
                          <w:r>
                            <w:rPr>
                              <w:rFonts w:hint="eastAsia"/>
                            </w:rPr>
                            <w:t>涂敷</w:t>
                          </w:r>
                        </w:p>
                      </w:txbxContent>
                    </v:textbox>
                  </v:shape>
                  <v:shape id="_x0000_s124353" o:spid="_x0000_s124353" o:spt="32" type="#_x0000_t32" style="position:absolute;left:6183;top:6319;height:453;width:1;" filled="f" stroked="t" coordsize="21600,21600">
                    <v:path arrowok="t"/>
                    <v:fill on="f" focussize="0,0"/>
                    <v:stroke color="#000000" endarrow="block"/>
                    <v:imagedata o:title=""/>
                    <o:lock v:ext="edit" aspectratio="f"/>
                  </v:shape>
                  <v:shape id="_x0000_s124354" o:spid="_x0000_s124354" o:spt="32" type="#_x0000_t32" style="position:absolute;left:4556;top:7701;height:974;width:12;" filled="f" stroked="t" coordsize="21600,21600">
                    <v:path arrowok="t"/>
                    <v:fill on="f" focussize="0,0"/>
                    <v:stroke color="#000000" endarrow="block"/>
                    <v:imagedata o:title=""/>
                    <o:lock v:ext="edit" aspectratio="f"/>
                  </v:shape>
                  <v:shape id="_x0000_s124355" o:spid="_x0000_s124355" o:spt="202" type="#_x0000_t202" style="position:absolute;left:5400;top:10166;height:439;width:1379;" filled="f" stroked="t" coordsize="21600,21600">
                    <v:path/>
                    <v:fill on="f" focussize="0,0"/>
                    <v:stroke color="#000000" joinstyle="miter"/>
                    <v:imagedata o:title=""/>
                    <o:lock v:ext="edit" aspectratio="f"/>
                    <v:textbox>
                      <w:txbxContent>
                        <w:p>
                          <w:pPr>
                            <w:jc w:val="center"/>
                          </w:pPr>
                          <w:r>
                            <w:rPr>
                              <w:rFonts w:hint="eastAsia"/>
                            </w:rPr>
                            <w:t>组装检验</w:t>
                          </w:r>
                        </w:p>
                      </w:txbxContent>
                    </v:textbox>
                  </v:shape>
                  <v:shape id="_x0000_s124356" o:spid="_x0000_s124356" o:spt="32" type="#_x0000_t32" style="position:absolute;left:6866;top:3404;height:1;width:402;" filled="f" stroked="t" coordsize="21600,21600">
                    <v:path arrowok="t"/>
                    <v:fill on="f" focussize="0,0"/>
                    <v:stroke color="#000000" dashstyle="dash" endarrow="block"/>
                    <v:imagedata o:title=""/>
                    <o:lock v:ext="edit" aspectratio="f"/>
                  </v:shape>
                  <v:shape id="_x0000_s124357" o:spid="_x0000_s124357" o:spt="202" type="#_x0000_t202" style="position:absolute;left:7155;top:3184;height:463;width:1646;" filled="f" stroked="f" coordsize="21600,21600">
                    <v:path/>
                    <v:fill on="f" focussize="0,0"/>
                    <v:stroke on="f"/>
                    <v:imagedata o:title=""/>
                    <o:lock v:ext="edit" aspectratio="f"/>
                    <v:textbox>
                      <w:txbxContent>
                        <w:p>
                          <w:pPr>
                            <w:jc w:val="center"/>
                          </w:pPr>
                          <w:r>
                            <w:rPr>
                              <w:rFonts w:hint="eastAsia"/>
                              <w:lang w:eastAsia="zh-CN"/>
                            </w:rPr>
                            <w:t>S1</w:t>
                          </w:r>
                          <w:r>
                            <w:rPr>
                              <w:rFonts w:hint="eastAsia"/>
                            </w:rPr>
                            <w:t>-1边角料</w:t>
                          </w:r>
                        </w:p>
                        <w:p>
                          <w:pPr>
                            <w:pStyle w:val="27"/>
                            <w:ind w:left="-84" w:right="-17" w:rightChars="-8" w:firstLine="560"/>
                          </w:pPr>
                        </w:p>
                      </w:txbxContent>
                    </v:textbox>
                  </v:shape>
                  <v:shape id="_x0000_s124358" o:spid="_x0000_s124358" o:spt="202" type="#_x0000_t202" style="position:absolute;left:6939;top:4079;height:1008;width:2345;" filled="f" stroked="f" coordsize="21600,21600">
                    <v:path/>
                    <v:fill on="f" focussize="0,0"/>
                    <v:stroke on="f"/>
                    <v:imagedata o:title=""/>
                    <o:lock v:ext="edit" aspectratio="f"/>
                    <v:textbox>
                      <w:txbxContent>
                        <w:p>
                          <w:pPr>
                            <w:jc w:val="center"/>
                            <w:rPr>
                              <w:rFonts w:hint="eastAsia"/>
                            </w:rPr>
                          </w:pPr>
                          <w:r>
                            <w:rPr>
                              <w:rFonts w:hint="eastAsia"/>
                              <w:lang w:eastAsia="zh-CN"/>
                            </w:rPr>
                            <w:t>S1</w:t>
                          </w:r>
                          <w:r>
                            <w:rPr>
                              <w:rFonts w:hint="eastAsia"/>
                            </w:rPr>
                            <w:t>-2边角料</w:t>
                          </w:r>
                        </w:p>
                        <w:p>
                          <w:pPr>
                            <w:jc w:val="center"/>
                            <w:rPr>
                              <w:rFonts w:hint="default" w:eastAsia="宋体"/>
                              <w:lang w:val="en-US" w:eastAsia="zh-CN"/>
                            </w:rPr>
                          </w:pPr>
                          <w:r>
                            <w:rPr>
                              <w:rFonts w:hint="eastAsia"/>
                              <w:lang w:val="en-US" w:eastAsia="zh-CN"/>
                            </w:rPr>
                            <w:t>S1-3废冲压油</w:t>
                          </w:r>
                        </w:p>
                      </w:txbxContent>
                    </v:textbox>
                  </v:shape>
                  <v:shape id="_x0000_s124359" o:spid="_x0000_s124359" o:spt="32" type="#_x0000_t32" style="position:absolute;left:5097;top:6074;height:2;width:402;" filled="f" stroked="t" coordsize="21600,21600">
                    <v:path arrowok="t"/>
                    <v:fill on="f" focussize="0,0"/>
                    <v:stroke color="#000000" endarrow="block"/>
                    <v:imagedata o:title=""/>
                    <o:lock v:ext="edit" aspectratio="f"/>
                  </v:shape>
                  <v:shape id="_x0000_s124360" o:spid="_x0000_s124360" o:spt="202" type="#_x0000_t202" style="position:absolute;left:4112;top:5880;height:412;width:1136;" filled="f" stroked="f" coordsize="21600,21600">
                    <v:path/>
                    <v:fill on="f" focussize="0,0"/>
                    <v:stroke on="f"/>
                    <v:imagedata o:title=""/>
                    <o:lock v:ext="edit" aspectratio="f"/>
                    <v:textbox>
                      <w:txbxContent>
                        <w:p>
                          <w:pPr>
                            <w:jc w:val="center"/>
                          </w:pPr>
                          <w:r>
                            <w:rPr>
                              <w:rFonts w:hint="eastAsia"/>
                            </w:rPr>
                            <w:t>转轴</w:t>
                          </w:r>
                        </w:p>
                      </w:txbxContent>
                    </v:textbox>
                  </v:shape>
                  <v:shape id="_x0000_s124361" o:spid="_x0000_s124361" o:spt="32" type="#_x0000_t32" style="position:absolute;left:3568;top:7447;height:1;width:401;" filled="f" stroked="t" coordsize="21600,21600">
                    <v:path arrowok="t"/>
                    <v:fill on="f" focussize="0,0"/>
                    <v:stroke color="#000000" endarrow="block"/>
                    <v:imagedata o:title=""/>
                    <o:lock v:ext="edit" aspectratio="f"/>
                  </v:shape>
                  <v:shape id="_x0000_s124362" o:spid="_x0000_s124362" o:spt="202" type="#_x0000_t202" style="position:absolute;left:2240;top:7217;height:690;width:1383;" filled="f" stroked="f" coordsize="21600,21600">
                    <v:path/>
                    <v:fill on="f" focussize="0,0"/>
                    <v:stroke on="f"/>
                    <v:imagedata o:title=""/>
                    <o:lock v:ext="edit" aspectratio="f"/>
                    <v:textbox>
                      <w:txbxContent>
                        <w:p>
                          <w:pPr>
                            <w:jc w:val="center"/>
                          </w:pPr>
                          <w:r>
                            <w:rPr>
                              <w:rFonts w:hint="eastAsia"/>
                            </w:rPr>
                            <w:t>环氧树脂粉</w:t>
                          </w:r>
                        </w:p>
                      </w:txbxContent>
                    </v:textbox>
                  </v:shape>
                  <v:shape id="_x0000_s124363" o:spid="_x0000_s124363" o:spt="32" type="#_x0000_t32" style="position:absolute;left:5128;top:7460;height:2;width:401;" filled="f" stroked="t" coordsize="21600,21600">
                    <v:path arrowok="t"/>
                    <v:fill on="f" focussize="0,0"/>
                    <v:stroke color="#000000" dashstyle="dash" endarrow="block"/>
                    <v:imagedata o:title=""/>
                    <o:lock v:ext="edit" aspectratio="f"/>
                  </v:shape>
                  <v:shape id="_x0000_s124364" o:spid="_x0000_s124364" o:spt="202" type="#_x0000_t202" style="position:absolute;left:5189;top:7239;height:484;width:1638;" filled="f" stroked="f" coordsize="21600,21600">
                    <v:path/>
                    <v:fill on="f" focussize="0,0"/>
                    <v:stroke on="f"/>
                    <v:imagedata o:title=""/>
                    <o:lock v:ext="edit" aspectratio="f"/>
                    <v:textbox>
                      <w:txbxContent>
                        <w:p>
                          <w:pPr>
                            <w:jc w:val="center"/>
                          </w:pPr>
                          <w:r>
                            <w:rPr>
                              <w:rFonts w:hint="eastAsia"/>
                              <w:lang w:eastAsia="zh-CN"/>
                            </w:rPr>
                            <w:t>G1</w:t>
                          </w:r>
                          <w:r>
                            <w:rPr>
                              <w:rFonts w:hint="eastAsia"/>
                            </w:rPr>
                            <w:t>-2粉尘</w:t>
                          </w:r>
                        </w:p>
                        <w:p/>
                      </w:txbxContent>
                    </v:textbox>
                  </v:shape>
                  <v:shape id="_x0000_s124365" o:spid="_x0000_s124365" o:spt="202" type="#_x0000_t202" style="position:absolute;left:8476;top:7787;height:785;width:1880;" filled="f" stroked="f" coordsize="21600,21600">
                    <v:path/>
                    <v:fill on="f" focussize="0,0"/>
                    <v:stroke on="f"/>
                    <v:imagedata o:title=""/>
                    <o:lock v:ext="edit" aspectratio="f"/>
                    <v:textbox>
                      <w:txbxContent>
                        <w:p>
                          <w:pPr>
                            <w:jc w:val="center"/>
                          </w:pPr>
                          <w:r>
                            <w:rPr>
                              <w:rFonts w:hint="eastAsia"/>
                              <w:lang w:eastAsia="zh-CN"/>
                            </w:rPr>
                            <w:t>G1</w:t>
                          </w:r>
                          <w:r>
                            <w:rPr>
                              <w:rFonts w:hint="eastAsia"/>
                            </w:rPr>
                            <w:t>-4非甲烷总烃</w:t>
                          </w:r>
                          <w:r>
                            <w:rPr>
                              <w:rFonts w:hint="eastAsia"/>
                              <w:lang w:eastAsia="zh-CN"/>
                            </w:rPr>
                            <w:t>S1</w:t>
                          </w:r>
                          <w:r>
                            <w:rPr>
                              <w:rFonts w:hint="eastAsia"/>
                            </w:rPr>
                            <w:t>-</w:t>
                          </w:r>
                          <w:r>
                            <w:rPr>
                              <w:rFonts w:hint="eastAsia"/>
                              <w:lang w:val="en-US" w:eastAsia="zh-CN"/>
                            </w:rPr>
                            <w:t>4</w:t>
                          </w:r>
                          <w:r>
                            <w:rPr>
                              <w:rFonts w:hint="eastAsia"/>
                            </w:rPr>
                            <w:t>塑料边角料</w:t>
                          </w:r>
                        </w:p>
                        <w:p>
                          <w:pPr>
                            <w:jc w:val="center"/>
                          </w:pPr>
                        </w:p>
                      </w:txbxContent>
                    </v:textbox>
                  </v:shape>
                  <v:shape id="_x0000_s124366" o:spid="_x0000_s124366" o:spt="202" type="#_x0000_t202" style="position:absolute;left:6618;top:7951;height:439;width:1595;" filled="f" stroked="t" coordsize="21600,21600">
                    <v:path/>
                    <v:fill on="f" focussize="0,0"/>
                    <v:stroke color="#000000" joinstyle="miter"/>
                    <v:imagedata o:title=""/>
                    <o:lock v:ext="edit" aspectratio="f"/>
                    <v:textbox>
                      <w:txbxContent>
                        <w:p>
                          <w:pPr>
                            <w:jc w:val="center"/>
                          </w:pPr>
                          <w:r>
                            <w:rPr>
                              <w:rFonts w:hint="eastAsia"/>
                            </w:rPr>
                            <w:t>注塑成型</w:t>
                          </w:r>
                        </w:p>
                      </w:txbxContent>
                    </v:textbox>
                  </v:shape>
                  <v:shape id="_x0000_s124367" o:spid="_x0000_s124367" o:spt="32" type="#_x0000_t32" style="position:absolute;left:7457;top:8390;height:1281;width:6;" filled="f" stroked="t" coordsize="21600,21600">
                    <v:path arrowok="t"/>
                    <v:fill on="f" focussize="0,0"/>
                    <v:stroke color="#000000" endarrow="block"/>
                    <v:imagedata o:title=""/>
                    <o:lock v:ext="edit" aspectratio="f"/>
                  </v:shape>
                  <v:shape id="_x0000_s124368" o:spid="_x0000_s124368" o:spt="32" type="#_x0000_t32" style="position:absolute;left:6217;top:8173;height:1;width:401;" filled="f" stroked="t" coordsize="21600,21600">
                    <v:path arrowok="t"/>
                    <v:fill on="f" focussize="0,0"/>
                    <v:stroke color="#000000" endarrow="block"/>
                    <v:imagedata o:title=""/>
                    <o:lock v:ext="edit" aspectratio="f"/>
                  </v:shape>
                  <v:shape id="_x0000_s124369" o:spid="_x0000_s124369" o:spt="202" type="#_x0000_t202" style="position:absolute;left:4889;top:7978;height:412;width:1390;" filled="f" stroked="f" coordsize="21600,21600">
                    <v:path/>
                    <v:fill on="f" focussize="0,0"/>
                    <v:stroke on="f"/>
                    <v:imagedata o:title=""/>
                    <o:lock v:ext="edit" aspectratio="f"/>
                    <v:textbox>
                      <w:txbxContent>
                        <w:p>
                          <w:pPr>
                            <w:jc w:val="center"/>
                          </w:pPr>
                          <w:r>
                            <w:rPr>
                              <w:rFonts w:hint="eastAsia"/>
                            </w:rPr>
                            <w:t>聚丙烯粒子</w:t>
                          </w:r>
                        </w:p>
                      </w:txbxContent>
                    </v:textbox>
                  </v:shape>
                  <v:shape id="_x0000_s124370" o:spid="_x0000_s124370" o:spt="32" type="#_x0000_t32" style="position:absolute;left:8233;top:8161;height:1;width:400;" filled="f" stroked="t" coordsize="21600,21600">
                    <v:path arrowok="t"/>
                    <v:fill on="f" focussize="0,0"/>
                    <v:stroke color="#000000" dashstyle="dash" endarrow="block"/>
                    <v:imagedata o:title=""/>
                    <o:lock v:ext="edit" aspectratio="f"/>
                  </v:shape>
                  <v:shape id="_x0000_s124371" o:spid="_x0000_s124371" o:spt="32" type="#_x0000_t32" style="position:absolute;left:4539;top:6772;height:1;width:2894;" filled="f" stroked="t" coordsize="21600,21600">
                    <v:path arrowok="t"/>
                    <v:fill on="f" focussize="0,0"/>
                    <v:stroke color="#000000"/>
                    <v:imagedata o:title=""/>
                    <o:lock v:ext="edit" aspectratio="f"/>
                  </v:shape>
                  <v:shape id="_x0000_s124372" o:spid="_x0000_s124372" o:spt="32" type="#_x0000_t32" style="position:absolute;left:4557;top:6787;height:453;width:1;" filled="f" stroked="t" coordsize="21600,21600">
                    <v:path arrowok="t"/>
                    <v:fill on="f" focussize="0,0"/>
                    <v:stroke color="#000000" endarrow="block"/>
                    <v:imagedata o:title=""/>
                    <o:lock v:ext="edit" aspectratio="f"/>
                  </v:shape>
                  <v:shape id="_x0000_s124373" o:spid="_x0000_s124373" o:spt="32" type="#_x0000_t32" style="position:absolute;left:4568;top:9686;height:2;width:2895;" filled="f" stroked="t" coordsize="21600,21600">
                    <v:path arrowok="t"/>
                    <v:fill on="f" focussize="0,0"/>
                    <v:stroke color="#000000"/>
                    <v:imagedata o:title=""/>
                    <o:lock v:ext="edit" aspectratio="f"/>
                  </v:shape>
                  <v:shape id="_x0000_s124374" o:spid="_x0000_s124374" o:spt="32" type="#_x0000_t32" style="position:absolute;left:6086;top:9686;height:454;width:1;" filled="f" stroked="t" coordsize="21600,21600">
                    <v:path arrowok="t"/>
                    <v:fill on="f" focussize="0,0"/>
                    <v:stroke color="#000000" endarrow="block"/>
                    <v:imagedata o:title=""/>
                    <o:lock v:ext="edit" aspectratio="f"/>
                  </v:shape>
                  <v:shape id="_x0000_s124375" o:spid="_x0000_s124375" o:spt="202" type="#_x0000_t202" style="position:absolute;left:4003;top:8698;height:438;width:1101;" filled="f" stroked="t" coordsize="21600,21600">
                    <v:path/>
                    <v:fill on="f" focussize="0,0"/>
                    <v:stroke color="#000000" joinstyle="miter"/>
                    <v:imagedata o:title=""/>
                    <o:lock v:ext="edit" aspectratio="f"/>
                    <v:textbox>
                      <w:txbxContent>
                        <w:p>
                          <w:pPr>
                            <w:jc w:val="center"/>
                          </w:pPr>
                          <w:r>
                            <w:rPr>
                              <w:rFonts w:hint="eastAsia"/>
                            </w:rPr>
                            <w:t>固化</w:t>
                          </w:r>
                        </w:p>
                      </w:txbxContent>
                    </v:textbox>
                  </v:shape>
                  <v:shape id="_x0000_s124376" o:spid="_x0000_s124376" o:spt="32" type="#_x0000_t32" style="position:absolute;left:3578;top:8892;height:1;width:401;" filled="f" stroked="t" coordsize="21600,21600">
                    <v:path arrowok="t"/>
                    <v:fill on="f" focussize="0,0"/>
                    <v:stroke color="#000000" endarrow="block"/>
                    <v:imagedata o:title=""/>
                    <o:lock v:ext="edit" aspectratio="f"/>
                  </v:shape>
                  <v:shape id="_x0000_s124377" o:spid="_x0000_s124377" o:spt="202" type="#_x0000_t202" style="position:absolute;left:2478;top:8710;height:411;width:1383;" filled="f" stroked="f" coordsize="21600,21600">
                    <v:path/>
                    <v:fill on="f" focussize="0,0"/>
                    <v:stroke on="f"/>
                    <v:imagedata o:title=""/>
                    <o:lock v:ext="edit" aspectratio="f"/>
                    <v:textbox>
                      <w:txbxContent>
                        <w:p>
                          <w:pPr>
                            <w:jc w:val="center"/>
                          </w:pPr>
                          <w:r>
                            <w:rPr>
                              <w:rFonts w:hint="eastAsia"/>
                            </w:rPr>
                            <w:t>电加热</w:t>
                          </w:r>
                        </w:p>
                      </w:txbxContent>
                    </v:textbox>
                  </v:shape>
                  <v:shape id="_x0000_s124378" o:spid="_x0000_s124378" o:spt="32" type="#_x0000_t32" style="position:absolute;left:5150;top:8934;height:2;width:401;" filled="f" stroked="t" coordsize="21600,21600">
                    <v:path arrowok="t"/>
                    <v:fill on="f" focussize="0,0"/>
                    <v:stroke color="#000000" dashstyle="dash" endarrow="block"/>
                    <v:imagedata o:title=""/>
                    <o:lock v:ext="edit" aspectratio="f"/>
                  </v:shape>
                  <v:shape id="_x0000_s124379" o:spid="_x0000_s124379" o:spt="202" type="#_x0000_t202" style="position:absolute;left:5427;top:8728;height:440;width:1934;" filled="f" stroked="f" coordsize="21600,21600">
                    <v:path/>
                    <v:fill on="f" focussize="0,0"/>
                    <v:stroke on="f"/>
                    <v:imagedata o:title=""/>
                    <o:lock v:ext="edit" aspectratio="f"/>
                    <v:textbox>
                      <w:txbxContent>
                        <w:p>
                          <w:pPr>
                            <w:jc w:val="center"/>
                          </w:pPr>
                          <w:r>
                            <w:rPr>
                              <w:rFonts w:hint="eastAsia"/>
                              <w:lang w:eastAsia="zh-CN"/>
                            </w:rPr>
                            <w:t>G1</w:t>
                          </w:r>
                          <w:r>
                            <w:rPr>
                              <w:rFonts w:hint="eastAsia"/>
                            </w:rPr>
                            <w:t>-3非甲烷总烃</w:t>
                          </w:r>
                        </w:p>
                        <w:p/>
                      </w:txbxContent>
                    </v:textbox>
                  </v:shape>
                  <v:shape id="_x0000_s124380" o:spid="_x0000_s124380" o:spt="32" type="#_x0000_t32" style="position:absolute;left:4547;top:9165;height:518;width:1;" filled="f" stroked="t" coordsize="21600,21600">
                    <v:path arrowok="t"/>
                    <v:fill on="f" focussize="0,0"/>
                    <v:stroke color="#000000" endarrow="block"/>
                    <v:imagedata o:title=""/>
                    <o:lock v:ext="edit" aspectratio="f"/>
                  </v:shape>
                  <v:shape id="_x0000_s124381" o:spid="_x0000_s124381" o:spt="32" type="#_x0000_t32" style="position:absolute;left:7432;top:6787;height:1165;width:1;" filled="f" stroked="t" coordsize="21600,21600">
                    <v:path arrowok="t"/>
                    <v:fill on="f" focussize="0,0"/>
                    <v:stroke color="#000000" endarrow="block"/>
                    <v:imagedata o:title=""/>
                    <o:lock v:ext="edit" aspectratio="f"/>
                  </v:shape>
                  <v:shape id="_x0000_s124382" o:spid="_x0000_s124382" o:spt="202" type="#_x0000_t202" style="position:absolute;left:5472;top:4992;height:439;width:1379;" filled="f" stroked="t" coordsize="21600,21600">
                    <v:path/>
                    <v:fill on="f" focussize="0,0"/>
                    <v:stroke color="#000000" joinstyle="miter"/>
                    <v:imagedata o:title=""/>
                    <o:lock v:ext="edit" aspectratio="f"/>
                    <v:textbox>
                      <w:txbxContent>
                        <w:p>
                          <w:pPr>
                            <w:jc w:val="center"/>
                          </w:pPr>
                          <w:r>
                            <w:rPr>
                              <w:rFonts w:hint="eastAsia"/>
                            </w:rPr>
                            <w:t>焊接</w:t>
                          </w:r>
                        </w:p>
                      </w:txbxContent>
                    </v:textbox>
                  </v:shape>
                  <v:shape id="_x0000_s124383" o:spid="_x0000_s124383" o:spt="32" type="#_x0000_t32" style="position:absolute;left:6156;top:5431;height:453;width:1;" filled="f" stroked="t" coordsize="21600,21600">
                    <v:path arrowok="t"/>
                    <v:fill on="f" focussize="0,0"/>
                    <v:stroke color="#000000" endarrow="block"/>
                    <v:imagedata o:title=""/>
                    <o:lock v:ext="edit" aspectratio="f"/>
                  </v:shape>
                  <v:shape id="_x0000_s124384" o:spid="_x0000_s124384" o:spt="32" type="#_x0000_t32" style="position:absolute;left:5070;top:5186;height:2;width:402;" filled="f" stroked="t" coordsize="21600,21600">
                    <v:path arrowok="t"/>
                    <v:fill on="f" focussize="0,0"/>
                    <v:stroke color="#000000" endarrow="block"/>
                    <v:imagedata o:title=""/>
                    <o:lock v:ext="edit" aspectratio="f"/>
                  </v:shape>
                  <v:shape id="_x0000_s124385" o:spid="_x0000_s124385" o:spt="202" type="#_x0000_t202" style="position:absolute;left:4085;top:4992;height:412;width:1136;" filled="f" stroked="f" coordsize="21600,21600">
                    <v:path/>
                    <v:fill on="f" focussize="0,0"/>
                    <v:stroke on="f"/>
                    <v:imagedata o:title=""/>
                    <o:lock v:ext="edit" aspectratio="f"/>
                    <v:textbox>
                      <w:txbxContent>
                        <w:p>
                          <w:pPr>
                            <w:jc w:val="center"/>
                          </w:pPr>
                          <w:r>
                            <w:rPr>
                              <w:rFonts w:hint="eastAsia"/>
                            </w:rPr>
                            <w:t>氩气</w:t>
                          </w:r>
                        </w:p>
                      </w:txbxContent>
                    </v:textbox>
                  </v:shape>
                  <v:shape id="_x0000_s124386" o:spid="_x0000_s124386" o:spt="32" type="#_x0000_t32" style="position:absolute;left:6866;top:5183;height:2;width:402;" filled="f" stroked="t" coordsize="21600,21600">
                    <v:path arrowok="t"/>
                    <v:fill on="f" focussize="0,0"/>
                    <v:stroke color="#000000" dashstyle="dash" endarrow="block"/>
                    <v:imagedata o:title=""/>
                    <o:lock v:ext="edit" aspectratio="f"/>
                  </v:shape>
                  <v:shape id="_x0000_s124387" o:spid="_x0000_s124387" o:spt="202" type="#_x0000_t202" style="position:absolute;left:7107;top:4951;height:453;width:1835;" filled="f" stroked="f" coordsize="21600,21600">
                    <v:path/>
                    <v:fill on="f" focussize="0,0"/>
                    <v:stroke on="f"/>
                    <v:imagedata o:title=""/>
                    <o:lock v:ext="edit" aspectratio="f"/>
                    <v:textbox>
                      <w:txbxContent>
                        <w:p>
                          <w:pPr>
                            <w:jc w:val="center"/>
                          </w:pPr>
                          <w:r>
                            <w:rPr>
                              <w:rFonts w:hint="eastAsia"/>
                              <w:lang w:eastAsia="zh-CN"/>
                            </w:rPr>
                            <w:t>G1</w:t>
                          </w:r>
                          <w:r>
                            <w:rPr>
                              <w:rFonts w:hint="eastAsia"/>
                            </w:rPr>
                            <w:t>-1焊接烟尘</w:t>
                          </w:r>
                        </w:p>
                      </w:txbxContent>
                    </v:textbox>
                  </v:shape>
                  <v:shape id="_x0000_s124388" o:spid="_x0000_s124388" o:spt="202" type="#_x0000_t202" style="position:absolute;left:4210;top:6429;height:456;width:1380;" filled="f" stroked="f" coordsize="21600,21600">
                    <v:path/>
                    <v:fill on="f" focussize="0,0"/>
                    <v:stroke on="f"/>
                    <v:imagedata o:title=""/>
                    <o:lock v:ext="edit" aspectratio="f"/>
                    <v:textbox>
                      <w:txbxContent>
                        <w:p>
                          <w:pPr>
                            <w:jc w:val="center"/>
                            <w:rPr>
                              <w:rFonts w:hint="eastAsia" w:eastAsia="宋体"/>
                              <w:lang w:eastAsia="zh-CN"/>
                            </w:rPr>
                          </w:pPr>
                          <w:r>
                            <w:rPr>
                              <w:rFonts w:hint="eastAsia"/>
                              <w:lang w:eastAsia="zh-CN"/>
                            </w:rPr>
                            <w:t>转子铁芯</w:t>
                          </w:r>
                        </w:p>
                      </w:txbxContent>
                    </v:textbox>
                  </v:shape>
                  <v:shape id="_x0000_s124389" o:spid="_x0000_s124389" o:spt="202" type="#_x0000_t202" style="position:absolute;left:6335;top:6441;height:440;width:1380;" filled="f" stroked="f" coordsize="21600,21600">
                    <v:path/>
                    <v:fill on="f" focussize="0,0"/>
                    <v:stroke on="f"/>
                    <v:imagedata o:title=""/>
                    <o:lock v:ext="edit" aspectratio="f"/>
                    <v:textbox>
                      <w:txbxContent>
                        <w:p>
                          <w:pPr>
                            <w:jc w:val="center"/>
                            <w:rPr>
                              <w:rFonts w:hint="eastAsia" w:eastAsia="宋体"/>
                              <w:lang w:eastAsia="zh-CN"/>
                            </w:rPr>
                          </w:pPr>
                          <w:r>
                            <w:rPr>
                              <w:rFonts w:hint="eastAsia"/>
                              <w:lang w:eastAsia="zh-CN"/>
                            </w:rPr>
                            <w:t>定子铁芯</w:t>
                          </w:r>
                        </w:p>
                      </w:txbxContent>
                    </v:textbox>
                  </v:shape>
                  <w10:wrap type="none"/>
                  <w10:anchorlock/>
                </v:group>
              </w:pict>
            </w:r>
          </w:p>
          <w:p>
            <w:pPr>
              <w:keepNext w:val="0"/>
              <w:keepLines w:val="0"/>
              <w:suppressLineNumbers w:val="0"/>
              <w:adjustRightInd w:val="0"/>
              <w:snapToGrid w:val="0"/>
              <w:spacing w:before="0" w:beforeAutospacing="0" w:after="0" w:afterAutospacing="0" w:line="360" w:lineRule="auto"/>
              <w:ind w:left="0" w:right="0" w:firstLine="482" w:firstLineChars="200"/>
              <w:rPr>
                <w:rFonts w:ascii="宋体" w:hAnsi="宋体"/>
                <w:b/>
                <w:sz w:val="24"/>
              </w:rPr>
            </w:pPr>
            <w:r>
              <w:rPr>
                <w:rFonts w:hint="eastAsia" w:ascii="宋体" w:hAnsi="宋体"/>
                <w:b/>
                <w:sz w:val="24"/>
              </w:rPr>
              <w:t>工艺流程说明：</w:t>
            </w:r>
          </w:p>
          <w:p>
            <w:pPr>
              <w:keepNext w:val="0"/>
              <w:keepLines w:val="0"/>
              <w:suppressLineNumbers w:val="0"/>
              <w:autoSpaceDE w:val="0"/>
              <w:spacing w:before="0" w:beforeAutospacing="0" w:after="0" w:afterAutospacing="0" w:line="360" w:lineRule="auto"/>
              <w:ind w:left="0" w:right="0" w:firstLine="482" w:firstLineChars="200"/>
              <w:rPr>
                <w:sz w:val="24"/>
              </w:rPr>
            </w:pPr>
            <w:r>
              <w:rPr>
                <w:rFonts w:hint="eastAsia"/>
                <w:b/>
                <w:sz w:val="24"/>
              </w:rPr>
              <w:t>纵剪：</w:t>
            </w:r>
            <w:r>
              <w:rPr>
                <w:rFonts w:hint="eastAsia"/>
                <w:sz w:val="24"/>
              </w:rPr>
              <w:t>外购的硅钢钢材根据客户需求需采用金属纵剪机进行裁剪加工成对应宽度的子卷，该过程会产生边角料（</w:t>
            </w:r>
            <w:r>
              <w:rPr>
                <w:rFonts w:hint="eastAsia"/>
                <w:sz w:val="24"/>
                <w:lang w:eastAsia="zh-CN"/>
              </w:rPr>
              <w:t>S1</w:t>
            </w:r>
            <w:r>
              <w:rPr>
                <w:rFonts w:hint="eastAsia"/>
                <w:sz w:val="24"/>
              </w:rPr>
              <w:t>-1）；</w:t>
            </w:r>
          </w:p>
          <w:p>
            <w:pPr>
              <w:keepNext w:val="0"/>
              <w:keepLines w:val="0"/>
              <w:suppressLineNumbers w:val="0"/>
              <w:autoSpaceDE w:val="0"/>
              <w:spacing w:before="0" w:beforeAutospacing="0" w:after="0" w:afterAutospacing="0" w:line="360" w:lineRule="auto"/>
              <w:ind w:left="0" w:right="0" w:firstLine="482" w:firstLineChars="200"/>
              <w:rPr>
                <w:sz w:val="24"/>
              </w:rPr>
            </w:pPr>
            <w:r>
              <w:rPr>
                <w:rFonts w:hint="eastAsia"/>
                <w:b/>
                <w:sz w:val="24"/>
              </w:rPr>
              <w:t>冲压：</w:t>
            </w:r>
            <w:r>
              <w:rPr>
                <w:rFonts w:hint="eastAsia"/>
                <w:sz w:val="24"/>
              </w:rPr>
              <w:t>将纵剪后的子卷利用高速冲床、普通冲床冲压成型为转子铁芯和定子铁芯；</w:t>
            </w:r>
            <w:r>
              <w:rPr>
                <w:sz w:val="24"/>
              </w:rPr>
              <w:t>冲压是靠</w:t>
            </w:r>
            <w:r>
              <w:fldChar w:fldCharType="begin"/>
            </w:r>
            <w:r>
              <w:instrText xml:space="preserve"> HYPERLINK "https://baike.baidu.com/item/%E5%8E%8B%E5%8A%9B%E6%9C%BA/5290838" \t "_blank" </w:instrText>
            </w:r>
            <w:r>
              <w:fldChar w:fldCharType="separate"/>
            </w:r>
            <w:r>
              <w:rPr>
                <w:sz w:val="24"/>
              </w:rPr>
              <w:t>压力机</w:t>
            </w:r>
            <w:r>
              <w:rPr>
                <w:sz w:val="24"/>
              </w:rPr>
              <w:fldChar w:fldCharType="end"/>
            </w:r>
            <w:r>
              <w:rPr>
                <w:sz w:val="24"/>
              </w:rPr>
              <w:t>和模具对</w:t>
            </w:r>
            <w:r>
              <w:fldChar w:fldCharType="begin"/>
            </w:r>
            <w:r>
              <w:instrText xml:space="preserve"> HYPERLINK "https://baike.baidu.com/item/%E6%9D%BF%E6%9D%90/3727123" \t "_blank" </w:instrText>
            </w:r>
            <w:r>
              <w:fldChar w:fldCharType="separate"/>
            </w:r>
            <w:r>
              <w:rPr>
                <w:sz w:val="24"/>
              </w:rPr>
              <w:t>板材</w:t>
            </w:r>
            <w:r>
              <w:rPr>
                <w:sz w:val="24"/>
              </w:rPr>
              <w:fldChar w:fldCharType="end"/>
            </w:r>
            <w:r>
              <w:rPr>
                <w:sz w:val="24"/>
              </w:rPr>
              <w:t>、</w:t>
            </w:r>
            <w:r>
              <w:fldChar w:fldCharType="begin"/>
            </w:r>
            <w:r>
              <w:instrText xml:space="preserve"> HYPERLINK "https://baike.baidu.com/item/%E5%B8%A6%E6%9D%90/5347178" \t "_blank" </w:instrText>
            </w:r>
            <w:r>
              <w:fldChar w:fldCharType="separate"/>
            </w:r>
            <w:r>
              <w:rPr>
                <w:sz w:val="24"/>
              </w:rPr>
              <w:t>带材</w:t>
            </w:r>
            <w:r>
              <w:rPr>
                <w:sz w:val="24"/>
              </w:rPr>
              <w:fldChar w:fldCharType="end"/>
            </w:r>
            <w:r>
              <w:rPr>
                <w:sz w:val="24"/>
              </w:rPr>
              <w:t>、</w:t>
            </w:r>
            <w:r>
              <w:fldChar w:fldCharType="begin"/>
            </w:r>
            <w:r>
              <w:instrText xml:space="preserve"> HYPERLINK "https://baike.baidu.com/item/%E7%AE%A1%E6%9D%90/3742069" \t "_blank" </w:instrText>
            </w:r>
            <w:r>
              <w:fldChar w:fldCharType="separate"/>
            </w:r>
            <w:r>
              <w:rPr>
                <w:sz w:val="24"/>
              </w:rPr>
              <w:t>管材</w:t>
            </w:r>
            <w:r>
              <w:rPr>
                <w:sz w:val="24"/>
              </w:rPr>
              <w:fldChar w:fldCharType="end"/>
            </w:r>
            <w:r>
              <w:rPr>
                <w:sz w:val="24"/>
              </w:rPr>
              <w:t>和型材等施加外力，使之产生塑性变形或分离，从而获得所需形状和尺寸的</w:t>
            </w:r>
            <w:r>
              <w:fldChar w:fldCharType="begin"/>
            </w:r>
            <w:r>
              <w:instrText xml:space="preserve"> HYPERLINK "https://baike.baidu.com/item/%E5%B7%A5%E4%BB%B6/976341" \t "_blank" </w:instrText>
            </w:r>
            <w:r>
              <w:fldChar w:fldCharType="separate"/>
            </w:r>
            <w:r>
              <w:rPr>
                <w:sz w:val="24"/>
              </w:rPr>
              <w:t>工件</w:t>
            </w:r>
            <w:r>
              <w:rPr>
                <w:sz w:val="24"/>
              </w:rPr>
              <w:fldChar w:fldCharType="end"/>
            </w:r>
            <w:r>
              <w:rPr>
                <w:sz w:val="24"/>
              </w:rPr>
              <w:t>（冲压件）的成形加工方法</w:t>
            </w:r>
            <w:r>
              <w:rPr>
                <w:rFonts w:hint="eastAsia"/>
                <w:sz w:val="24"/>
              </w:rPr>
              <w:t>；冲压过程需定期添加冲压油，以起到润滑和冷却的作用，冲压油循环使用，定期添加</w:t>
            </w:r>
            <w:r>
              <w:rPr>
                <w:rFonts w:hint="eastAsia"/>
                <w:sz w:val="24"/>
                <w:lang w:eastAsia="zh-CN"/>
              </w:rPr>
              <w:t>，</w:t>
            </w:r>
            <w:r>
              <w:rPr>
                <w:rFonts w:hint="eastAsia"/>
                <w:sz w:val="24"/>
              </w:rPr>
              <w:t>部分</w:t>
            </w:r>
            <w:r>
              <w:rPr>
                <w:rFonts w:hint="eastAsia"/>
                <w:sz w:val="24"/>
                <w:lang w:eastAsia="zh-CN"/>
              </w:rPr>
              <w:t>粘于产品表面，随产品一并损耗</w:t>
            </w:r>
            <w:r>
              <w:rPr>
                <w:rFonts w:hint="eastAsia"/>
                <w:sz w:val="24"/>
              </w:rPr>
              <w:t>。该过程会产生边角料（</w:t>
            </w:r>
            <w:r>
              <w:rPr>
                <w:rFonts w:hint="eastAsia"/>
                <w:sz w:val="24"/>
                <w:lang w:eastAsia="zh-CN"/>
              </w:rPr>
              <w:t>S1</w:t>
            </w:r>
            <w:r>
              <w:rPr>
                <w:rFonts w:hint="eastAsia"/>
                <w:sz w:val="24"/>
              </w:rPr>
              <w:t>-2）</w:t>
            </w:r>
            <w:r>
              <w:rPr>
                <w:rFonts w:hint="eastAsia"/>
                <w:sz w:val="24"/>
                <w:lang w:eastAsia="zh-CN"/>
              </w:rPr>
              <w:t>和废冲压油（</w:t>
            </w:r>
            <w:r>
              <w:rPr>
                <w:rFonts w:hint="eastAsia"/>
                <w:sz w:val="24"/>
                <w:lang w:val="en-US" w:eastAsia="zh-CN"/>
              </w:rPr>
              <w:t>S1-3</w:t>
            </w:r>
            <w:r>
              <w:rPr>
                <w:rFonts w:hint="eastAsia"/>
                <w:sz w:val="24"/>
                <w:lang w:eastAsia="zh-CN"/>
              </w:rPr>
              <w:t>）</w:t>
            </w:r>
            <w:r>
              <w:rPr>
                <w:rFonts w:hint="eastAsia"/>
                <w:sz w:val="24"/>
              </w:rPr>
              <w:t>；</w:t>
            </w:r>
          </w:p>
          <w:p>
            <w:pPr>
              <w:keepNext w:val="0"/>
              <w:keepLines w:val="0"/>
              <w:suppressLineNumbers w:val="0"/>
              <w:autoSpaceDE w:val="0"/>
              <w:spacing w:before="0" w:beforeAutospacing="0" w:after="0" w:afterAutospacing="0" w:line="360" w:lineRule="auto"/>
              <w:ind w:left="0" w:right="0" w:firstLine="482" w:firstLineChars="200"/>
              <w:rPr>
                <w:b/>
                <w:sz w:val="24"/>
              </w:rPr>
            </w:pPr>
            <w:r>
              <w:rPr>
                <w:rFonts w:hint="eastAsia"/>
                <w:b/>
                <w:sz w:val="24"/>
              </w:rPr>
              <w:t>焊接：</w:t>
            </w:r>
            <w:r>
              <w:rPr>
                <w:rFonts w:hint="eastAsia"/>
                <w:sz w:val="24"/>
              </w:rPr>
              <w:t>根据客户要求，部分冲压成型的定子铁芯、转子铁芯需利用定子迭压焊机和氩弧焊机进行焊接，焊接采用氩弧焊工艺，不使用焊丝，利用电弧高温把铁芯局部熔化，实现铁芯片之间的连接，该过程会产生焊接烟尘（</w:t>
            </w:r>
            <w:r>
              <w:rPr>
                <w:rFonts w:hint="eastAsia"/>
                <w:sz w:val="24"/>
                <w:lang w:eastAsia="zh-CN"/>
              </w:rPr>
              <w:t>G1</w:t>
            </w:r>
            <w:r>
              <w:rPr>
                <w:rFonts w:hint="eastAsia"/>
                <w:sz w:val="24"/>
              </w:rPr>
              <w:t>-1）。</w:t>
            </w:r>
          </w:p>
          <w:p>
            <w:pPr>
              <w:keepNext w:val="0"/>
              <w:keepLines w:val="0"/>
              <w:suppressLineNumbers w:val="0"/>
              <w:autoSpaceDE w:val="0"/>
              <w:spacing w:before="0" w:beforeAutospacing="0" w:after="0" w:afterAutospacing="0" w:line="360" w:lineRule="auto"/>
              <w:ind w:left="0" w:right="0" w:firstLine="482" w:firstLineChars="200"/>
              <w:rPr>
                <w:sz w:val="24"/>
              </w:rPr>
            </w:pPr>
            <w:r>
              <w:rPr>
                <w:rFonts w:hint="eastAsia"/>
                <w:b/>
                <w:sz w:val="24"/>
              </w:rPr>
              <w:t>入轴：</w:t>
            </w:r>
            <w:r>
              <w:rPr>
                <w:rFonts w:hint="eastAsia"/>
                <w:sz w:val="24"/>
              </w:rPr>
              <w:t>冲压/焊接后所得的转子铁芯和</w:t>
            </w:r>
            <w:r>
              <w:rPr>
                <w:rFonts w:hint="eastAsia"/>
                <w:sz w:val="24"/>
                <w:lang w:eastAsia="zh-CN"/>
              </w:rPr>
              <w:t>定</w:t>
            </w:r>
            <w:r>
              <w:rPr>
                <w:rFonts w:hint="eastAsia"/>
                <w:sz w:val="24"/>
              </w:rPr>
              <w:t>子铁芯需要使用入轴机进行穿转轴。</w:t>
            </w:r>
          </w:p>
          <w:p>
            <w:pPr>
              <w:keepNext w:val="0"/>
              <w:keepLines w:val="0"/>
              <w:suppressLineNumbers w:val="0"/>
              <w:autoSpaceDE w:val="0"/>
              <w:spacing w:before="0" w:beforeAutospacing="0" w:after="0" w:afterAutospacing="0" w:line="360" w:lineRule="auto"/>
              <w:ind w:left="0" w:right="0" w:firstLine="482" w:firstLineChars="200"/>
              <w:rPr>
                <w:sz w:val="24"/>
              </w:rPr>
            </w:pPr>
            <w:r>
              <w:rPr>
                <w:rFonts w:hint="eastAsia"/>
                <w:b/>
                <w:sz w:val="24"/>
              </w:rPr>
              <w:t>涂敷：</w:t>
            </w:r>
            <w:r>
              <w:rPr>
                <w:rFonts w:hint="eastAsia"/>
                <w:sz w:val="24"/>
              </w:rPr>
              <w:t>入轴后的转子铁芯需采用涂敷机进行涂敷，涂敷是在涂敷机中静电粉末涂敷室内的涂敷粉箱上实现的，涂敷粉箱由底部涂敷气室、微孔板、高压静电电极等组成。涂敷粉箱内加入干燥的环氧树脂粉，通过调节涂敷上粉气压（压缩空气）使粉末达到最佳流化状态，由高压静电发生器输出的高压静电，通过电极放电，使粉末带电后均匀地吸附在转子表面。涂敷粉箱下面为供粉箱，工作前由人工加入新粉（加入的粉末在流化起来后最多不得高于离涂敷粉箱底部100mm的位置），送粉泵可匀速循环地将粉末通过送粉管送入涂敷流化箱内，满足涂敷需要。粉箱后侧设有一个粉末送入口，供粉箱内的粉末通过送粉泵将粉末送入涂敷粉箱内，使粉末能够控制在一定的水平面。涂敷全程自动进行，无需人工操作。该过程会产生粉尘（</w:t>
            </w:r>
            <w:r>
              <w:rPr>
                <w:rFonts w:hint="eastAsia"/>
                <w:sz w:val="24"/>
                <w:lang w:eastAsia="zh-CN"/>
              </w:rPr>
              <w:t>G1</w:t>
            </w:r>
            <w:r>
              <w:rPr>
                <w:rFonts w:hint="eastAsia"/>
                <w:sz w:val="24"/>
              </w:rPr>
              <w:t>-2）。</w:t>
            </w:r>
          </w:p>
          <w:p>
            <w:pPr>
              <w:keepNext w:val="0"/>
              <w:keepLines w:val="0"/>
              <w:suppressLineNumbers w:val="0"/>
              <w:autoSpaceDE w:val="0"/>
              <w:spacing w:before="0" w:beforeAutospacing="0" w:after="0" w:afterAutospacing="0" w:line="360" w:lineRule="auto"/>
              <w:ind w:left="0" w:right="0" w:firstLine="482" w:firstLineChars="200"/>
              <w:rPr>
                <w:sz w:val="24"/>
              </w:rPr>
            </w:pPr>
            <w:r>
              <w:rPr>
                <w:rFonts w:hint="eastAsia"/>
                <w:b/>
                <w:sz w:val="24"/>
              </w:rPr>
              <w:t>固化：</w:t>
            </w:r>
            <w:r>
              <w:rPr>
                <w:rFonts w:hint="eastAsia"/>
                <w:sz w:val="24"/>
              </w:rPr>
              <w:t>涂敷完成后的转子铁芯需进行固化处理，固化温度180-220℃，固化时间20-30分钟，固化过程在烘箱内进行，固化过程采用电加热。固化完成后的转子铁芯在涂敷注塑车间内进行自然冷却，恢复到常温。该工序会产生非甲烷总烃（</w:t>
            </w:r>
            <w:r>
              <w:rPr>
                <w:rFonts w:hint="eastAsia"/>
                <w:sz w:val="24"/>
                <w:lang w:eastAsia="zh-CN"/>
              </w:rPr>
              <w:t>G1</w:t>
            </w:r>
            <w:r>
              <w:rPr>
                <w:rFonts w:hint="eastAsia"/>
                <w:sz w:val="24"/>
              </w:rPr>
              <w:t>-3）。</w:t>
            </w:r>
          </w:p>
          <w:p>
            <w:pPr>
              <w:keepNext w:val="0"/>
              <w:keepLines w:val="0"/>
              <w:suppressLineNumbers w:val="0"/>
              <w:autoSpaceDE w:val="0"/>
              <w:spacing w:before="0" w:beforeAutospacing="0" w:after="0" w:afterAutospacing="0" w:line="360" w:lineRule="auto"/>
              <w:ind w:left="0" w:right="0" w:firstLine="482" w:firstLineChars="200"/>
              <w:rPr>
                <w:sz w:val="24"/>
              </w:rPr>
            </w:pPr>
            <w:r>
              <w:rPr>
                <w:rFonts w:hint="eastAsia"/>
                <w:b/>
                <w:sz w:val="24"/>
              </w:rPr>
              <w:t>注塑成型：</w:t>
            </w:r>
            <w:r>
              <w:rPr>
                <w:rFonts w:hint="eastAsia"/>
                <w:sz w:val="24"/>
              </w:rPr>
              <w:t>入轴后的定子铁芯需进行注塑成型处理，</w:t>
            </w:r>
            <w:r>
              <w:rPr>
                <w:sz w:val="24"/>
              </w:rPr>
              <w:t>使用注塑机对</w:t>
            </w:r>
            <w:r>
              <w:rPr>
                <w:rFonts w:hint="eastAsia"/>
                <w:sz w:val="24"/>
              </w:rPr>
              <w:t>聚丙烯粒子</w:t>
            </w:r>
            <w:r>
              <w:rPr>
                <w:sz w:val="24"/>
              </w:rPr>
              <w:t>加热融化，</w:t>
            </w:r>
            <w:r>
              <w:rPr>
                <w:rFonts w:hint="eastAsia"/>
                <w:sz w:val="24"/>
              </w:rPr>
              <w:t>加热方式为电加热，当聚丙烯粒子加热至160℃~18</w:t>
            </w:r>
            <w:r>
              <w:rPr>
                <w:sz w:val="24"/>
              </w:rPr>
              <w:t>0</w:t>
            </w:r>
            <w:r>
              <w:rPr>
                <w:rFonts w:hint="eastAsia"/>
                <w:sz w:val="24"/>
              </w:rPr>
              <w:t>℃时</w:t>
            </w:r>
            <w:r>
              <w:rPr>
                <w:sz w:val="24"/>
              </w:rPr>
              <w:t>，</w:t>
            </w:r>
            <w:r>
              <w:rPr>
                <w:rFonts w:hint="eastAsia"/>
                <w:sz w:val="24"/>
              </w:rPr>
              <w:t>在螺杆旋转的挤压推动作用下，通过注塑机机筒内壁和螺杆的摩擦作用向前输送和压实，在高温、高压条件下塑料粒子熔融、塑化。连续转动的螺杆把熔融塑料推入放有定子铁芯的模具中，塑料熔体通过模具被加工成所需形状。成型过程注塑模具通过夹套内循环冷却水进行间接冷却，从而使产品定型，冷却水循环使用，定期添加，不外排。</w:t>
            </w:r>
            <w:r>
              <w:rPr>
                <w:sz w:val="24"/>
              </w:rPr>
              <w:t>该工序产生</w:t>
            </w:r>
            <w:r>
              <w:rPr>
                <w:rFonts w:hint="eastAsia"/>
                <w:sz w:val="24"/>
              </w:rPr>
              <w:t>非</w:t>
            </w:r>
            <w:r>
              <w:rPr>
                <w:sz w:val="24"/>
              </w:rPr>
              <w:t>甲烷</w:t>
            </w:r>
            <w:r>
              <w:rPr>
                <w:rFonts w:hint="eastAsia"/>
                <w:sz w:val="24"/>
              </w:rPr>
              <w:t>总</w:t>
            </w:r>
            <w:r>
              <w:rPr>
                <w:sz w:val="24"/>
              </w:rPr>
              <w:t>烃</w:t>
            </w:r>
            <w:r>
              <w:rPr>
                <w:rFonts w:hint="eastAsia"/>
                <w:sz w:val="24"/>
              </w:rPr>
              <w:t>（</w:t>
            </w:r>
            <w:r>
              <w:rPr>
                <w:rFonts w:hint="eastAsia"/>
                <w:sz w:val="24"/>
                <w:lang w:eastAsia="zh-CN"/>
              </w:rPr>
              <w:t>G1</w:t>
            </w:r>
            <w:r>
              <w:rPr>
                <w:rFonts w:hint="eastAsia"/>
                <w:sz w:val="24"/>
              </w:rPr>
              <w:t>-4）、塑料边角料（</w:t>
            </w:r>
            <w:r>
              <w:rPr>
                <w:rFonts w:hint="eastAsia"/>
                <w:sz w:val="24"/>
                <w:lang w:eastAsia="zh-CN"/>
              </w:rPr>
              <w:t>S1</w:t>
            </w:r>
            <w:r>
              <w:rPr>
                <w:rFonts w:hint="eastAsia"/>
                <w:sz w:val="24"/>
              </w:rPr>
              <w:t>-</w:t>
            </w:r>
            <w:r>
              <w:rPr>
                <w:rFonts w:hint="eastAsia"/>
                <w:sz w:val="24"/>
                <w:lang w:val="en-US" w:eastAsia="zh-CN"/>
              </w:rPr>
              <w:t>4</w:t>
            </w:r>
            <w:r>
              <w:rPr>
                <w:rFonts w:hint="eastAsia"/>
                <w:sz w:val="24"/>
              </w:rPr>
              <w:t>）。</w:t>
            </w:r>
          </w:p>
          <w:p>
            <w:pPr>
              <w:keepNext w:val="0"/>
              <w:keepLines w:val="0"/>
              <w:suppressLineNumbers w:val="0"/>
              <w:autoSpaceDE w:val="0"/>
              <w:spacing w:before="0" w:beforeAutospacing="0" w:after="0" w:afterAutospacing="0" w:line="360" w:lineRule="auto"/>
              <w:ind w:left="0" w:right="0" w:firstLine="482" w:firstLineChars="200"/>
              <w:rPr>
                <w:sz w:val="24"/>
              </w:rPr>
            </w:pPr>
            <w:r>
              <w:rPr>
                <w:rFonts w:hint="eastAsia"/>
                <w:b/>
                <w:sz w:val="24"/>
              </w:rPr>
              <w:t>组装检验：</w:t>
            </w:r>
            <w:r>
              <w:rPr>
                <w:rFonts w:hint="eastAsia"/>
                <w:sz w:val="24"/>
              </w:rPr>
              <w:t>经注塑成型及固化处理后的半成品需进行人工检验，对检验合格的产品进行组装得到成品。此工序产生不合格品（</w:t>
            </w:r>
            <w:r>
              <w:rPr>
                <w:rFonts w:hint="eastAsia"/>
                <w:sz w:val="24"/>
                <w:lang w:eastAsia="zh-CN"/>
              </w:rPr>
              <w:t>S1</w:t>
            </w:r>
            <w:r>
              <w:rPr>
                <w:rFonts w:hint="eastAsia"/>
                <w:sz w:val="24"/>
              </w:rPr>
              <w:t>-</w:t>
            </w:r>
            <w:r>
              <w:rPr>
                <w:rFonts w:hint="eastAsia"/>
                <w:sz w:val="24"/>
                <w:lang w:val="en-US" w:eastAsia="zh-CN"/>
              </w:rPr>
              <w:t>5</w:t>
            </w:r>
            <w:r>
              <w:rPr>
                <w:rFonts w:hint="eastAsia"/>
                <w:sz w:val="24"/>
              </w:rPr>
              <w:t>）。</w:t>
            </w:r>
          </w:p>
          <w:p>
            <w:pPr>
              <w:keepNext w:val="0"/>
              <w:keepLines w:val="0"/>
              <w:suppressLineNumbers w:val="0"/>
              <w:adjustRightInd w:val="0"/>
              <w:snapToGrid w:val="0"/>
              <w:spacing w:before="0" w:beforeAutospacing="0" w:after="0" w:afterAutospacing="0"/>
              <w:ind w:left="0" w:right="0"/>
              <w:rPr>
                <w:rFonts w:ascii="宋体" w:hAnsi="宋体"/>
                <w:b/>
                <w:color w:val="000000"/>
                <w:sz w:val="24"/>
              </w:rPr>
            </w:pPr>
            <w:r>
              <w:rPr>
                <w:rFonts w:hint="eastAsia"/>
                <w:b/>
                <w:color w:val="000000"/>
                <w:sz w:val="24"/>
                <w:lang w:val="en-US" w:eastAsia="zh-CN"/>
              </w:rPr>
              <w:t>2</w:t>
            </w:r>
            <w:r>
              <w:rPr>
                <w:rFonts w:hint="eastAsia" w:ascii="宋体" w:hAnsi="宋体"/>
                <w:b/>
                <w:color w:val="000000"/>
                <w:sz w:val="24"/>
              </w:rPr>
              <w:t>、电机机壳</w:t>
            </w:r>
            <w:r>
              <w:rPr>
                <w:rFonts w:ascii="宋体" w:hAnsi="宋体"/>
                <w:b/>
                <w:color w:val="000000"/>
                <w:sz w:val="24"/>
              </w:rPr>
              <w:t>工艺流程</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0" w:firstLineChars="0"/>
              <w:textAlignment w:val="auto"/>
              <w:rPr>
                <w:rFonts w:ascii="宋体" w:hAnsi="宋体"/>
                <w:b/>
                <w:sz w:val="24"/>
              </w:rPr>
            </w:pPr>
            <w:r>
              <w:rPr>
                <w:rFonts w:ascii="宋体" w:hAnsi="宋体"/>
                <w:b/>
                <w:sz w:val="24"/>
              </w:rPr>
              <w:pict>
                <v:group id="_x0000_s124193" o:spid="_x0000_s124193" o:spt="203" style="height:459.3pt;width:421.2pt;" coordorigin="2054,2956" coordsize="8424,9186" editas="canvas">
                  <o:lock v:ext="edit"/>
                  <v:shape id="_x0000_s124192" o:spid="_x0000_s124192" o:spt="75" type="#_x0000_t75" style="position:absolute;left:2054;top:2956;height:9186;width:8424;" filled="f" stroked="f" coordsize="21600,21600">
                    <v:path/>
                    <v:fill on="f" focussize="0,0"/>
                    <v:stroke on="f"/>
                    <v:imagedata o:title=""/>
                    <o:lock v:ext="edit" text="t" aspectratio="t"/>
                  </v:shape>
                  <v:shape id="_x0000_s124235" o:spid="_x0000_s124235" o:spt="32" type="#_x0000_t32" style="position:absolute;left:6229;top:9887;height:453;width:1;" filled="f" stroked="t" coordsize="21600,21600">
                    <v:path arrowok="t"/>
                    <v:fill on="f" focussize="0,0"/>
                    <v:stroke color="#000000" endarrow="block"/>
                    <v:imagedata o:title=""/>
                    <o:lock v:ext="edit" aspectratio="f"/>
                  </v:shape>
                  <v:shape id="_x0000_s124236" o:spid="_x0000_s124236" o:spt="202" type="#_x0000_t202" style="position:absolute;left:5757;top:10340;height:439;width:963;" filled="f" stroked="f" coordsize="21600,21600">
                    <v:path/>
                    <v:fill on="f" focussize="0,0"/>
                    <v:stroke on="f"/>
                    <v:imagedata o:title=""/>
                    <o:lock v:ext="edit" aspectratio="f"/>
                    <v:textbox>
                      <w:txbxContent>
                        <w:p>
                          <w:pPr>
                            <w:jc w:val="center"/>
                          </w:pPr>
                          <w:r>
                            <w:rPr>
                              <w:rFonts w:hint="eastAsia"/>
                            </w:rPr>
                            <w:t>成品</w:t>
                          </w:r>
                        </w:p>
                      </w:txbxContent>
                    </v:textbox>
                  </v:shape>
                  <v:shape id="文本框 11" o:spid="_x0000_s124237" o:spt="202" type="#_x0000_t202" style="position:absolute;left:7822;top:10699;height:498;width:1774;" filled="f" stroked="f" coordsize="21600,21600" o:gfxdata="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">
                    <v:path/>
                    <v:fill on="f" focussize="0,0"/>
                    <v:stroke on="f"/>
                    <v:imagedata o:title=""/>
                    <o:lock v:ext="edit" aspectratio="f"/>
                    <v:textbox>
                      <w:txbxContent>
                        <w:p>
                          <w:pPr>
                            <w:rPr>
                              <w:szCs w:val="21"/>
                            </w:rPr>
                          </w:pPr>
                          <w:r>
                            <w:rPr>
                              <w:rFonts w:hint="eastAsia" w:ascii="宋体" w:hAnsi="宋体" w:cs="宋体"/>
                              <w:szCs w:val="21"/>
                            </w:rPr>
                            <w:t>注：</w:t>
                          </w:r>
                          <w:r>
                            <w:rPr>
                              <w:szCs w:val="21"/>
                            </w:rPr>
                            <w:t>S</w:t>
                          </w:r>
                          <w:r>
                            <w:rPr>
                              <w:rFonts w:hAnsi="宋体"/>
                              <w:szCs w:val="21"/>
                            </w:rPr>
                            <w:t>固体废物</w:t>
                          </w:r>
                        </w:p>
                      </w:txbxContent>
                    </v:textbox>
                  </v:shape>
                  <v:shape id="文本框 26" o:spid="_x0000_s124238" o:spt="202" type="#_x0000_t202" style="position:absolute;left:4322;top:11299;height:444;width:4140;" filled="f" stroked="f" coordsize="21600,21600" o:gfxdata="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">
                    <v:path/>
                    <v:fill on="f" focussize="0,0"/>
                    <v:stroke on="f"/>
                    <v:imagedata o:title=""/>
                    <o:lock v:ext="edit" aspectratio="f"/>
                    <v:textbox>
                      <w:txbxContent>
                        <w:p>
                          <w:pPr>
                            <w:rPr>
                              <w:rFonts w:ascii="宋体" w:hAnsi="宋体" w:cs="宋体"/>
                              <w:b/>
                              <w:bCs/>
                              <w:sz w:val="24"/>
                            </w:rPr>
                          </w:pPr>
                          <w:r>
                            <w:rPr>
                              <w:rFonts w:hint="eastAsia" w:ascii="宋体" w:hAnsi="宋体" w:cs="宋体"/>
                              <w:b/>
                              <w:bCs/>
                              <w:sz w:val="24"/>
                            </w:rPr>
                            <w:t>图</w:t>
                          </w:r>
                          <w:r>
                            <w:rPr>
                              <w:rFonts w:hint="eastAsia" w:cs="宋体"/>
                              <w:b/>
                              <w:bCs/>
                              <w:sz w:val="24"/>
                            </w:rPr>
                            <w:t>2</w:t>
                          </w:r>
                          <w:r>
                            <w:rPr>
                              <w:rFonts w:hint="eastAsia" w:ascii="宋体" w:hAnsi="宋体" w:cs="宋体"/>
                              <w:b/>
                              <w:bCs/>
                              <w:sz w:val="24"/>
                            </w:rPr>
                            <w:t>-</w:t>
                          </w:r>
                          <w:r>
                            <w:rPr>
                              <w:rFonts w:hint="eastAsia" w:cs="宋体"/>
                              <w:b/>
                              <w:bCs/>
                              <w:sz w:val="24"/>
                              <w:lang w:val="en-US" w:eastAsia="zh-CN"/>
                            </w:rPr>
                            <w:t>3</w:t>
                          </w:r>
                          <w:r>
                            <w:rPr>
                              <w:rFonts w:hint="eastAsia" w:ascii="宋体" w:hAnsi="宋体" w:cs="宋体"/>
                              <w:b/>
                              <w:bCs/>
                              <w:sz w:val="24"/>
                            </w:rPr>
                            <w:t xml:space="preserve"> 电机机壳生产工艺流程图</w:t>
                          </w:r>
                        </w:p>
                      </w:txbxContent>
                    </v:textbox>
                  </v:shape>
                  <v:shape id="_x0000_s124239" o:spid="_x0000_s124239" o:spt="202" type="#_x0000_t202" style="position:absolute;left:5472;top:5026;height:438;width:1379;" filled="f" stroked="t" coordsize="21600,21600">
                    <v:path/>
                    <v:fill on="f" focussize="0,0"/>
                    <v:stroke color="#000000" joinstyle="miter"/>
                    <v:imagedata o:title=""/>
                    <o:lock v:ext="edit" aspectratio="f"/>
                    <v:textbox>
                      <w:txbxContent>
                        <w:p>
                          <w:pPr>
                            <w:jc w:val="center"/>
                          </w:pPr>
                          <w:r>
                            <w:rPr>
                              <w:rFonts w:hint="eastAsia"/>
                            </w:rPr>
                            <w:t>冲压</w:t>
                          </w:r>
                        </w:p>
                      </w:txbxContent>
                    </v:textbox>
                  </v:shape>
                  <v:shape id="_x0000_s124240" o:spid="_x0000_s124240" o:spt="32" type="#_x0000_t32" style="position:absolute;left:6866;top:5237;height:2;width:402;" filled="f" stroked="t" coordsize="21600,21600">
                    <v:path arrowok="t"/>
                    <v:fill on="f" focussize="0,0"/>
                    <v:stroke color="#000000" dashstyle="dash" endarrow="block"/>
                    <v:imagedata o:title=""/>
                    <o:lock v:ext="edit" aspectratio="f"/>
                  </v:shape>
                  <v:shape id="_x0000_s124241" o:spid="_x0000_s124241" o:spt="32" type="#_x0000_t32" style="position:absolute;left:5041;top:5249;height:1;width:401;" filled="f" stroked="t" coordsize="21600,21600">
                    <v:path arrowok="t"/>
                    <v:fill on="f" focussize="0,0"/>
                    <v:stroke color="#000000" endarrow="block"/>
                    <v:imagedata o:title=""/>
                    <o:lock v:ext="edit" aspectratio="f"/>
                  </v:shape>
                  <v:shape id="_x0000_s124242" o:spid="_x0000_s124242" o:spt="202" type="#_x0000_t202" style="position:absolute;left:4055;top:5054;height:412;width:1136;" filled="f" stroked="f" coordsize="21600,21600">
                    <v:path/>
                    <v:fill on="f" focussize="0,0"/>
                    <v:stroke on="f"/>
                    <v:imagedata o:title=""/>
                    <o:lock v:ext="edit" aspectratio="f"/>
                    <v:textbox>
                      <w:txbxContent>
                        <w:p>
                          <w:pPr>
                            <w:jc w:val="center"/>
                          </w:pPr>
                          <w:r>
                            <w:rPr>
                              <w:rFonts w:hint="eastAsia"/>
                            </w:rPr>
                            <w:t>冲压油</w:t>
                          </w:r>
                        </w:p>
                      </w:txbxContent>
                    </v:textbox>
                  </v:shape>
                  <v:shape id="_x0000_s124243" o:spid="_x0000_s124243" o:spt="32" type="#_x0000_t32" style="position:absolute;left:6932;top:9669;height:1;width:402;" filled="f" stroked="t" coordsize="21600,21600">
                    <v:path arrowok="t"/>
                    <v:fill on="f" focussize="0,0"/>
                    <v:stroke color="#000000" dashstyle="dash" endarrow="block"/>
                    <v:imagedata o:title=""/>
                    <o:lock v:ext="edit" aspectratio="f"/>
                  </v:shape>
                  <v:shape id="_x0000_s124244" o:spid="_x0000_s124244" o:spt="202" type="#_x0000_t202" style="position:absolute;left:7221;top:9449;height:438;width:1871;" filled="f" stroked="f" coordsize="21600,21600">
                    <v:path/>
                    <v:fill on="f" focussize="0,0"/>
                    <v:stroke on="f"/>
                    <v:imagedata o:title=""/>
                    <o:lock v:ext="edit" aspectratio="f"/>
                    <v:textbox>
                      <w:txbxContent>
                        <w:p>
                          <w:pPr>
                            <w:jc w:val="center"/>
                          </w:pPr>
                          <w:r>
                            <w:rPr>
                              <w:rFonts w:hint="eastAsia"/>
                              <w:lang w:eastAsia="zh-CN"/>
                            </w:rPr>
                            <w:t>S2</w:t>
                          </w:r>
                          <w:r>
                            <w:rPr>
                              <w:rFonts w:hint="eastAsia"/>
                            </w:rPr>
                            <w:t>-</w:t>
                          </w:r>
                          <w:r>
                            <w:rPr>
                              <w:rFonts w:hint="eastAsia"/>
                              <w:lang w:val="en-US" w:eastAsia="zh-CN"/>
                            </w:rPr>
                            <w:t>9</w:t>
                          </w:r>
                          <w:r>
                            <w:rPr>
                              <w:rFonts w:hint="eastAsia"/>
                            </w:rPr>
                            <w:t>不合格品</w:t>
                          </w:r>
                        </w:p>
                        <w:p>
                          <w:pPr>
                            <w:pStyle w:val="27"/>
                            <w:ind w:left="-84" w:right="-17" w:rightChars="-8" w:firstLine="560"/>
                          </w:pPr>
                        </w:p>
                      </w:txbxContent>
                    </v:textbox>
                  </v:shape>
                  <v:shape id="_x0000_s124245" o:spid="_x0000_s124245" o:spt="202" type="#_x0000_t202" style="position:absolute;left:5413;top:3196;height:461;width:1491;" filled="f" stroked="f" coordsize="21600,21600">
                    <v:path/>
                    <v:fill on="f" focussize="0,0"/>
                    <v:stroke on="f"/>
                    <v:imagedata o:title=""/>
                    <o:lock v:ext="edit" aspectratio="f"/>
                    <v:textbox>
                      <w:txbxContent>
                        <w:p>
                          <w:pPr>
                            <w:pStyle w:val="27"/>
                            <w:spacing w:before="0" w:beforeAutospacing="0" w:after="0" w:afterAutospacing="0" w:line="240" w:lineRule="auto"/>
                            <w:ind w:left="0" w:leftChars="0" w:right="0" w:firstLine="0" w:firstLineChars="0"/>
                            <w:jc w:val="center"/>
                            <w:rPr>
                              <w:rFonts w:ascii="Times New Roman" w:hAnsi="Times New Roman" w:eastAsia="宋体" w:cs="Times New Roman"/>
                              <w:sz w:val="21"/>
                              <w:szCs w:val="24"/>
                            </w:rPr>
                          </w:pPr>
                          <w:r>
                            <w:rPr>
                              <w:rFonts w:hint="eastAsia" w:ascii="Times New Roman" w:hAnsi="Times New Roman" w:eastAsia="宋体" w:cs="Times New Roman"/>
                              <w:sz w:val="21"/>
                              <w:szCs w:val="24"/>
                            </w:rPr>
                            <w:t>镀锌钢材</w:t>
                          </w:r>
                        </w:p>
                      </w:txbxContent>
                    </v:textbox>
                  </v:shape>
                  <v:shape id="_x0000_s124246" o:spid="_x0000_s124246" o:spt="32" type="#_x0000_t32" style="position:absolute;left:6143;top:3657;height:453;width:1;" filled="f" stroked="t" coordsize="21600,21600">
                    <v:path arrowok="t"/>
                    <v:fill on="f" focussize="0,0"/>
                    <v:stroke color="#000000" endarrow="block"/>
                    <v:imagedata o:title=""/>
                    <o:lock v:ext="edit" aspectratio="f"/>
                  </v:shape>
                  <v:shape id="_x0000_s124247" o:spid="_x0000_s124247" o:spt="32" type="#_x0000_t32" style="position:absolute;left:6156;top:4573;height:453;width:1;" filled="f" stroked="t" coordsize="21600,21600">
                    <v:path arrowok="t"/>
                    <v:fill on="f" focussize="0,0"/>
                    <v:stroke color="#000000" endarrow="block"/>
                    <v:imagedata o:title=""/>
                    <o:lock v:ext="edit" aspectratio="f"/>
                  </v:shape>
                  <v:shape id="_x0000_s124248" o:spid="_x0000_s124248" o:spt="202" type="#_x0000_t202" style="position:absolute;left:5472;top:4134;height:439;width:1379;" filled="f" stroked="t" coordsize="21600,21600">
                    <v:path/>
                    <v:fill on="f" focussize="0,0"/>
                    <v:stroke color="#000000" joinstyle="miter"/>
                    <v:imagedata o:title=""/>
                    <o:lock v:ext="edit" aspectratio="f"/>
                    <v:textbox>
                      <w:txbxContent>
                        <w:p>
                          <w:pPr>
                            <w:jc w:val="center"/>
                          </w:pPr>
                          <w:r>
                            <w:rPr>
                              <w:rFonts w:hint="eastAsia"/>
                            </w:rPr>
                            <w:t>纵剪</w:t>
                          </w:r>
                        </w:p>
                      </w:txbxContent>
                    </v:textbox>
                  </v:shape>
                  <v:shape id="_x0000_s124249" o:spid="_x0000_s124249" o:spt="202" type="#_x0000_t202" style="position:absolute;left:5487;top:5918;height:439;width:1379;" filled="f" stroked="t" coordsize="21600,21600">
                    <v:path/>
                    <v:fill on="f" focussize="0,0"/>
                    <v:stroke color="#000000" joinstyle="miter"/>
                    <v:imagedata o:title=""/>
                    <o:lock v:ext="edit" aspectratio="f"/>
                    <v:textbox>
                      <w:txbxContent>
                        <w:p>
                          <w:pPr>
                            <w:jc w:val="center"/>
                          </w:pPr>
                          <w:r>
                            <w:rPr>
                              <w:rFonts w:hint="eastAsia"/>
                            </w:rPr>
                            <w:t>机加工</w:t>
                          </w:r>
                        </w:p>
                      </w:txbxContent>
                    </v:textbox>
                  </v:shape>
                  <v:shape id="_x0000_s124250" o:spid="_x0000_s124250" o:spt="32" type="#_x0000_t32" style="position:absolute;left:6171;top:5464;height:454;width:1;" filled="f" stroked="t" coordsize="21600,21600">
                    <v:path arrowok="t"/>
                    <v:fill on="f" focussize="0,0"/>
                    <v:stroke color="#000000" endarrow="block"/>
                    <v:imagedata o:title=""/>
                    <o:lock v:ext="edit" aspectratio="f"/>
                  </v:shape>
                  <v:shape id="_x0000_s124251" o:spid="_x0000_s124251" o:spt="32" type="#_x0000_t32" style="position:absolute;left:6171;top:6357;height:453;width:1;" filled="f" stroked="t" coordsize="21600,21600">
                    <v:path arrowok="t"/>
                    <v:fill on="f" focussize="0,0"/>
                    <v:stroke color="#000000" endarrow="block"/>
                    <v:imagedata o:title=""/>
                    <o:lock v:ext="edit" aspectratio="f"/>
                  </v:shape>
                  <v:shape id="_x0000_s124252" o:spid="_x0000_s124252" o:spt="202" type="#_x0000_t202" style="position:absolute;left:5544;top:9442;height:439;width:1379;" filled="f" stroked="t" coordsize="21600,21600">
                    <v:path/>
                    <v:fill on="f" focussize="0,0"/>
                    <v:stroke color="#000000" joinstyle="miter"/>
                    <v:imagedata o:title=""/>
                    <o:lock v:ext="edit" aspectratio="f"/>
                    <v:textbox>
                      <w:txbxContent>
                        <w:p>
                          <w:pPr>
                            <w:jc w:val="center"/>
                          </w:pPr>
                          <w:r>
                            <w:rPr>
                              <w:rFonts w:hint="eastAsia"/>
                            </w:rPr>
                            <w:t>检验</w:t>
                          </w:r>
                        </w:p>
                      </w:txbxContent>
                    </v:textbox>
                  </v:shape>
                  <v:shape id="_x0000_s124253" o:spid="_x0000_s124253" o:spt="32" type="#_x0000_t32" style="position:absolute;left:6866;top:4330;height:1;width:402;" filled="f" stroked="t" coordsize="21600,21600">
                    <v:path arrowok="t"/>
                    <v:fill on="f" focussize="0,0"/>
                    <v:stroke color="#000000" dashstyle="dash" endarrow="block"/>
                    <v:imagedata o:title=""/>
                    <o:lock v:ext="edit" aspectratio="f"/>
                  </v:shape>
                  <v:shape id="_x0000_s124254" o:spid="_x0000_s124254" o:spt="202" type="#_x0000_t202" style="position:absolute;left:7155;top:4110;height:463;width:1646;" filled="f" stroked="f" coordsize="21600,21600">
                    <v:path/>
                    <v:fill on="f" focussize="0,0"/>
                    <v:stroke on="f"/>
                    <v:imagedata o:title=""/>
                    <o:lock v:ext="edit" aspectratio="f"/>
                    <v:textbox>
                      <w:txbxContent>
                        <w:p>
                          <w:pPr>
                            <w:jc w:val="center"/>
                          </w:pPr>
                          <w:r>
                            <w:rPr>
                              <w:rFonts w:hint="eastAsia"/>
                              <w:lang w:eastAsia="zh-CN"/>
                            </w:rPr>
                            <w:t>S2</w:t>
                          </w:r>
                          <w:r>
                            <w:rPr>
                              <w:rFonts w:hint="eastAsia"/>
                            </w:rPr>
                            <w:t>-1边角料</w:t>
                          </w:r>
                        </w:p>
                        <w:p>
                          <w:pPr>
                            <w:pStyle w:val="27"/>
                            <w:ind w:left="-84" w:right="-17" w:rightChars="-8" w:firstLine="560"/>
                          </w:pPr>
                        </w:p>
                      </w:txbxContent>
                    </v:textbox>
                  </v:shape>
                  <v:shape id="_x0000_s124255" o:spid="_x0000_s124255" o:spt="202" type="#_x0000_t202" style="position:absolute;left:6867;top:4903;height:849;width:2374;" filled="f" stroked="f" coordsize="21600,21600">
                    <v:path/>
                    <v:fill on="f" focussize="0,0"/>
                    <v:stroke on="f"/>
                    <v:imagedata o:title=""/>
                    <o:lock v:ext="edit" aspectratio="f"/>
                    <v:textbox>
                      <w:txbxContent>
                        <w:p>
                          <w:pPr>
                            <w:jc w:val="center"/>
                            <w:rPr>
                              <w:rFonts w:hint="eastAsia"/>
                            </w:rPr>
                          </w:pPr>
                          <w:r>
                            <w:rPr>
                              <w:rFonts w:hint="eastAsia"/>
                              <w:lang w:eastAsia="zh-CN"/>
                            </w:rPr>
                            <w:t>S2</w:t>
                          </w:r>
                          <w:r>
                            <w:rPr>
                              <w:rFonts w:hint="eastAsia"/>
                            </w:rPr>
                            <w:t>-2边角料</w:t>
                          </w:r>
                        </w:p>
                        <w:p>
                          <w:pPr>
                            <w:jc w:val="center"/>
                            <w:rPr>
                              <w:rFonts w:hint="default" w:eastAsia="宋体"/>
                              <w:lang w:val="en-US" w:eastAsia="zh-CN"/>
                            </w:rPr>
                          </w:pPr>
                          <w:r>
                            <w:rPr>
                              <w:rFonts w:hint="eastAsia"/>
                              <w:lang w:val="en-US" w:eastAsia="zh-CN"/>
                            </w:rPr>
                            <w:t>S2-3废冲压油</w:t>
                          </w:r>
                        </w:p>
                      </w:txbxContent>
                    </v:textbox>
                  </v:shape>
                  <v:shape id="_x0000_s124256" o:spid="_x0000_s124256" o:spt="32" type="#_x0000_t32" style="position:absolute;left:5085;top:6113;height:1;width:402;" filled="f" stroked="t" coordsize="21600,21600">
                    <v:path arrowok="t"/>
                    <v:fill on="f" focussize="0,0"/>
                    <v:stroke color="#000000" endarrow="block"/>
                    <v:imagedata o:title=""/>
                    <o:lock v:ext="edit" aspectratio="f"/>
                  </v:shape>
                  <v:shape id="_x0000_s124257" o:spid="_x0000_s124257" o:spt="202" type="#_x0000_t202" style="position:absolute;left:4100;top:5774;height:892;width:1136;" filled="f" stroked="f" coordsize="21600,21600">
                    <v:path/>
                    <v:fill on="f" focussize="0,0"/>
                    <v:stroke on="f"/>
                    <v:imagedata o:title=""/>
                    <o:lock v:ext="edit" aspectratio="f"/>
                    <v:textbox>
                      <w:txbxContent>
                        <w:p>
                          <w:pPr>
                            <w:jc w:val="center"/>
                          </w:pPr>
                          <w:r>
                            <w:rPr>
                              <w:rFonts w:hint="eastAsia"/>
                            </w:rPr>
                            <w:t>液压油</w:t>
                          </w:r>
                        </w:p>
                        <w:p>
                          <w:pPr>
                            <w:jc w:val="center"/>
                            <w:rPr>
                              <w:rFonts w:hint="eastAsia" w:eastAsia="宋体"/>
                              <w:lang w:eastAsia="zh-CN"/>
                            </w:rPr>
                          </w:pPr>
                          <w:r>
                            <w:rPr>
                              <w:rFonts w:hint="eastAsia"/>
                              <w:lang w:eastAsia="zh-CN"/>
                            </w:rPr>
                            <w:t>切削油</w:t>
                          </w:r>
                        </w:p>
                      </w:txbxContent>
                    </v:textbox>
                  </v:shape>
                  <v:shape id="_x0000_s124258" o:spid="_x0000_s124258" o:spt="32" type="#_x0000_t32" style="position:absolute;left:6886;top:6149;height:1;width:401;" filled="f" stroked="t" coordsize="21600,21600">
                    <v:path arrowok="t"/>
                    <v:fill on="f" focussize="0,0"/>
                    <v:stroke color="#000000" dashstyle="dash" endarrow="block"/>
                    <v:imagedata o:title=""/>
                    <o:lock v:ext="edit" aspectratio="f"/>
                  </v:shape>
                  <v:shape id="_x0000_s124259" o:spid="_x0000_s124259" o:spt="202" type="#_x0000_t202" style="position:absolute;left:6959;top:5640;height:1139;width:2133;" filled="f" stroked="f" coordsize="21600,21600">
                    <v:path/>
                    <v:fill on="f" focussize="0,0"/>
                    <v:stroke on="f"/>
                    <v:imagedata o:title=""/>
                    <o:lock v:ext="edit" aspectratio="f"/>
                    <v:textbox>
                      <w:txbxContent>
                        <w:p>
                          <w:pPr>
                            <w:jc w:val="center"/>
                          </w:pPr>
                          <w:r>
                            <w:rPr>
                              <w:rFonts w:hint="eastAsia"/>
                              <w:lang w:eastAsia="zh-CN"/>
                            </w:rPr>
                            <w:t>S2</w:t>
                          </w:r>
                          <w:r>
                            <w:rPr>
                              <w:rFonts w:hint="eastAsia"/>
                            </w:rPr>
                            <w:t>-</w:t>
                          </w:r>
                          <w:r>
                            <w:rPr>
                              <w:rFonts w:hint="eastAsia"/>
                              <w:lang w:val="en-US" w:eastAsia="zh-CN"/>
                            </w:rPr>
                            <w:t>4</w:t>
                          </w:r>
                          <w:r>
                            <w:rPr>
                              <w:rFonts w:hint="eastAsia"/>
                            </w:rPr>
                            <w:t>边角料</w:t>
                          </w:r>
                        </w:p>
                        <w:p>
                          <w:pPr>
                            <w:jc w:val="center"/>
                          </w:pPr>
                          <w:r>
                            <w:rPr>
                              <w:rFonts w:hint="eastAsia"/>
                              <w:lang w:eastAsia="zh-CN"/>
                            </w:rPr>
                            <w:t>S2</w:t>
                          </w:r>
                          <w:r>
                            <w:rPr>
                              <w:rFonts w:hint="eastAsia"/>
                            </w:rPr>
                            <w:t>-</w:t>
                          </w:r>
                          <w:r>
                            <w:rPr>
                              <w:rFonts w:hint="eastAsia"/>
                              <w:lang w:val="en-US" w:eastAsia="zh-CN"/>
                            </w:rPr>
                            <w:t>5</w:t>
                          </w:r>
                          <w:r>
                            <w:rPr>
                              <w:rFonts w:hint="eastAsia"/>
                            </w:rPr>
                            <w:t>废液压油</w:t>
                          </w:r>
                        </w:p>
                        <w:p>
                          <w:pPr>
                            <w:jc w:val="center"/>
                            <w:rPr>
                              <w:rFonts w:hint="eastAsia" w:eastAsia="宋体"/>
                              <w:lang w:eastAsia="zh-CN"/>
                            </w:rPr>
                          </w:pPr>
                          <w:r>
                            <w:rPr>
                              <w:rFonts w:hint="eastAsia"/>
                              <w:lang w:eastAsia="zh-CN"/>
                            </w:rPr>
                            <w:t>S2</w:t>
                          </w:r>
                          <w:r>
                            <w:rPr>
                              <w:rFonts w:hint="eastAsia"/>
                            </w:rPr>
                            <w:t>-</w:t>
                          </w:r>
                          <w:r>
                            <w:rPr>
                              <w:rFonts w:hint="eastAsia"/>
                              <w:lang w:val="en-US" w:eastAsia="zh-CN"/>
                            </w:rPr>
                            <w:t>6</w:t>
                          </w:r>
                          <w:r>
                            <w:rPr>
                              <w:rFonts w:hint="eastAsia"/>
                            </w:rPr>
                            <w:t>废</w:t>
                          </w:r>
                          <w:r>
                            <w:rPr>
                              <w:rFonts w:hint="eastAsia"/>
                              <w:lang w:eastAsia="zh-CN"/>
                            </w:rPr>
                            <w:t>切削油</w:t>
                          </w:r>
                        </w:p>
                      </w:txbxContent>
                    </v:textbox>
                  </v:shape>
                  <v:shape id="_x0000_s124260" o:spid="_x0000_s124260" o:spt="202" type="#_x0000_t202" style="position:absolute;left:5525;top:6788;height:439;width:1379;" filled="f" stroked="t" coordsize="21600,21600">
                    <v:path/>
                    <v:fill on="f" focussize="0,0"/>
                    <v:stroke color="#000000" joinstyle="miter"/>
                    <v:imagedata o:title=""/>
                    <o:lock v:ext="edit" aspectratio="f"/>
                    <v:textbox>
                      <w:txbxContent>
                        <w:p>
                          <w:pPr>
                            <w:jc w:val="center"/>
                          </w:pPr>
                          <w:r>
                            <w:rPr>
                              <w:rFonts w:hint="eastAsia"/>
                            </w:rPr>
                            <w:t>攻丝加工</w:t>
                          </w:r>
                        </w:p>
                      </w:txbxContent>
                    </v:textbox>
                  </v:shape>
                  <v:shape id="_x0000_s124261" o:spid="_x0000_s124261" o:spt="32" type="#_x0000_t32" style="position:absolute;left:6209;top:7227;height:453;width:1;" filled="f" stroked="t" coordsize="21600,21600">
                    <v:path arrowok="t"/>
                    <v:fill on="f" focussize="0,0"/>
                    <v:stroke color="#000000" endarrow="block"/>
                    <v:imagedata o:title=""/>
                    <o:lock v:ext="edit" aspectratio="f"/>
                  </v:shape>
                  <v:shape id="_x0000_s124262" o:spid="_x0000_s124262" o:spt="202" type="#_x0000_t202" style="position:absolute;left:5507;top:7680;height:439;width:1379;" filled="f" stroked="t" coordsize="21600,21600">
                    <v:path/>
                    <v:fill on="f" focussize="0,0"/>
                    <v:stroke color="#000000" joinstyle="miter"/>
                    <v:imagedata o:title=""/>
                    <o:lock v:ext="edit" aspectratio="f"/>
                    <v:textbox>
                      <w:txbxContent>
                        <w:p>
                          <w:pPr>
                            <w:jc w:val="center"/>
                          </w:pPr>
                          <w:r>
                            <w:rPr>
                              <w:rFonts w:hint="eastAsia"/>
                            </w:rPr>
                            <w:t>清洗（委外）</w:t>
                          </w:r>
                        </w:p>
                      </w:txbxContent>
                    </v:textbox>
                  </v:shape>
                  <v:shape id="_x0000_s124263" o:spid="_x0000_s124263" o:spt="32" type="#_x0000_t32" style="position:absolute;left:6191;top:8119;height:453;width:1;" filled="f" stroked="t" coordsize="21600,21600">
                    <v:path arrowok="t"/>
                    <v:fill on="f" focussize="0,0"/>
                    <v:stroke color="#000000" endarrow="block"/>
                    <v:imagedata o:title=""/>
                    <o:lock v:ext="edit" aspectratio="f"/>
                  </v:shape>
                  <v:shape id="_x0000_s124272" o:spid="_x0000_s124272" o:spt="202" type="#_x0000_t202" style="position:absolute;left:5527;top:8572;height:439;width:1379;" filled="f" stroked="t" coordsize="21600,21600">
                    <v:path/>
                    <v:fill on="f" focussize="0,0"/>
                    <v:stroke color="#000000" joinstyle="miter"/>
                    <v:imagedata o:title=""/>
                    <o:lock v:ext="edit" aspectratio="f"/>
                    <v:textbox>
                      <w:txbxContent>
                        <w:p>
                          <w:pPr>
                            <w:jc w:val="center"/>
                          </w:pPr>
                          <w:r>
                            <w:rPr>
                              <w:rFonts w:hint="eastAsia"/>
                            </w:rPr>
                            <w:t>涂抹防锈油</w:t>
                          </w:r>
                        </w:p>
                      </w:txbxContent>
                    </v:textbox>
                  </v:shape>
                  <v:shape id="_x0000_s124273" o:spid="_x0000_s124273" o:spt="32" type="#_x0000_t32" style="position:absolute;left:5126;top:8767;height:1;width:401;" filled="f" stroked="t" coordsize="21600,21600">
                    <v:path arrowok="t"/>
                    <v:fill on="f" focussize="0,0"/>
                    <v:stroke color="#000000" endarrow="block"/>
                    <v:imagedata o:title=""/>
                    <o:lock v:ext="edit" aspectratio="f"/>
                  </v:shape>
                  <v:shape id="_x0000_s124274" o:spid="_x0000_s124274" o:spt="202" type="#_x0000_t202" style="position:absolute;left:4140;top:8572;height:412;width:1136;" filled="f" stroked="f" coordsize="21600,21600">
                    <v:path/>
                    <v:fill on="f" focussize="0,0"/>
                    <v:stroke on="f"/>
                    <v:imagedata o:title=""/>
                    <o:lock v:ext="edit" aspectratio="f"/>
                    <v:textbox>
                      <w:txbxContent>
                        <w:p>
                          <w:pPr>
                            <w:jc w:val="center"/>
                          </w:pPr>
                          <w:r>
                            <w:rPr>
                              <w:rFonts w:hint="eastAsia"/>
                            </w:rPr>
                            <w:t>防锈油</w:t>
                          </w:r>
                        </w:p>
                      </w:txbxContent>
                    </v:textbox>
                  </v:shape>
                  <v:shape id="_x0000_s124275" o:spid="_x0000_s124275" o:spt="32" type="#_x0000_t32" style="position:absolute;left:6194;top:9011;height:453;width:1;" filled="f" stroked="t" coordsize="21600,21600">
                    <v:path arrowok="t"/>
                    <v:fill on="f" focussize="0,0"/>
                    <v:stroke color="#000000" endarrow="block"/>
                    <v:imagedata o:title=""/>
                    <o:lock v:ext="edit" aspectratio="f"/>
                  </v:shape>
                  <v:shape id="_x0000_s124276" o:spid="_x0000_s124276" o:spt="32" type="#_x0000_t32" style="position:absolute;left:5123;top:7005;height:1;width:402;" filled="f" stroked="t" coordsize="21600,21600">
                    <v:path arrowok="t"/>
                    <v:fill on="f" focussize="0,0"/>
                    <v:stroke color="#000000" endarrow="block"/>
                    <v:imagedata o:title=""/>
                    <o:lock v:ext="edit" aspectratio="f"/>
                  </v:shape>
                  <v:shape id="_x0000_s124277" o:spid="_x0000_s124277" o:spt="202" type="#_x0000_t202" style="position:absolute;left:4138;top:6810;height:499;width:1136;" filled="f" stroked="f" coordsize="21600,21600">
                    <v:path/>
                    <v:fill on="f" focussize="0,0"/>
                    <v:stroke on="f"/>
                    <v:imagedata o:title=""/>
                    <o:lock v:ext="edit" aspectratio="f"/>
                    <v:textbox>
                      <w:txbxContent>
                        <w:p>
                          <w:pPr>
                            <w:jc w:val="center"/>
                            <w:rPr>
                              <w:rFonts w:hint="eastAsia" w:eastAsia="宋体"/>
                              <w:lang w:eastAsia="zh-CN"/>
                            </w:rPr>
                          </w:pPr>
                          <w:r>
                            <w:rPr>
                              <w:rFonts w:hint="eastAsia"/>
                              <w:lang w:eastAsia="zh-CN"/>
                            </w:rPr>
                            <w:t>切削油</w:t>
                          </w:r>
                        </w:p>
                      </w:txbxContent>
                    </v:textbox>
                  </v:shape>
                  <v:shape id="_x0000_s124278" o:spid="_x0000_s124278" o:spt="32" type="#_x0000_t32" style="position:absolute;left:6895;top:6987;height:1;width:401;" filled="f" stroked="t" coordsize="21600,21600">
                    <v:path arrowok="t"/>
                    <v:fill on="f" focussize="0,0"/>
                    <v:stroke color="#000000" dashstyle="dash" endarrow="block"/>
                    <v:imagedata o:title=""/>
                    <o:lock v:ext="edit" aspectratio="f"/>
                  </v:shape>
                  <v:shape id="_x0000_s124279" o:spid="_x0000_s124279" o:spt="202" type="#_x0000_t202" style="position:absolute;left:6956;top:6658;height:671;width:1961;" filled="f" stroked="f" coordsize="21600,21600">
                    <v:path/>
                    <v:fill on="f" focussize="0,0"/>
                    <v:stroke on="f"/>
                    <v:imagedata o:title=""/>
                    <o:lock v:ext="edit" aspectratio="f"/>
                    <v:textbox>
                      <w:txbxContent>
                        <w:p>
                          <w:pPr>
                            <w:jc w:val="center"/>
                          </w:pPr>
                          <w:r>
                            <w:rPr>
                              <w:rFonts w:hint="eastAsia"/>
                              <w:lang w:eastAsia="zh-CN"/>
                            </w:rPr>
                            <w:t>S2</w:t>
                          </w:r>
                          <w:r>
                            <w:rPr>
                              <w:rFonts w:hint="eastAsia"/>
                            </w:rPr>
                            <w:t>-</w:t>
                          </w:r>
                          <w:r>
                            <w:rPr>
                              <w:rFonts w:hint="eastAsia"/>
                              <w:lang w:val="en-US" w:eastAsia="zh-CN"/>
                            </w:rPr>
                            <w:t>7</w:t>
                          </w:r>
                          <w:r>
                            <w:rPr>
                              <w:rFonts w:hint="eastAsia"/>
                            </w:rPr>
                            <w:t>边角料</w:t>
                          </w:r>
                        </w:p>
                        <w:p>
                          <w:pPr>
                            <w:jc w:val="center"/>
                            <w:rPr>
                              <w:rFonts w:hint="eastAsia" w:eastAsia="宋体"/>
                              <w:lang w:eastAsia="zh-CN"/>
                            </w:rPr>
                          </w:pPr>
                          <w:r>
                            <w:rPr>
                              <w:rFonts w:hint="eastAsia"/>
                              <w:lang w:eastAsia="zh-CN"/>
                            </w:rPr>
                            <w:t>S2</w:t>
                          </w:r>
                          <w:r>
                            <w:rPr>
                              <w:rFonts w:hint="eastAsia"/>
                            </w:rPr>
                            <w:t>-</w:t>
                          </w:r>
                          <w:r>
                            <w:rPr>
                              <w:rFonts w:hint="eastAsia"/>
                              <w:lang w:val="en-US" w:eastAsia="zh-CN"/>
                            </w:rPr>
                            <w:t>8</w:t>
                          </w:r>
                          <w:r>
                            <w:rPr>
                              <w:rFonts w:hint="eastAsia"/>
                            </w:rPr>
                            <w:t>废</w:t>
                          </w:r>
                          <w:r>
                            <w:rPr>
                              <w:rFonts w:hint="eastAsia"/>
                              <w:lang w:eastAsia="zh-CN"/>
                            </w:rPr>
                            <w:t>切削油</w:t>
                          </w:r>
                        </w:p>
                      </w:txbxContent>
                    </v:textbox>
                  </v:shape>
                  <w10:wrap type="none"/>
                  <w10:anchorlock/>
                </v:group>
              </w:pict>
            </w:r>
            <w:r>
              <w:rPr>
                <w:rFonts w:hint="eastAsia" w:ascii="宋体" w:hAnsi="宋体"/>
                <w:b/>
                <w:sz w:val="24"/>
              </w:rPr>
              <w:t>工艺流程说明：</w:t>
            </w:r>
          </w:p>
          <w:p>
            <w:pPr>
              <w:keepNext w:val="0"/>
              <w:keepLines w:val="0"/>
              <w:suppressLineNumbers w:val="0"/>
              <w:autoSpaceDE w:val="0"/>
              <w:spacing w:before="0" w:beforeAutospacing="0" w:after="0" w:afterAutospacing="0" w:line="360" w:lineRule="auto"/>
              <w:ind w:left="0" w:right="0" w:firstLine="482" w:firstLineChars="200"/>
              <w:rPr>
                <w:sz w:val="24"/>
              </w:rPr>
            </w:pPr>
            <w:r>
              <w:rPr>
                <w:rFonts w:hint="eastAsia"/>
                <w:b/>
                <w:sz w:val="24"/>
              </w:rPr>
              <w:t>纵剪：</w:t>
            </w:r>
            <w:r>
              <w:rPr>
                <w:rFonts w:hint="eastAsia"/>
                <w:sz w:val="24"/>
              </w:rPr>
              <w:t>外购的镀锌钢材根据客户需求需采用金属纵剪机进行裁剪加工成对应宽度的子卷，该过程会产生边角料（</w:t>
            </w:r>
            <w:r>
              <w:rPr>
                <w:rFonts w:hint="eastAsia"/>
                <w:sz w:val="24"/>
                <w:lang w:eastAsia="zh-CN"/>
              </w:rPr>
              <w:t>S2</w:t>
            </w:r>
            <w:r>
              <w:rPr>
                <w:rFonts w:hint="eastAsia"/>
                <w:sz w:val="24"/>
              </w:rPr>
              <w:t>-1）；</w:t>
            </w:r>
          </w:p>
          <w:p>
            <w:pPr>
              <w:keepNext w:val="0"/>
              <w:keepLines w:val="0"/>
              <w:suppressLineNumbers w:val="0"/>
              <w:autoSpaceDE w:val="0"/>
              <w:spacing w:before="0" w:beforeAutospacing="0" w:after="0" w:afterAutospacing="0" w:line="360" w:lineRule="auto"/>
              <w:ind w:left="0" w:right="0" w:firstLine="482" w:firstLineChars="200"/>
              <w:rPr>
                <w:sz w:val="24"/>
              </w:rPr>
            </w:pPr>
            <w:r>
              <w:rPr>
                <w:rFonts w:hint="eastAsia"/>
                <w:b/>
                <w:sz w:val="24"/>
              </w:rPr>
              <w:t>冲压：</w:t>
            </w:r>
            <w:r>
              <w:rPr>
                <w:rFonts w:hint="eastAsia"/>
                <w:sz w:val="24"/>
              </w:rPr>
              <w:t>将纵剪后的子卷利用冲床自动冲压成型为机壳；</w:t>
            </w:r>
            <w:r>
              <w:rPr>
                <w:sz w:val="24"/>
              </w:rPr>
              <w:t>冲压是靠</w:t>
            </w:r>
            <w:r>
              <w:fldChar w:fldCharType="begin"/>
            </w:r>
            <w:r>
              <w:instrText xml:space="preserve"> HYPERLINK "https://baike.baidu.com/item/%E5%8E%8B%E5%8A%9B%E6%9C%BA/5290838" \t "_blank" </w:instrText>
            </w:r>
            <w:r>
              <w:fldChar w:fldCharType="separate"/>
            </w:r>
            <w:r>
              <w:rPr>
                <w:sz w:val="24"/>
              </w:rPr>
              <w:t>压力机</w:t>
            </w:r>
            <w:r>
              <w:rPr>
                <w:sz w:val="24"/>
              </w:rPr>
              <w:fldChar w:fldCharType="end"/>
            </w:r>
            <w:r>
              <w:rPr>
                <w:sz w:val="24"/>
              </w:rPr>
              <w:t>和模具对</w:t>
            </w:r>
            <w:r>
              <w:fldChar w:fldCharType="begin"/>
            </w:r>
            <w:r>
              <w:instrText xml:space="preserve"> HYPERLINK "https://baike.baidu.com/item/%E6%9D%BF%E6%9D%90/3727123" \t "_blank" </w:instrText>
            </w:r>
            <w:r>
              <w:fldChar w:fldCharType="separate"/>
            </w:r>
            <w:r>
              <w:rPr>
                <w:sz w:val="24"/>
              </w:rPr>
              <w:t>板材</w:t>
            </w:r>
            <w:r>
              <w:rPr>
                <w:sz w:val="24"/>
              </w:rPr>
              <w:fldChar w:fldCharType="end"/>
            </w:r>
            <w:r>
              <w:rPr>
                <w:sz w:val="24"/>
              </w:rPr>
              <w:t>、</w:t>
            </w:r>
            <w:r>
              <w:fldChar w:fldCharType="begin"/>
            </w:r>
            <w:r>
              <w:instrText xml:space="preserve"> HYPERLINK "https://baike.baidu.com/item/%E5%B8%A6%E6%9D%90/5347178" \t "_blank" </w:instrText>
            </w:r>
            <w:r>
              <w:fldChar w:fldCharType="separate"/>
            </w:r>
            <w:r>
              <w:rPr>
                <w:sz w:val="24"/>
              </w:rPr>
              <w:t>带材</w:t>
            </w:r>
            <w:r>
              <w:rPr>
                <w:sz w:val="24"/>
              </w:rPr>
              <w:fldChar w:fldCharType="end"/>
            </w:r>
            <w:r>
              <w:rPr>
                <w:sz w:val="24"/>
              </w:rPr>
              <w:t>、</w:t>
            </w:r>
            <w:r>
              <w:fldChar w:fldCharType="begin"/>
            </w:r>
            <w:r>
              <w:instrText xml:space="preserve"> HYPERLINK "https://baike.baidu.com/item/%E7%AE%A1%E6%9D%90/3742069" \t "_blank" </w:instrText>
            </w:r>
            <w:r>
              <w:fldChar w:fldCharType="separate"/>
            </w:r>
            <w:r>
              <w:rPr>
                <w:sz w:val="24"/>
              </w:rPr>
              <w:t>管材</w:t>
            </w:r>
            <w:r>
              <w:rPr>
                <w:sz w:val="24"/>
              </w:rPr>
              <w:fldChar w:fldCharType="end"/>
            </w:r>
            <w:r>
              <w:rPr>
                <w:sz w:val="24"/>
              </w:rPr>
              <w:t>和型材等施加外力，使之产生塑性变形或分离，从而获得所需形状和尺寸的</w:t>
            </w:r>
            <w:r>
              <w:fldChar w:fldCharType="begin"/>
            </w:r>
            <w:r>
              <w:instrText xml:space="preserve"> HYPERLINK "https://baike.baidu.com/item/%E5%B7%A5%E4%BB%B6/976341" \t "_blank" </w:instrText>
            </w:r>
            <w:r>
              <w:fldChar w:fldCharType="separate"/>
            </w:r>
            <w:r>
              <w:rPr>
                <w:sz w:val="24"/>
              </w:rPr>
              <w:t>工件</w:t>
            </w:r>
            <w:r>
              <w:rPr>
                <w:sz w:val="24"/>
              </w:rPr>
              <w:fldChar w:fldCharType="end"/>
            </w:r>
            <w:r>
              <w:rPr>
                <w:sz w:val="24"/>
              </w:rPr>
              <w:t>（冲压件）的成形加工方法</w:t>
            </w:r>
            <w:r>
              <w:rPr>
                <w:rFonts w:hint="eastAsia"/>
                <w:sz w:val="24"/>
              </w:rPr>
              <w:t>；冲压油循环使用，定期添加</w:t>
            </w:r>
            <w:r>
              <w:rPr>
                <w:rFonts w:hint="eastAsia"/>
                <w:sz w:val="24"/>
                <w:lang w:eastAsia="zh-CN"/>
              </w:rPr>
              <w:t>，</w:t>
            </w:r>
            <w:r>
              <w:rPr>
                <w:rFonts w:hint="eastAsia"/>
                <w:sz w:val="24"/>
              </w:rPr>
              <w:t>部分</w:t>
            </w:r>
            <w:r>
              <w:rPr>
                <w:rFonts w:hint="eastAsia"/>
                <w:sz w:val="24"/>
                <w:lang w:eastAsia="zh-CN"/>
              </w:rPr>
              <w:t>粘于产品表面，随产品一并损耗</w:t>
            </w:r>
            <w:r>
              <w:rPr>
                <w:rFonts w:hint="eastAsia"/>
                <w:sz w:val="24"/>
              </w:rPr>
              <w:t>。该过程会产生边角料（</w:t>
            </w:r>
            <w:r>
              <w:rPr>
                <w:rFonts w:hint="eastAsia"/>
                <w:sz w:val="24"/>
                <w:lang w:eastAsia="zh-CN"/>
              </w:rPr>
              <w:t>S2</w:t>
            </w:r>
            <w:r>
              <w:rPr>
                <w:rFonts w:hint="eastAsia"/>
                <w:sz w:val="24"/>
              </w:rPr>
              <w:t>-2）</w:t>
            </w:r>
            <w:r>
              <w:rPr>
                <w:rFonts w:hint="eastAsia"/>
                <w:sz w:val="24"/>
                <w:lang w:eastAsia="zh-CN"/>
              </w:rPr>
              <w:t>和废冲压油（</w:t>
            </w:r>
            <w:r>
              <w:rPr>
                <w:rFonts w:hint="eastAsia"/>
                <w:sz w:val="24"/>
                <w:lang w:val="en-US" w:eastAsia="zh-CN"/>
              </w:rPr>
              <w:t>S2-3</w:t>
            </w:r>
            <w:r>
              <w:rPr>
                <w:rFonts w:hint="eastAsia"/>
                <w:sz w:val="24"/>
                <w:lang w:eastAsia="zh-CN"/>
              </w:rPr>
              <w:t>）</w:t>
            </w:r>
            <w:r>
              <w:rPr>
                <w:rFonts w:hint="eastAsia"/>
                <w:sz w:val="24"/>
              </w:rPr>
              <w:t>；</w:t>
            </w:r>
          </w:p>
          <w:p>
            <w:pPr>
              <w:keepNext w:val="0"/>
              <w:keepLines w:val="0"/>
              <w:suppressLineNumbers w:val="0"/>
              <w:autoSpaceDE w:val="0"/>
              <w:spacing w:before="0" w:beforeAutospacing="0" w:after="0" w:afterAutospacing="0" w:line="360" w:lineRule="auto"/>
              <w:ind w:left="0" w:right="0" w:firstLine="482" w:firstLineChars="200"/>
              <w:rPr>
                <w:sz w:val="24"/>
              </w:rPr>
            </w:pPr>
            <w:r>
              <w:rPr>
                <w:rFonts w:hint="eastAsia"/>
                <w:b/>
                <w:sz w:val="24"/>
              </w:rPr>
              <w:t>机加工：</w:t>
            </w:r>
            <w:r>
              <w:rPr>
                <w:rFonts w:hint="eastAsia"/>
                <w:sz w:val="24"/>
              </w:rPr>
              <w:t>冲压后的半成品机壳根据客户需求采用铣床、磨床、车床、摇臂钻床、液压机等设备进行铣加工、磨加工、车加工、钻孔、液压等机加工处理</w:t>
            </w:r>
            <w:r>
              <w:rPr>
                <w:rFonts w:hint="eastAsia"/>
                <w:sz w:val="24"/>
                <w:lang w:eastAsia="zh-CN"/>
              </w:rPr>
              <w:t>；其中</w:t>
            </w:r>
            <w:r>
              <w:rPr>
                <w:rFonts w:hint="eastAsia"/>
                <w:sz w:val="24"/>
              </w:rPr>
              <w:t>液压过程中需使用液压油，以起到</w:t>
            </w:r>
            <w:r>
              <w:rPr>
                <w:sz w:val="24"/>
              </w:rPr>
              <w:t>能量传递、抗磨、系统润滑、防腐、防锈、冷却等作用</w:t>
            </w:r>
            <w:r>
              <w:rPr>
                <w:rFonts w:hint="eastAsia"/>
                <w:sz w:val="24"/>
              </w:rPr>
              <w:t>，液压油循环使用，</w:t>
            </w:r>
            <w:r>
              <w:rPr>
                <w:sz w:val="24"/>
              </w:rPr>
              <w:t>使用过程中，部分蒸发损耗，需定期添加，且每</w:t>
            </w:r>
            <w:r>
              <w:rPr>
                <w:rFonts w:hint="eastAsia"/>
                <w:sz w:val="24"/>
                <w:lang w:eastAsia="zh-CN"/>
              </w:rPr>
              <w:t>两</w:t>
            </w:r>
            <w:r>
              <w:rPr>
                <w:sz w:val="24"/>
              </w:rPr>
              <w:t>年更换一次</w:t>
            </w:r>
            <w:r>
              <w:rPr>
                <w:rFonts w:hint="eastAsia"/>
                <w:sz w:val="24"/>
              </w:rPr>
              <w:t>；铣加工、磨加工、车</w:t>
            </w:r>
            <w:r>
              <w:rPr>
                <w:sz w:val="24"/>
              </w:rPr>
              <w:t>加工过程中</w:t>
            </w:r>
            <w:r>
              <w:rPr>
                <w:rFonts w:hint="eastAsia"/>
                <w:sz w:val="24"/>
              </w:rPr>
              <w:t>需</w:t>
            </w:r>
            <w:r>
              <w:rPr>
                <w:sz w:val="24"/>
              </w:rPr>
              <w:t>使用</w:t>
            </w:r>
            <w:r>
              <w:rPr>
                <w:rFonts w:hint="eastAsia"/>
                <w:sz w:val="24"/>
              </w:rPr>
              <w:t>切削</w:t>
            </w:r>
            <w:r>
              <w:rPr>
                <w:rFonts w:hint="eastAsia"/>
                <w:sz w:val="24"/>
                <w:lang w:eastAsia="zh-CN"/>
              </w:rPr>
              <w:t>油</w:t>
            </w:r>
            <w:r>
              <w:rPr>
                <w:rFonts w:hint="eastAsia"/>
                <w:sz w:val="24"/>
              </w:rPr>
              <w:t>，以</w:t>
            </w:r>
            <w:r>
              <w:rPr>
                <w:sz w:val="24"/>
              </w:rPr>
              <w:t>起到降温、润滑及清洁的作用，切削</w:t>
            </w:r>
            <w:r>
              <w:rPr>
                <w:rFonts w:hint="eastAsia"/>
                <w:sz w:val="24"/>
                <w:lang w:eastAsia="zh-CN"/>
              </w:rPr>
              <w:t>油</w:t>
            </w:r>
            <w:r>
              <w:rPr>
                <w:sz w:val="24"/>
              </w:rPr>
              <w:t>循环使用，使用过程中，部分蒸发损耗，需定期添加，且每年更换一次。此工序产生</w:t>
            </w:r>
            <w:r>
              <w:rPr>
                <w:rFonts w:hint="eastAsia"/>
                <w:sz w:val="24"/>
              </w:rPr>
              <w:t>边角料</w:t>
            </w:r>
            <w:r>
              <w:rPr>
                <w:sz w:val="24"/>
              </w:rPr>
              <w:t>（</w:t>
            </w:r>
            <w:r>
              <w:rPr>
                <w:rFonts w:hint="eastAsia"/>
                <w:sz w:val="24"/>
                <w:lang w:eastAsia="zh-CN"/>
              </w:rPr>
              <w:t>S2</w:t>
            </w:r>
            <w:r>
              <w:rPr>
                <w:rFonts w:hint="eastAsia"/>
                <w:sz w:val="24"/>
              </w:rPr>
              <w:t>-</w:t>
            </w:r>
            <w:r>
              <w:rPr>
                <w:rFonts w:hint="eastAsia"/>
                <w:sz w:val="24"/>
                <w:lang w:val="en-US" w:eastAsia="zh-CN"/>
              </w:rPr>
              <w:t>4</w:t>
            </w:r>
            <w:r>
              <w:rPr>
                <w:sz w:val="24"/>
              </w:rPr>
              <w:t>）</w:t>
            </w:r>
            <w:r>
              <w:rPr>
                <w:rFonts w:hint="eastAsia"/>
                <w:sz w:val="24"/>
              </w:rPr>
              <w:t>、废液压油（</w:t>
            </w:r>
            <w:r>
              <w:rPr>
                <w:rFonts w:hint="eastAsia"/>
                <w:sz w:val="24"/>
                <w:lang w:eastAsia="zh-CN"/>
              </w:rPr>
              <w:t>S2</w:t>
            </w:r>
            <w:r>
              <w:rPr>
                <w:rFonts w:hint="eastAsia"/>
                <w:sz w:val="24"/>
              </w:rPr>
              <w:t>-</w:t>
            </w:r>
            <w:r>
              <w:rPr>
                <w:rFonts w:hint="eastAsia"/>
                <w:sz w:val="24"/>
                <w:lang w:val="en-US" w:eastAsia="zh-CN"/>
              </w:rPr>
              <w:t>5</w:t>
            </w:r>
            <w:r>
              <w:rPr>
                <w:rFonts w:hint="eastAsia"/>
                <w:sz w:val="24"/>
              </w:rPr>
              <w:t>）</w:t>
            </w:r>
            <w:r>
              <w:rPr>
                <w:sz w:val="24"/>
              </w:rPr>
              <w:t>和废</w:t>
            </w:r>
            <w:r>
              <w:rPr>
                <w:rFonts w:hint="eastAsia"/>
                <w:sz w:val="24"/>
                <w:lang w:eastAsia="zh-CN"/>
              </w:rPr>
              <w:t>切削油</w:t>
            </w:r>
            <w:r>
              <w:rPr>
                <w:sz w:val="24"/>
              </w:rPr>
              <w:t>（</w:t>
            </w:r>
            <w:r>
              <w:rPr>
                <w:rFonts w:hint="eastAsia"/>
                <w:sz w:val="24"/>
                <w:lang w:eastAsia="zh-CN"/>
              </w:rPr>
              <w:t>S2</w:t>
            </w:r>
            <w:r>
              <w:rPr>
                <w:rFonts w:hint="eastAsia"/>
                <w:sz w:val="24"/>
              </w:rPr>
              <w:t>-</w:t>
            </w:r>
            <w:r>
              <w:rPr>
                <w:rFonts w:hint="eastAsia"/>
                <w:sz w:val="24"/>
                <w:lang w:val="en-US" w:eastAsia="zh-CN"/>
              </w:rPr>
              <w:t>6</w:t>
            </w:r>
            <w:r>
              <w:rPr>
                <w:sz w:val="24"/>
              </w:rPr>
              <w:t>）。</w:t>
            </w:r>
            <w:r>
              <w:rPr>
                <w:rFonts w:hint="eastAsia"/>
                <w:sz w:val="24"/>
                <w:lang w:eastAsia="zh-CN"/>
              </w:rPr>
              <w:t>机加工</w:t>
            </w:r>
            <w:r>
              <w:rPr>
                <w:sz w:val="24"/>
              </w:rPr>
              <w:t>过程中，</w:t>
            </w:r>
            <w:r>
              <w:rPr>
                <w:rFonts w:hint="eastAsia"/>
                <w:sz w:val="24"/>
                <w:lang w:eastAsia="zh-CN"/>
              </w:rPr>
              <w:t>切削油、液压油</w:t>
            </w:r>
            <w:r>
              <w:rPr>
                <w:sz w:val="24"/>
              </w:rPr>
              <w:t>会挥发出少量的有机废气，由于原料用料少，挥发的有机废气</w:t>
            </w:r>
            <w:r>
              <w:rPr>
                <w:rFonts w:hint="eastAsia"/>
                <w:sz w:val="24"/>
              </w:rPr>
              <w:t>可忽略不计，本环评不做定量分析</w:t>
            </w:r>
            <w:r>
              <w:rPr>
                <w:sz w:val="24"/>
              </w:rPr>
              <w:t>。</w:t>
            </w:r>
          </w:p>
          <w:p>
            <w:pPr>
              <w:keepNext w:val="0"/>
              <w:keepLines w:val="0"/>
              <w:suppressLineNumbers w:val="0"/>
              <w:autoSpaceDE w:val="0"/>
              <w:spacing w:before="0" w:beforeAutospacing="0" w:after="0" w:afterAutospacing="0" w:line="360" w:lineRule="auto"/>
              <w:ind w:left="0" w:right="0" w:firstLine="482" w:firstLineChars="200"/>
              <w:rPr>
                <w:sz w:val="24"/>
              </w:rPr>
            </w:pPr>
            <w:r>
              <w:rPr>
                <w:rFonts w:hint="eastAsia"/>
                <w:b/>
                <w:sz w:val="24"/>
              </w:rPr>
              <w:t>攻丝加工：</w:t>
            </w:r>
            <w:r>
              <w:rPr>
                <w:rFonts w:hint="eastAsia"/>
                <w:sz w:val="24"/>
              </w:rPr>
              <w:t>机加工后的半成品需采用攻丝机进行攻丝加工处理，</w:t>
            </w:r>
            <w:r>
              <w:rPr>
                <w:sz w:val="24"/>
              </w:rPr>
              <w:t>攻丝指的是用一定的扭矩将丝锥旋入要钻的底孔中加工出内螺纹</w:t>
            </w:r>
            <w:r>
              <w:rPr>
                <w:rFonts w:hint="eastAsia"/>
                <w:sz w:val="24"/>
              </w:rPr>
              <w:t>，</w:t>
            </w:r>
            <w:r>
              <w:rPr>
                <w:sz w:val="24"/>
              </w:rPr>
              <w:t>加工过程中</w:t>
            </w:r>
            <w:r>
              <w:rPr>
                <w:rFonts w:hint="eastAsia"/>
                <w:sz w:val="24"/>
              </w:rPr>
              <w:t>需</w:t>
            </w:r>
            <w:r>
              <w:rPr>
                <w:sz w:val="24"/>
              </w:rPr>
              <w:t>使用</w:t>
            </w:r>
            <w:r>
              <w:rPr>
                <w:rFonts w:hint="eastAsia"/>
                <w:sz w:val="24"/>
                <w:highlight w:val="none"/>
                <w:lang w:eastAsia="zh-CN"/>
              </w:rPr>
              <w:t>切削油</w:t>
            </w:r>
            <w:r>
              <w:rPr>
                <w:rFonts w:hint="eastAsia"/>
                <w:sz w:val="24"/>
              </w:rPr>
              <w:t>，以</w:t>
            </w:r>
            <w:r>
              <w:rPr>
                <w:sz w:val="24"/>
              </w:rPr>
              <w:t>起到降温、润滑及清洁的作用，</w:t>
            </w:r>
            <w:r>
              <w:rPr>
                <w:rFonts w:hint="eastAsia"/>
                <w:sz w:val="24"/>
                <w:lang w:eastAsia="zh-CN"/>
              </w:rPr>
              <w:t>切削油</w:t>
            </w:r>
            <w:r>
              <w:rPr>
                <w:sz w:val="24"/>
              </w:rPr>
              <w:t>循环使用，使用过程中，部分蒸发损耗，需定期添加，且每年更换一次。此工序产生</w:t>
            </w:r>
            <w:r>
              <w:rPr>
                <w:rFonts w:hint="eastAsia"/>
                <w:sz w:val="24"/>
              </w:rPr>
              <w:t>边角料</w:t>
            </w:r>
            <w:r>
              <w:rPr>
                <w:sz w:val="24"/>
              </w:rPr>
              <w:t>（</w:t>
            </w:r>
            <w:r>
              <w:rPr>
                <w:rFonts w:hint="eastAsia"/>
                <w:sz w:val="24"/>
                <w:lang w:eastAsia="zh-CN"/>
              </w:rPr>
              <w:t>S2</w:t>
            </w:r>
            <w:r>
              <w:rPr>
                <w:rFonts w:hint="eastAsia"/>
                <w:sz w:val="24"/>
              </w:rPr>
              <w:t>-</w:t>
            </w:r>
            <w:r>
              <w:rPr>
                <w:rFonts w:hint="eastAsia"/>
                <w:sz w:val="24"/>
                <w:lang w:val="en-US" w:eastAsia="zh-CN"/>
              </w:rPr>
              <w:t>7</w:t>
            </w:r>
            <w:r>
              <w:rPr>
                <w:sz w:val="24"/>
              </w:rPr>
              <w:t>）和废</w:t>
            </w:r>
            <w:r>
              <w:rPr>
                <w:rFonts w:hint="eastAsia"/>
                <w:sz w:val="24"/>
                <w:lang w:eastAsia="zh-CN"/>
              </w:rPr>
              <w:t>切削油</w:t>
            </w:r>
            <w:r>
              <w:rPr>
                <w:sz w:val="24"/>
              </w:rPr>
              <w:t>（</w:t>
            </w:r>
            <w:r>
              <w:rPr>
                <w:rFonts w:hint="eastAsia"/>
                <w:sz w:val="24"/>
                <w:lang w:eastAsia="zh-CN"/>
              </w:rPr>
              <w:t>S2</w:t>
            </w:r>
            <w:r>
              <w:rPr>
                <w:rFonts w:hint="eastAsia"/>
                <w:sz w:val="24"/>
              </w:rPr>
              <w:t>-</w:t>
            </w:r>
            <w:r>
              <w:rPr>
                <w:rFonts w:hint="eastAsia"/>
                <w:sz w:val="24"/>
                <w:lang w:val="en-US" w:eastAsia="zh-CN"/>
              </w:rPr>
              <w:t>8</w:t>
            </w:r>
            <w:r>
              <w:rPr>
                <w:sz w:val="24"/>
              </w:rPr>
              <w:t>）。</w:t>
            </w:r>
            <w:r>
              <w:rPr>
                <w:rFonts w:hint="eastAsia"/>
                <w:sz w:val="24"/>
                <w:lang w:eastAsia="zh-CN"/>
              </w:rPr>
              <w:t>攻丝</w:t>
            </w:r>
            <w:r>
              <w:rPr>
                <w:rFonts w:hint="eastAsia"/>
                <w:sz w:val="24"/>
              </w:rPr>
              <w:t>加工</w:t>
            </w:r>
            <w:r>
              <w:rPr>
                <w:sz w:val="24"/>
              </w:rPr>
              <w:t>过程中，</w:t>
            </w:r>
            <w:r>
              <w:rPr>
                <w:rFonts w:hint="eastAsia"/>
                <w:sz w:val="24"/>
                <w:lang w:eastAsia="zh-CN"/>
              </w:rPr>
              <w:t>切削油</w:t>
            </w:r>
            <w:r>
              <w:rPr>
                <w:sz w:val="24"/>
              </w:rPr>
              <w:t>会挥发出少量的有机废气，由于原料用料少，挥发的有机废气</w:t>
            </w:r>
            <w:r>
              <w:rPr>
                <w:rFonts w:hint="eastAsia"/>
                <w:sz w:val="24"/>
              </w:rPr>
              <w:t>可忽略不计，本环评不做定量分析</w:t>
            </w:r>
            <w:r>
              <w:rPr>
                <w:sz w:val="24"/>
              </w:rPr>
              <w:t>。</w:t>
            </w:r>
          </w:p>
          <w:p>
            <w:pPr>
              <w:keepNext w:val="0"/>
              <w:keepLines w:val="0"/>
              <w:suppressLineNumbers w:val="0"/>
              <w:autoSpaceDE w:val="0"/>
              <w:spacing w:before="0" w:beforeAutospacing="0" w:after="0" w:afterAutospacing="0" w:line="360" w:lineRule="auto"/>
              <w:ind w:left="0" w:right="0" w:firstLine="482" w:firstLineChars="200"/>
              <w:rPr>
                <w:sz w:val="24"/>
              </w:rPr>
            </w:pPr>
            <w:r>
              <w:rPr>
                <w:rFonts w:hint="eastAsia"/>
                <w:b/>
                <w:sz w:val="24"/>
              </w:rPr>
              <w:t>清洗：</w:t>
            </w:r>
            <w:r>
              <w:rPr>
                <w:rFonts w:hint="eastAsia"/>
                <w:sz w:val="24"/>
              </w:rPr>
              <w:t>攻丝加工后的半成品委外进行清洗处理。</w:t>
            </w:r>
          </w:p>
          <w:p>
            <w:pPr>
              <w:keepNext w:val="0"/>
              <w:keepLines w:val="0"/>
              <w:suppressLineNumbers w:val="0"/>
              <w:autoSpaceDE w:val="0"/>
              <w:spacing w:before="0" w:beforeAutospacing="0" w:after="0" w:afterAutospacing="0" w:line="360" w:lineRule="auto"/>
              <w:ind w:left="0" w:right="0" w:firstLine="482" w:firstLineChars="200"/>
              <w:rPr>
                <w:sz w:val="24"/>
              </w:rPr>
            </w:pPr>
            <w:r>
              <w:rPr>
                <w:rFonts w:hint="eastAsia"/>
                <w:b/>
                <w:sz w:val="24"/>
              </w:rPr>
              <w:t>涂抹防锈油：</w:t>
            </w:r>
            <w:r>
              <w:rPr>
                <w:rFonts w:hint="eastAsia"/>
                <w:sz w:val="24"/>
              </w:rPr>
              <w:t>委外清洗后的机壳，需涂抹防锈油，以起到</w:t>
            </w:r>
            <w:r>
              <w:rPr>
                <w:sz w:val="24"/>
              </w:rPr>
              <w:t>防锈</w:t>
            </w:r>
            <w:r>
              <w:rPr>
                <w:rFonts w:hint="eastAsia"/>
                <w:sz w:val="24"/>
              </w:rPr>
              <w:t>的</w:t>
            </w:r>
            <w:r>
              <w:rPr>
                <w:sz w:val="24"/>
              </w:rPr>
              <w:t>作用</w:t>
            </w:r>
            <w:r>
              <w:rPr>
                <w:rFonts w:hint="eastAsia"/>
                <w:sz w:val="24"/>
                <w:lang w:eastAsia="zh-CN"/>
              </w:rPr>
              <w:t>，本项目所用防锈油属于重油，不易挥发，随产品一并损耗</w:t>
            </w:r>
            <w:r>
              <w:rPr>
                <w:rFonts w:hint="eastAsia"/>
                <w:sz w:val="24"/>
              </w:rPr>
              <w:t>。</w:t>
            </w:r>
          </w:p>
          <w:p>
            <w:pPr>
              <w:keepNext w:val="0"/>
              <w:keepLines w:val="0"/>
              <w:suppressLineNumbers w:val="0"/>
              <w:autoSpaceDE w:val="0"/>
              <w:spacing w:before="0" w:beforeAutospacing="0" w:after="0" w:afterAutospacing="0" w:line="360" w:lineRule="auto"/>
              <w:ind w:left="0" w:right="0" w:firstLine="482" w:firstLineChars="200"/>
              <w:rPr>
                <w:sz w:val="24"/>
              </w:rPr>
            </w:pPr>
            <w:r>
              <w:rPr>
                <w:rFonts w:hint="eastAsia"/>
                <w:b/>
                <w:sz w:val="24"/>
              </w:rPr>
              <w:t>检验：</w:t>
            </w:r>
            <w:r>
              <w:rPr>
                <w:rFonts w:hint="eastAsia"/>
                <w:sz w:val="24"/>
              </w:rPr>
              <w:t>涂抹防锈油后的机壳需进行人工检验，对检验合格的产品即为成品。此工序产生不合格品（</w:t>
            </w:r>
            <w:r>
              <w:rPr>
                <w:rFonts w:hint="eastAsia"/>
                <w:sz w:val="24"/>
                <w:lang w:eastAsia="zh-CN"/>
              </w:rPr>
              <w:t>S2</w:t>
            </w:r>
            <w:r>
              <w:rPr>
                <w:rFonts w:hint="eastAsia"/>
                <w:sz w:val="24"/>
              </w:rPr>
              <w:t>-</w:t>
            </w:r>
            <w:r>
              <w:rPr>
                <w:rFonts w:hint="eastAsia"/>
                <w:sz w:val="24"/>
                <w:lang w:val="en-US" w:eastAsia="zh-CN"/>
              </w:rPr>
              <w:t>9</w:t>
            </w:r>
            <w:r>
              <w:rPr>
                <w:rFonts w:hint="eastAsia"/>
                <w:sz w:val="24"/>
              </w:rPr>
              <w:t>）。</w:t>
            </w:r>
          </w:p>
          <w:p>
            <w:pPr>
              <w:keepNext w:val="0"/>
              <w:keepLines w:val="0"/>
              <w:suppressLineNumbers w:val="0"/>
              <w:adjustRightInd w:val="0"/>
              <w:snapToGrid w:val="0"/>
              <w:spacing w:before="0" w:beforeAutospacing="0" w:after="0" w:afterAutospacing="0"/>
              <w:ind w:left="0" w:right="0" w:firstLine="482" w:firstLineChars="200"/>
              <w:jc w:val="center"/>
              <w:rPr>
                <w:rFonts w:hAnsi="宋体"/>
                <w:b/>
                <w:bCs/>
                <w:sz w:val="24"/>
              </w:rPr>
            </w:pPr>
          </w:p>
          <w:p>
            <w:pPr>
              <w:keepNext w:val="0"/>
              <w:keepLines w:val="0"/>
              <w:suppressLineNumbers w:val="0"/>
              <w:adjustRightInd w:val="0"/>
              <w:snapToGrid w:val="0"/>
              <w:spacing w:before="0" w:beforeAutospacing="0" w:after="0" w:afterAutospacing="0"/>
              <w:ind w:left="0" w:right="0" w:firstLine="482" w:firstLineChars="200"/>
              <w:jc w:val="center"/>
              <w:rPr>
                <w:rFonts w:hAnsi="宋体"/>
                <w:b/>
                <w:bCs/>
                <w:sz w:val="24"/>
              </w:rPr>
            </w:pPr>
          </w:p>
          <w:p>
            <w:pPr>
              <w:keepNext w:val="0"/>
              <w:keepLines w:val="0"/>
              <w:suppressLineNumbers w:val="0"/>
              <w:adjustRightInd w:val="0"/>
              <w:snapToGrid w:val="0"/>
              <w:spacing w:before="0" w:beforeAutospacing="0" w:after="0" w:afterAutospacing="0"/>
              <w:ind w:left="0" w:right="0" w:firstLine="482" w:firstLineChars="200"/>
              <w:jc w:val="center"/>
              <w:rPr>
                <w:rFonts w:hAnsi="宋体"/>
                <w:b/>
                <w:bCs/>
                <w:sz w:val="24"/>
              </w:rPr>
            </w:pPr>
          </w:p>
          <w:p>
            <w:pPr>
              <w:keepNext w:val="0"/>
              <w:keepLines w:val="0"/>
              <w:suppressLineNumbers w:val="0"/>
              <w:adjustRightInd w:val="0"/>
              <w:snapToGrid w:val="0"/>
              <w:spacing w:before="0" w:beforeAutospacing="0" w:after="0" w:afterAutospacing="0"/>
              <w:ind w:left="0" w:right="0" w:firstLine="482" w:firstLineChars="200"/>
              <w:jc w:val="center"/>
              <w:rPr>
                <w:rFonts w:hAnsi="宋体"/>
                <w:b/>
                <w:bCs/>
                <w:sz w:val="24"/>
              </w:rPr>
            </w:pPr>
          </w:p>
          <w:p>
            <w:pPr>
              <w:keepNext w:val="0"/>
              <w:keepLines w:val="0"/>
              <w:suppressLineNumbers w:val="0"/>
              <w:adjustRightInd w:val="0"/>
              <w:snapToGrid w:val="0"/>
              <w:spacing w:before="0" w:beforeAutospacing="0" w:after="0" w:afterAutospacing="0"/>
              <w:ind w:left="0" w:right="0" w:firstLine="482" w:firstLineChars="200"/>
              <w:jc w:val="center"/>
              <w:rPr>
                <w:rFonts w:hAnsi="宋体"/>
                <w:b/>
                <w:bCs/>
                <w:sz w:val="24"/>
              </w:rPr>
            </w:pPr>
          </w:p>
          <w:p>
            <w:pPr>
              <w:keepNext w:val="0"/>
              <w:keepLines w:val="0"/>
              <w:suppressLineNumbers w:val="0"/>
              <w:adjustRightInd w:val="0"/>
              <w:snapToGrid w:val="0"/>
              <w:spacing w:before="0" w:beforeAutospacing="0" w:after="0" w:afterAutospacing="0"/>
              <w:ind w:left="0" w:right="0" w:firstLine="482" w:firstLineChars="200"/>
              <w:jc w:val="center"/>
              <w:rPr>
                <w:rFonts w:hAnsi="宋体"/>
                <w:b/>
                <w:bCs/>
                <w:sz w:val="24"/>
              </w:rPr>
            </w:pPr>
          </w:p>
          <w:p>
            <w:pPr>
              <w:keepNext w:val="0"/>
              <w:keepLines w:val="0"/>
              <w:suppressLineNumbers w:val="0"/>
              <w:adjustRightInd w:val="0"/>
              <w:snapToGrid w:val="0"/>
              <w:spacing w:before="0" w:beforeAutospacing="0" w:after="0" w:afterAutospacing="0"/>
              <w:ind w:left="0" w:right="0" w:firstLine="482" w:firstLineChars="200"/>
              <w:jc w:val="center"/>
              <w:rPr>
                <w:rFonts w:hAnsi="宋体"/>
                <w:b/>
                <w:bCs/>
                <w:sz w:val="24"/>
              </w:rPr>
            </w:pPr>
          </w:p>
          <w:p>
            <w:pPr>
              <w:keepNext w:val="0"/>
              <w:keepLines w:val="0"/>
              <w:suppressLineNumbers w:val="0"/>
              <w:adjustRightInd w:val="0"/>
              <w:snapToGrid w:val="0"/>
              <w:spacing w:before="0" w:beforeAutospacing="0" w:after="0" w:afterAutospacing="0"/>
              <w:ind w:left="0" w:right="0" w:firstLine="482" w:firstLineChars="200"/>
              <w:jc w:val="center"/>
              <w:rPr>
                <w:rFonts w:hAnsi="宋体"/>
                <w:b/>
                <w:bCs/>
                <w:sz w:val="24"/>
              </w:rPr>
            </w:pPr>
          </w:p>
          <w:p>
            <w:pPr>
              <w:pStyle w:val="2"/>
              <w:keepNext w:val="0"/>
              <w:keepLines w:val="0"/>
              <w:suppressLineNumbers w:val="0"/>
              <w:spacing w:before="0" w:beforeAutospacing="0" w:afterAutospacing="0"/>
            </w:pPr>
          </w:p>
          <w:p>
            <w:pPr>
              <w:keepNext w:val="0"/>
              <w:keepLines w:val="0"/>
              <w:suppressLineNumbers w:val="0"/>
              <w:adjustRightInd w:val="0"/>
              <w:snapToGrid w:val="0"/>
              <w:spacing w:before="0" w:beforeAutospacing="0" w:after="0" w:afterAutospacing="0"/>
              <w:ind w:left="0" w:right="0" w:firstLine="482" w:firstLineChars="200"/>
              <w:jc w:val="center"/>
              <w:rPr>
                <w:sz w:val="24"/>
              </w:rPr>
            </w:pPr>
            <w:r>
              <w:rPr>
                <w:rFonts w:hAnsi="宋体"/>
                <w:b/>
                <w:bCs/>
                <w:sz w:val="24"/>
              </w:rPr>
              <w:t>表</w:t>
            </w:r>
            <w:r>
              <w:rPr>
                <w:b/>
                <w:bCs/>
                <w:sz w:val="24"/>
              </w:rPr>
              <w:t xml:space="preserve">2-7 </w:t>
            </w:r>
            <w:r>
              <w:rPr>
                <w:rFonts w:hAnsi="宋体"/>
                <w:b/>
                <w:bCs/>
                <w:sz w:val="24"/>
              </w:rPr>
              <w:t>全厂</w:t>
            </w:r>
            <w:r>
              <w:rPr>
                <w:b/>
                <w:bCs/>
                <w:sz w:val="24"/>
              </w:rPr>
              <w:t>VOCs</w:t>
            </w:r>
            <w:r>
              <w:rPr>
                <w:rFonts w:hAnsi="宋体"/>
                <w:b/>
                <w:bCs/>
                <w:sz w:val="24"/>
              </w:rPr>
              <w:t>平衡表（单位：</w:t>
            </w:r>
            <w:r>
              <w:rPr>
                <w:b/>
                <w:bCs/>
                <w:sz w:val="24"/>
              </w:rPr>
              <w:t>t/a</w:t>
            </w:r>
            <w:r>
              <w:rPr>
                <w:rFonts w:hAnsi="宋体"/>
                <w:b/>
                <w:bCs/>
                <w:sz w:val="24"/>
              </w:rPr>
              <w:t>）</w:t>
            </w:r>
          </w:p>
          <w:tbl>
            <w:tblPr>
              <w:tblStyle w:val="21"/>
              <w:tblW w:w="827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47"/>
              <w:gridCol w:w="778"/>
              <w:gridCol w:w="1850"/>
              <w:gridCol w:w="1784"/>
              <w:gridCol w:w="312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1525" w:type="dxa"/>
                  <w:gridSpan w:val="2"/>
                  <w:vMerge w:val="restart"/>
                  <w:vAlign w:val="center"/>
                </w:tcPr>
                <w:p>
                  <w:pPr>
                    <w:pStyle w:val="50"/>
                    <w:keepNext w:val="0"/>
                    <w:keepLines w:val="0"/>
                    <w:suppressLineNumbers w:val="0"/>
                    <w:adjustRightInd w:val="0"/>
                    <w:snapToGrid w:val="0"/>
                    <w:spacing w:before="0" w:beforeAutospacing="0" w:after="0" w:afterAutospacing="0" w:line="240" w:lineRule="auto"/>
                    <w:ind w:left="0" w:right="0"/>
                    <w:jc w:val="center"/>
                    <w:rPr>
                      <w:rFonts w:ascii="Times New Roman" w:hAnsi="Times New Roman"/>
                      <w:b/>
                      <w:bCs/>
                      <w:sz w:val="21"/>
                      <w:szCs w:val="21"/>
                    </w:rPr>
                  </w:pPr>
                  <w:r>
                    <w:rPr>
                      <w:rFonts w:ascii="Times New Roman" w:hAnsi="宋体"/>
                      <w:b/>
                      <w:bCs/>
                      <w:sz w:val="21"/>
                      <w:szCs w:val="21"/>
                    </w:rPr>
                    <w:t>产生工段及产生量</w:t>
                  </w:r>
                </w:p>
              </w:tc>
              <w:tc>
                <w:tcPr>
                  <w:tcW w:w="6754" w:type="dxa"/>
                  <w:gridSpan w:val="3"/>
                  <w:vAlign w:val="center"/>
                </w:tcPr>
                <w:p>
                  <w:pPr>
                    <w:pStyle w:val="50"/>
                    <w:keepNext w:val="0"/>
                    <w:keepLines w:val="0"/>
                    <w:suppressLineNumbers w:val="0"/>
                    <w:adjustRightInd w:val="0"/>
                    <w:snapToGrid w:val="0"/>
                    <w:spacing w:before="0" w:beforeAutospacing="0" w:after="0" w:afterAutospacing="0" w:line="240" w:lineRule="auto"/>
                    <w:ind w:left="0" w:right="0"/>
                    <w:jc w:val="center"/>
                    <w:rPr>
                      <w:rFonts w:ascii="Times New Roman" w:hAnsi="宋体"/>
                      <w:b/>
                      <w:bCs/>
                      <w:sz w:val="21"/>
                      <w:szCs w:val="21"/>
                    </w:rPr>
                  </w:pPr>
                  <w:r>
                    <w:rPr>
                      <w:rFonts w:ascii="Times New Roman" w:hAnsi="宋体"/>
                      <w:b/>
                      <w:bCs/>
                      <w:sz w:val="21"/>
                      <w:szCs w:val="21"/>
                    </w:rPr>
                    <w:t>出料</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1525" w:type="dxa"/>
                  <w:gridSpan w:val="2"/>
                  <w:vMerge w:val="continue"/>
                  <w:vAlign w:val="center"/>
                </w:tcPr>
                <w:p>
                  <w:pPr>
                    <w:pStyle w:val="50"/>
                    <w:keepNext w:val="0"/>
                    <w:keepLines w:val="0"/>
                    <w:suppressLineNumbers w:val="0"/>
                    <w:adjustRightInd w:val="0"/>
                    <w:snapToGrid w:val="0"/>
                    <w:spacing w:before="0" w:beforeAutospacing="0" w:after="0" w:afterAutospacing="0" w:line="240" w:lineRule="auto"/>
                    <w:ind w:left="0" w:right="0"/>
                    <w:jc w:val="center"/>
                    <w:rPr>
                      <w:rFonts w:ascii="Times New Roman" w:hAnsi="宋体"/>
                      <w:b/>
                      <w:bCs/>
                      <w:sz w:val="21"/>
                      <w:szCs w:val="21"/>
                    </w:rPr>
                  </w:pPr>
                </w:p>
              </w:tc>
              <w:tc>
                <w:tcPr>
                  <w:tcW w:w="3634" w:type="dxa"/>
                  <w:gridSpan w:val="2"/>
                  <w:vAlign w:val="center"/>
                </w:tcPr>
                <w:p>
                  <w:pPr>
                    <w:pStyle w:val="50"/>
                    <w:keepNext w:val="0"/>
                    <w:keepLines w:val="0"/>
                    <w:suppressLineNumbers w:val="0"/>
                    <w:adjustRightInd w:val="0"/>
                    <w:snapToGrid w:val="0"/>
                    <w:spacing w:before="0" w:beforeAutospacing="0" w:after="0" w:afterAutospacing="0" w:line="240" w:lineRule="auto"/>
                    <w:ind w:left="0" w:right="0"/>
                    <w:jc w:val="center"/>
                    <w:rPr>
                      <w:rFonts w:hint="eastAsia" w:ascii="Times New Roman" w:hAnsi="宋体" w:eastAsia="宋体"/>
                      <w:b/>
                      <w:bCs/>
                      <w:sz w:val="21"/>
                      <w:szCs w:val="21"/>
                      <w:lang w:eastAsia="zh-CN"/>
                    </w:rPr>
                  </w:pPr>
                  <w:r>
                    <w:rPr>
                      <w:rFonts w:hint="eastAsia" w:ascii="Times New Roman" w:hAnsi="宋体"/>
                      <w:b/>
                      <w:bCs/>
                      <w:sz w:val="21"/>
                      <w:szCs w:val="21"/>
                      <w:lang w:eastAsia="zh-CN"/>
                    </w:rPr>
                    <w:t>废气</w:t>
                  </w:r>
                </w:p>
              </w:tc>
              <w:tc>
                <w:tcPr>
                  <w:tcW w:w="3120" w:type="dxa"/>
                  <w:vAlign w:val="center"/>
                </w:tcPr>
                <w:p>
                  <w:pPr>
                    <w:pStyle w:val="50"/>
                    <w:keepNext w:val="0"/>
                    <w:keepLines w:val="0"/>
                    <w:suppressLineNumbers w:val="0"/>
                    <w:adjustRightInd w:val="0"/>
                    <w:snapToGrid w:val="0"/>
                    <w:spacing w:before="0" w:beforeAutospacing="0" w:after="0" w:afterAutospacing="0" w:line="240" w:lineRule="auto"/>
                    <w:ind w:left="0" w:right="0"/>
                    <w:jc w:val="center"/>
                    <w:rPr>
                      <w:rFonts w:hint="eastAsia" w:ascii="Times New Roman" w:hAnsi="宋体" w:eastAsia="宋体"/>
                      <w:b/>
                      <w:bCs/>
                      <w:sz w:val="21"/>
                      <w:szCs w:val="21"/>
                      <w:lang w:eastAsia="zh-CN"/>
                    </w:rPr>
                  </w:pPr>
                  <w:r>
                    <w:rPr>
                      <w:rFonts w:hint="eastAsia" w:ascii="Times New Roman" w:hAnsi="宋体"/>
                      <w:b/>
                      <w:bCs/>
                      <w:sz w:val="21"/>
                      <w:szCs w:val="21"/>
                      <w:lang w:eastAsia="zh-CN"/>
                    </w:rPr>
                    <w:t>固废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1525" w:type="dxa"/>
                  <w:gridSpan w:val="2"/>
                  <w:vMerge w:val="continue"/>
                  <w:vAlign w:val="center"/>
                </w:tcPr>
                <w:p>
                  <w:pPr>
                    <w:pStyle w:val="50"/>
                    <w:keepNext w:val="0"/>
                    <w:keepLines w:val="0"/>
                    <w:suppressLineNumbers w:val="0"/>
                    <w:adjustRightInd w:val="0"/>
                    <w:snapToGrid w:val="0"/>
                    <w:spacing w:before="0" w:beforeAutospacing="0" w:after="0" w:afterAutospacing="0" w:line="240" w:lineRule="auto"/>
                    <w:ind w:left="0" w:right="0"/>
                    <w:jc w:val="center"/>
                    <w:rPr>
                      <w:rFonts w:ascii="Times New Roman" w:hAnsi="Times New Roman"/>
                      <w:b/>
                      <w:bCs/>
                      <w:sz w:val="21"/>
                      <w:szCs w:val="21"/>
                    </w:rPr>
                  </w:pPr>
                </w:p>
              </w:tc>
              <w:tc>
                <w:tcPr>
                  <w:tcW w:w="1850" w:type="dxa"/>
                  <w:vAlign w:val="center"/>
                </w:tcPr>
                <w:p>
                  <w:pPr>
                    <w:pStyle w:val="50"/>
                    <w:keepNext w:val="0"/>
                    <w:keepLines w:val="0"/>
                    <w:suppressLineNumbers w:val="0"/>
                    <w:adjustRightInd w:val="0"/>
                    <w:snapToGrid w:val="0"/>
                    <w:spacing w:before="0" w:beforeAutospacing="0" w:after="0" w:afterAutospacing="0" w:line="240" w:lineRule="auto"/>
                    <w:ind w:left="0" w:right="0"/>
                    <w:jc w:val="center"/>
                    <w:rPr>
                      <w:rFonts w:ascii="Times New Roman" w:hAnsi="Times New Roman"/>
                      <w:b/>
                      <w:bCs/>
                      <w:sz w:val="21"/>
                      <w:szCs w:val="21"/>
                    </w:rPr>
                  </w:pPr>
                  <w:r>
                    <w:rPr>
                      <w:rFonts w:ascii="Times New Roman" w:hAnsi="宋体"/>
                      <w:b/>
                      <w:bCs/>
                      <w:sz w:val="21"/>
                      <w:szCs w:val="21"/>
                    </w:rPr>
                    <w:t>有组织废气</w:t>
                  </w:r>
                </w:p>
              </w:tc>
              <w:tc>
                <w:tcPr>
                  <w:tcW w:w="1784" w:type="dxa"/>
                  <w:vAlign w:val="center"/>
                </w:tcPr>
                <w:p>
                  <w:pPr>
                    <w:pStyle w:val="50"/>
                    <w:keepNext w:val="0"/>
                    <w:keepLines w:val="0"/>
                    <w:suppressLineNumbers w:val="0"/>
                    <w:adjustRightInd w:val="0"/>
                    <w:snapToGrid w:val="0"/>
                    <w:spacing w:before="0" w:beforeAutospacing="0" w:after="0" w:afterAutospacing="0" w:line="240" w:lineRule="auto"/>
                    <w:ind w:left="0" w:right="0"/>
                    <w:jc w:val="center"/>
                    <w:rPr>
                      <w:rFonts w:ascii="Times New Roman" w:hAnsi="Times New Roman"/>
                      <w:b/>
                      <w:bCs/>
                      <w:sz w:val="21"/>
                      <w:szCs w:val="21"/>
                    </w:rPr>
                  </w:pPr>
                  <w:r>
                    <w:rPr>
                      <w:rFonts w:ascii="Times New Roman" w:hAnsi="宋体"/>
                      <w:b/>
                      <w:bCs/>
                      <w:sz w:val="21"/>
                      <w:szCs w:val="21"/>
                    </w:rPr>
                    <w:t>无组织废气</w:t>
                  </w:r>
                </w:p>
              </w:tc>
              <w:tc>
                <w:tcPr>
                  <w:tcW w:w="3120" w:type="dxa"/>
                  <w:vAlign w:val="center"/>
                </w:tcPr>
                <w:p>
                  <w:pPr>
                    <w:pStyle w:val="50"/>
                    <w:keepNext w:val="0"/>
                    <w:keepLines w:val="0"/>
                    <w:suppressLineNumbers w:val="0"/>
                    <w:adjustRightInd w:val="0"/>
                    <w:snapToGrid w:val="0"/>
                    <w:spacing w:before="0" w:beforeAutospacing="0" w:after="0" w:afterAutospacing="0" w:line="240" w:lineRule="auto"/>
                    <w:ind w:left="0" w:right="0"/>
                    <w:jc w:val="center"/>
                    <w:rPr>
                      <w:rFonts w:ascii="Times New Roman" w:hAnsi="宋体"/>
                      <w:b/>
                      <w:bCs/>
                      <w:sz w:val="21"/>
                      <w:szCs w:val="21"/>
                    </w:rPr>
                  </w:pPr>
                  <w:r>
                    <w:rPr>
                      <w:rFonts w:hint="eastAsia" w:ascii="Times New Roman" w:hAnsi="宋体"/>
                      <w:b/>
                      <w:bCs/>
                      <w:sz w:val="21"/>
                      <w:szCs w:val="21"/>
                      <w:lang w:eastAsia="zh-CN"/>
                    </w:rPr>
                    <w:t>二级</w:t>
                  </w:r>
                  <w:r>
                    <w:rPr>
                      <w:rFonts w:ascii="Times New Roman" w:hAnsi="宋体"/>
                      <w:b/>
                      <w:bCs/>
                      <w:sz w:val="21"/>
                      <w:szCs w:val="21"/>
                    </w:rPr>
                    <w:t>活性炭吸附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1525" w:type="dxa"/>
                  <w:gridSpan w:val="2"/>
                  <w:vAlign w:val="center"/>
                </w:tcPr>
                <w:p>
                  <w:pPr>
                    <w:pStyle w:val="50"/>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eastAsia" w:ascii="Times New Roman" w:hAnsi="宋体"/>
                      <w:sz w:val="21"/>
                      <w:szCs w:val="21"/>
                    </w:rPr>
                    <w:t>固化</w:t>
                  </w:r>
                  <w:r>
                    <w:rPr>
                      <w:rFonts w:ascii="Times New Roman" w:hAnsi="宋体"/>
                      <w:sz w:val="21"/>
                      <w:szCs w:val="21"/>
                    </w:rPr>
                    <w:t>工段</w:t>
                  </w:r>
                  <w:r>
                    <w:rPr>
                      <w:rFonts w:ascii="Times New Roman" w:hAnsi="Times New Roman"/>
                      <w:sz w:val="21"/>
                      <w:szCs w:val="21"/>
                    </w:rPr>
                    <w:t>0.</w:t>
                  </w:r>
                  <w:r>
                    <w:rPr>
                      <w:rFonts w:hint="eastAsia" w:ascii="Times New Roman" w:hAnsi="Times New Roman"/>
                      <w:sz w:val="21"/>
                      <w:szCs w:val="21"/>
                      <w:lang w:val="en-US" w:eastAsia="zh-CN"/>
                    </w:rPr>
                    <w:t>6</w:t>
                  </w:r>
                </w:p>
              </w:tc>
              <w:tc>
                <w:tcPr>
                  <w:tcW w:w="1850" w:type="dxa"/>
                  <w:vAlign w:val="center"/>
                </w:tcPr>
                <w:p>
                  <w:pPr>
                    <w:pStyle w:val="50"/>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0.108</w:t>
                  </w:r>
                </w:p>
              </w:tc>
              <w:tc>
                <w:tcPr>
                  <w:tcW w:w="1784" w:type="dxa"/>
                  <w:vAlign w:val="center"/>
                </w:tcPr>
                <w:p>
                  <w:pPr>
                    <w:pStyle w:val="50"/>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0.06</w:t>
                  </w:r>
                </w:p>
              </w:tc>
              <w:tc>
                <w:tcPr>
                  <w:tcW w:w="3120" w:type="dxa"/>
                  <w:vAlign w:val="center"/>
                </w:tcPr>
                <w:p>
                  <w:pPr>
                    <w:pStyle w:val="50"/>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0.432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1525" w:type="dxa"/>
                  <w:gridSpan w:val="2"/>
                  <w:vAlign w:val="center"/>
                </w:tcPr>
                <w:p>
                  <w:pPr>
                    <w:pStyle w:val="50"/>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eastAsia" w:ascii="Times New Roman" w:hAnsi="宋体"/>
                      <w:sz w:val="21"/>
                      <w:szCs w:val="21"/>
                    </w:rPr>
                    <w:t>注塑成型</w:t>
                  </w:r>
                  <w:r>
                    <w:rPr>
                      <w:rFonts w:ascii="Times New Roman" w:hAnsi="宋体"/>
                      <w:sz w:val="21"/>
                      <w:szCs w:val="21"/>
                    </w:rPr>
                    <w:t>工段</w:t>
                  </w:r>
                  <w:r>
                    <w:rPr>
                      <w:rFonts w:hint="eastAsia" w:ascii="Times New Roman" w:hAnsi="Times New Roman"/>
                      <w:sz w:val="21"/>
                      <w:szCs w:val="21"/>
                    </w:rPr>
                    <w:t>0.0</w:t>
                  </w:r>
                  <w:r>
                    <w:rPr>
                      <w:rFonts w:hint="eastAsia" w:ascii="Times New Roman" w:hAnsi="Times New Roman"/>
                      <w:sz w:val="21"/>
                      <w:szCs w:val="21"/>
                      <w:lang w:val="en-US" w:eastAsia="zh-CN"/>
                    </w:rPr>
                    <w:t>18</w:t>
                  </w:r>
                </w:p>
              </w:tc>
              <w:tc>
                <w:tcPr>
                  <w:tcW w:w="1850" w:type="dxa"/>
                  <w:vAlign w:val="center"/>
                </w:tcPr>
                <w:p>
                  <w:pPr>
                    <w:pStyle w:val="50"/>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0.003</w:t>
                  </w:r>
                </w:p>
              </w:tc>
              <w:tc>
                <w:tcPr>
                  <w:tcW w:w="1784" w:type="dxa"/>
                  <w:vAlign w:val="center"/>
                </w:tcPr>
                <w:p>
                  <w:pPr>
                    <w:pStyle w:val="50"/>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0.0018</w:t>
                  </w:r>
                </w:p>
              </w:tc>
              <w:tc>
                <w:tcPr>
                  <w:tcW w:w="3120" w:type="dxa"/>
                  <w:vAlign w:val="center"/>
                </w:tcPr>
                <w:p>
                  <w:pPr>
                    <w:pStyle w:val="50"/>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0.0132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747" w:type="dxa"/>
                  <w:vMerge w:val="restart"/>
                  <w:vAlign w:val="center"/>
                </w:tcPr>
                <w:p>
                  <w:pPr>
                    <w:pStyle w:val="50"/>
                    <w:keepNext w:val="0"/>
                    <w:keepLines w:val="0"/>
                    <w:suppressLineNumbers w:val="0"/>
                    <w:adjustRightInd w:val="0"/>
                    <w:snapToGrid w:val="0"/>
                    <w:spacing w:before="0" w:beforeAutospacing="0" w:after="0" w:afterAutospacing="0" w:line="240" w:lineRule="auto"/>
                    <w:ind w:left="0" w:right="0"/>
                    <w:jc w:val="center"/>
                    <w:rPr>
                      <w:rFonts w:ascii="Times New Roman" w:hAnsi="Times New Roman"/>
                      <w:sz w:val="21"/>
                      <w:szCs w:val="21"/>
                    </w:rPr>
                  </w:pPr>
                  <w:r>
                    <w:rPr>
                      <w:rFonts w:ascii="Times New Roman" w:hAnsi="宋体"/>
                      <w:sz w:val="21"/>
                      <w:szCs w:val="21"/>
                    </w:rPr>
                    <w:t>合计</w:t>
                  </w:r>
                </w:p>
              </w:tc>
              <w:tc>
                <w:tcPr>
                  <w:tcW w:w="778" w:type="dxa"/>
                  <w:vMerge w:val="restart"/>
                  <w:vAlign w:val="center"/>
                </w:tcPr>
                <w:p>
                  <w:pPr>
                    <w:pStyle w:val="50"/>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eastAsia" w:ascii="Times New Roman" w:hAnsi="Times New Roman"/>
                      <w:sz w:val="21"/>
                      <w:szCs w:val="21"/>
                    </w:rPr>
                    <w:t>0.</w:t>
                  </w:r>
                  <w:r>
                    <w:rPr>
                      <w:rFonts w:hint="eastAsia" w:ascii="Times New Roman" w:hAnsi="Times New Roman"/>
                      <w:sz w:val="21"/>
                      <w:szCs w:val="21"/>
                      <w:lang w:val="en-US" w:eastAsia="zh-CN"/>
                    </w:rPr>
                    <w:t>618</w:t>
                  </w:r>
                </w:p>
              </w:tc>
              <w:tc>
                <w:tcPr>
                  <w:tcW w:w="1850" w:type="dxa"/>
                  <w:vAlign w:val="center"/>
                </w:tcPr>
                <w:p>
                  <w:pPr>
                    <w:pStyle w:val="50"/>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0.111</w:t>
                  </w:r>
                </w:p>
              </w:tc>
              <w:tc>
                <w:tcPr>
                  <w:tcW w:w="1784" w:type="dxa"/>
                  <w:vAlign w:val="center"/>
                </w:tcPr>
                <w:p>
                  <w:pPr>
                    <w:pStyle w:val="50"/>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0.0618</w:t>
                  </w:r>
                </w:p>
              </w:tc>
              <w:tc>
                <w:tcPr>
                  <w:tcW w:w="3120" w:type="dxa"/>
                  <w:vAlign w:val="center"/>
                </w:tcPr>
                <w:p>
                  <w:pPr>
                    <w:pStyle w:val="50"/>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0.4452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747" w:type="dxa"/>
                  <w:vMerge w:val="continue"/>
                  <w:vAlign w:val="center"/>
                </w:tcPr>
                <w:p>
                  <w:pPr>
                    <w:pStyle w:val="50"/>
                    <w:keepNext w:val="0"/>
                    <w:keepLines w:val="0"/>
                    <w:suppressLineNumbers w:val="0"/>
                    <w:adjustRightInd w:val="0"/>
                    <w:snapToGrid w:val="0"/>
                    <w:spacing w:before="0" w:beforeAutospacing="0" w:after="0" w:afterAutospacing="0" w:line="240" w:lineRule="auto"/>
                    <w:ind w:left="0" w:right="0"/>
                    <w:jc w:val="center"/>
                    <w:rPr>
                      <w:rFonts w:ascii="Times New Roman" w:hAnsi="Times New Roman"/>
                      <w:sz w:val="21"/>
                      <w:szCs w:val="21"/>
                    </w:rPr>
                  </w:pPr>
                </w:p>
              </w:tc>
              <w:tc>
                <w:tcPr>
                  <w:tcW w:w="778" w:type="dxa"/>
                  <w:vMerge w:val="continue"/>
                  <w:vAlign w:val="center"/>
                </w:tcPr>
                <w:p>
                  <w:pPr>
                    <w:pStyle w:val="50"/>
                    <w:keepNext w:val="0"/>
                    <w:keepLines w:val="0"/>
                    <w:suppressLineNumbers w:val="0"/>
                    <w:adjustRightInd w:val="0"/>
                    <w:snapToGrid w:val="0"/>
                    <w:spacing w:before="0" w:beforeAutospacing="0" w:after="0" w:afterAutospacing="0" w:line="240" w:lineRule="auto"/>
                    <w:ind w:left="0" w:right="0"/>
                    <w:jc w:val="center"/>
                    <w:rPr>
                      <w:rFonts w:ascii="Times New Roman" w:hAnsi="Times New Roman"/>
                      <w:sz w:val="21"/>
                      <w:szCs w:val="21"/>
                    </w:rPr>
                  </w:pPr>
                </w:p>
              </w:tc>
              <w:tc>
                <w:tcPr>
                  <w:tcW w:w="6754" w:type="dxa"/>
                  <w:gridSpan w:val="3"/>
                  <w:vAlign w:val="center"/>
                </w:tcPr>
                <w:p>
                  <w:pPr>
                    <w:pStyle w:val="50"/>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sz w:val="21"/>
                      <w:szCs w:val="21"/>
                      <w:lang w:val="en-US"/>
                    </w:rPr>
                  </w:pPr>
                  <w:r>
                    <w:rPr>
                      <w:rFonts w:hint="eastAsia" w:ascii="Times New Roman" w:hAnsi="Times New Roman"/>
                      <w:sz w:val="21"/>
                      <w:szCs w:val="21"/>
                    </w:rPr>
                    <w:t>0.</w:t>
                  </w:r>
                  <w:r>
                    <w:rPr>
                      <w:rFonts w:hint="eastAsia" w:ascii="Times New Roman" w:hAnsi="Times New Roman"/>
                      <w:sz w:val="21"/>
                      <w:szCs w:val="21"/>
                      <w:lang w:val="en-US" w:eastAsia="zh-CN"/>
                    </w:rPr>
                    <w:t>618</w:t>
                  </w:r>
                </w:p>
              </w:tc>
            </w:tr>
          </w:tbl>
          <w:p>
            <w:pPr>
              <w:keepNext w:val="0"/>
              <w:keepLines w:val="0"/>
              <w:suppressLineNumbers w:val="0"/>
              <w:tabs>
                <w:tab w:val="left" w:pos="2039"/>
              </w:tabs>
              <w:spacing w:before="0" w:beforeAutospacing="0" w:after="0" w:afterAutospacing="0"/>
              <w:ind w:left="0" w:right="0"/>
              <w:rPr>
                <w:rFonts w:hint="eastAsia"/>
                <w:lang w:val="en-US" w:eastAsia="zh-CN"/>
              </w:rPr>
            </w:pPr>
          </w:p>
          <w:p>
            <w:pPr>
              <w:keepNext w:val="0"/>
              <w:keepLines w:val="0"/>
              <w:suppressLineNumbers w:val="0"/>
              <w:tabs>
                <w:tab w:val="left" w:pos="2039"/>
              </w:tabs>
              <w:spacing w:before="0" w:beforeAutospacing="0" w:after="0" w:afterAutospacing="0"/>
              <w:ind w:left="0" w:right="0"/>
              <w:rPr>
                <w:rFonts w:hint="eastAsia"/>
                <w:lang w:val="en-US" w:eastAsia="zh-CN"/>
              </w:rPr>
            </w:pPr>
          </w:p>
          <w:p>
            <w:pPr>
              <w:keepNext w:val="0"/>
              <w:keepLines w:val="0"/>
              <w:suppressLineNumbers w:val="0"/>
              <w:tabs>
                <w:tab w:val="left" w:pos="2039"/>
              </w:tabs>
              <w:spacing w:before="0" w:beforeAutospacing="0" w:after="0" w:afterAutospacing="0"/>
              <w:ind w:left="0" w:right="0"/>
              <w:rPr>
                <w:rFonts w:hint="eastAsia"/>
                <w:lang w:val="en-US" w:eastAsia="zh-CN"/>
              </w:rPr>
            </w:pPr>
          </w:p>
          <w:p>
            <w:pPr>
              <w:keepNext w:val="0"/>
              <w:keepLines w:val="0"/>
              <w:suppressLineNumbers w:val="0"/>
              <w:tabs>
                <w:tab w:val="left" w:pos="2039"/>
              </w:tabs>
              <w:spacing w:before="0" w:beforeAutospacing="0" w:after="0" w:afterAutospacing="0"/>
              <w:ind w:left="0" w:right="0"/>
              <w:rPr>
                <w:rFonts w:hint="eastAsia"/>
                <w:lang w:val="en-US" w:eastAsia="zh-CN"/>
              </w:rPr>
            </w:pPr>
          </w:p>
          <w:p>
            <w:pPr>
              <w:keepNext w:val="0"/>
              <w:keepLines w:val="0"/>
              <w:suppressLineNumbers w:val="0"/>
              <w:tabs>
                <w:tab w:val="left" w:pos="2039"/>
              </w:tabs>
              <w:spacing w:before="0" w:beforeAutospacing="0" w:after="0" w:afterAutospacing="0"/>
              <w:ind w:left="0" w:right="0"/>
              <w:rPr>
                <w:rFonts w:hint="eastAsia"/>
                <w:lang w:val="en-US" w:eastAsia="zh-CN"/>
              </w:rPr>
            </w:pPr>
          </w:p>
          <w:p>
            <w:pPr>
              <w:keepNext w:val="0"/>
              <w:keepLines w:val="0"/>
              <w:suppressLineNumbers w:val="0"/>
              <w:tabs>
                <w:tab w:val="left" w:pos="2039"/>
              </w:tabs>
              <w:spacing w:before="0" w:beforeAutospacing="0" w:after="0" w:afterAutospacing="0"/>
              <w:ind w:left="0" w:right="0"/>
              <w:rPr>
                <w:rFonts w:hint="eastAsia"/>
                <w:lang w:val="en-US" w:eastAsia="zh-CN"/>
              </w:rPr>
            </w:pPr>
          </w:p>
          <w:p>
            <w:pPr>
              <w:keepNext w:val="0"/>
              <w:keepLines w:val="0"/>
              <w:suppressLineNumbers w:val="0"/>
              <w:tabs>
                <w:tab w:val="left" w:pos="2039"/>
              </w:tabs>
              <w:spacing w:before="0" w:beforeAutospacing="0" w:after="0" w:afterAutospacing="0"/>
              <w:ind w:left="0" w:right="0"/>
              <w:rPr>
                <w:rFonts w:hint="eastAsia"/>
                <w:lang w:val="en-US" w:eastAsia="zh-CN"/>
              </w:rPr>
            </w:pPr>
          </w:p>
          <w:p>
            <w:pPr>
              <w:keepNext w:val="0"/>
              <w:keepLines w:val="0"/>
              <w:suppressLineNumbers w:val="0"/>
              <w:tabs>
                <w:tab w:val="left" w:pos="2039"/>
              </w:tabs>
              <w:spacing w:before="0" w:beforeAutospacing="0" w:after="0" w:afterAutospacing="0"/>
              <w:ind w:left="0" w:right="0"/>
              <w:rPr>
                <w:rFonts w:hint="eastAsia"/>
                <w:lang w:val="en-US" w:eastAsia="zh-CN"/>
              </w:rPr>
            </w:pPr>
          </w:p>
          <w:p>
            <w:pPr>
              <w:keepNext w:val="0"/>
              <w:keepLines w:val="0"/>
              <w:suppressLineNumbers w:val="0"/>
              <w:tabs>
                <w:tab w:val="left" w:pos="2039"/>
              </w:tabs>
              <w:spacing w:before="0" w:beforeAutospacing="0" w:after="0" w:afterAutospacing="0"/>
              <w:ind w:left="0" w:right="0"/>
              <w:rPr>
                <w:rFonts w:hint="eastAsia"/>
                <w:lang w:val="en-US" w:eastAsia="zh-CN"/>
              </w:rPr>
            </w:pPr>
          </w:p>
          <w:p>
            <w:pPr>
              <w:keepNext w:val="0"/>
              <w:keepLines w:val="0"/>
              <w:suppressLineNumbers w:val="0"/>
              <w:tabs>
                <w:tab w:val="left" w:pos="2039"/>
              </w:tabs>
              <w:spacing w:before="0" w:beforeAutospacing="0" w:after="0" w:afterAutospacing="0"/>
              <w:ind w:left="0" w:right="0"/>
              <w:rPr>
                <w:rFonts w:hint="eastAsia"/>
                <w:lang w:val="en-US" w:eastAsia="zh-CN"/>
              </w:rPr>
            </w:pPr>
          </w:p>
          <w:p>
            <w:pPr>
              <w:keepNext w:val="0"/>
              <w:keepLines w:val="0"/>
              <w:suppressLineNumbers w:val="0"/>
              <w:tabs>
                <w:tab w:val="left" w:pos="2039"/>
              </w:tabs>
              <w:spacing w:before="0" w:beforeAutospacing="0" w:after="0" w:afterAutospacing="0"/>
              <w:ind w:left="0" w:right="0"/>
              <w:rPr>
                <w:rFonts w:hint="eastAsia"/>
                <w:lang w:val="en-US" w:eastAsia="zh-CN"/>
              </w:rPr>
            </w:pPr>
          </w:p>
          <w:p>
            <w:pPr>
              <w:keepNext w:val="0"/>
              <w:keepLines w:val="0"/>
              <w:suppressLineNumbers w:val="0"/>
              <w:tabs>
                <w:tab w:val="left" w:pos="2039"/>
              </w:tabs>
              <w:spacing w:before="0" w:beforeAutospacing="0" w:after="0" w:afterAutospacing="0"/>
              <w:ind w:left="0" w:right="0"/>
              <w:rPr>
                <w:rFonts w:hint="eastAsia"/>
                <w:lang w:val="en-US" w:eastAsia="zh-CN"/>
              </w:rPr>
            </w:pPr>
          </w:p>
          <w:p>
            <w:pPr>
              <w:keepNext w:val="0"/>
              <w:keepLines w:val="0"/>
              <w:suppressLineNumbers w:val="0"/>
              <w:tabs>
                <w:tab w:val="left" w:pos="2039"/>
              </w:tabs>
              <w:spacing w:before="0" w:beforeAutospacing="0" w:after="0" w:afterAutospacing="0"/>
              <w:ind w:left="0" w:right="0"/>
              <w:rPr>
                <w:rFonts w:hint="eastAsia"/>
                <w:lang w:val="en-US" w:eastAsia="zh-CN"/>
              </w:rPr>
            </w:pPr>
          </w:p>
          <w:p>
            <w:pPr>
              <w:keepNext w:val="0"/>
              <w:keepLines w:val="0"/>
              <w:suppressLineNumbers w:val="0"/>
              <w:tabs>
                <w:tab w:val="left" w:pos="2039"/>
              </w:tabs>
              <w:spacing w:before="0" w:beforeAutospacing="0" w:after="0" w:afterAutospacing="0"/>
              <w:ind w:left="0" w:right="0"/>
              <w:rPr>
                <w:rFonts w:hint="eastAsia"/>
                <w:lang w:val="en-US" w:eastAsia="zh-CN"/>
              </w:rPr>
            </w:pPr>
          </w:p>
          <w:p>
            <w:pPr>
              <w:keepNext w:val="0"/>
              <w:keepLines w:val="0"/>
              <w:suppressLineNumbers w:val="0"/>
              <w:tabs>
                <w:tab w:val="left" w:pos="2039"/>
              </w:tabs>
              <w:spacing w:before="0" w:beforeAutospacing="0" w:after="0" w:afterAutospacing="0"/>
              <w:ind w:left="0" w:right="0"/>
              <w:rPr>
                <w:rFonts w:hint="eastAsia"/>
                <w:lang w:val="en-US" w:eastAsia="zh-CN"/>
              </w:rPr>
            </w:pPr>
          </w:p>
          <w:p>
            <w:pPr>
              <w:keepNext w:val="0"/>
              <w:keepLines w:val="0"/>
              <w:suppressLineNumbers w:val="0"/>
              <w:tabs>
                <w:tab w:val="left" w:pos="2039"/>
              </w:tabs>
              <w:spacing w:before="0" w:beforeAutospacing="0" w:after="0" w:afterAutospacing="0"/>
              <w:ind w:left="0" w:right="0"/>
              <w:rPr>
                <w:rFonts w:hint="eastAsia"/>
                <w:lang w:val="en-US" w:eastAsia="zh-CN"/>
              </w:rPr>
            </w:pPr>
          </w:p>
          <w:p>
            <w:pPr>
              <w:keepNext w:val="0"/>
              <w:keepLines w:val="0"/>
              <w:suppressLineNumbers w:val="0"/>
              <w:tabs>
                <w:tab w:val="left" w:pos="2039"/>
              </w:tabs>
              <w:spacing w:before="0" w:beforeAutospacing="0" w:after="0" w:afterAutospacing="0"/>
              <w:ind w:left="0" w:right="0"/>
              <w:rPr>
                <w:rFonts w:hint="eastAsia"/>
                <w:lang w:val="en-US" w:eastAsia="zh-CN"/>
              </w:rPr>
            </w:pPr>
          </w:p>
          <w:p>
            <w:pPr>
              <w:keepNext w:val="0"/>
              <w:keepLines w:val="0"/>
              <w:suppressLineNumbers w:val="0"/>
              <w:tabs>
                <w:tab w:val="left" w:pos="2039"/>
              </w:tabs>
              <w:spacing w:before="0" w:beforeAutospacing="0" w:after="0" w:afterAutospacing="0"/>
              <w:ind w:left="0" w:right="0"/>
              <w:rPr>
                <w:rFonts w:hint="eastAsia"/>
                <w:lang w:val="en-US" w:eastAsia="zh-CN"/>
              </w:rPr>
            </w:pPr>
          </w:p>
          <w:p>
            <w:pPr>
              <w:keepNext w:val="0"/>
              <w:keepLines w:val="0"/>
              <w:suppressLineNumbers w:val="0"/>
              <w:tabs>
                <w:tab w:val="left" w:pos="2039"/>
              </w:tabs>
              <w:spacing w:before="0" w:beforeAutospacing="0" w:after="0" w:afterAutospacing="0"/>
              <w:ind w:left="0" w:right="0"/>
              <w:rPr>
                <w:rFonts w:hint="eastAsia"/>
                <w:lang w:val="en-US" w:eastAsia="zh-CN"/>
              </w:rPr>
            </w:pPr>
          </w:p>
          <w:p>
            <w:pPr>
              <w:keepNext w:val="0"/>
              <w:keepLines w:val="0"/>
              <w:suppressLineNumbers w:val="0"/>
              <w:tabs>
                <w:tab w:val="left" w:pos="2039"/>
              </w:tabs>
              <w:spacing w:before="0" w:beforeAutospacing="0" w:after="0" w:afterAutospacing="0"/>
              <w:ind w:left="0" w:right="0"/>
              <w:rPr>
                <w:rFonts w:hint="eastAsia"/>
                <w:lang w:val="en-US" w:eastAsia="zh-CN"/>
              </w:rPr>
            </w:pPr>
          </w:p>
          <w:p>
            <w:pPr>
              <w:keepNext w:val="0"/>
              <w:keepLines w:val="0"/>
              <w:suppressLineNumbers w:val="0"/>
              <w:tabs>
                <w:tab w:val="left" w:pos="2039"/>
              </w:tabs>
              <w:spacing w:before="0" w:beforeAutospacing="0" w:after="0" w:afterAutospacing="0"/>
              <w:ind w:left="0" w:right="0"/>
              <w:rPr>
                <w:rFonts w:hint="eastAsia"/>
                <w:lang w:val="en-US" w:eastAsia="zh-CN"/>
              </w:rPr>
            </w:pPr>
          </w:p>
          <w:p>
            <w:pPr>
              <w:keepNext w:val="0"/>
              <w:keepLines w:val="0"/>
              <w:suppressLineNumbers w:val="0"/>
              <w:tabs>
                <w:tab w:val="left" w:pos="2039"/>
              </w:tabs>
              <w:spacing w:before="0" w:beforeAutospacing="0" w:after="0" w:afterAutospacing="0"/>
              <w:ind w:left="0" w:right="0"/>
              <w:rPr>
                <w:rFonts w:hint="eastAsia"/>
                <w:lang w:val="en-US" w:eastAsia="zh-CN"/>
              </w:rPr>
            </w:pPr>
          </w:p>
          <w:p>
            <w:pPr>
              <w:keepNext w:val="0"/>
              <w:keepLines w:val="0"/>
              <w:suppressLineNumbers w:val="0"/>
              <w:tabs>
                <w:tab w:val="left" w:pos="2039"/>
              </w:tabs>
              <w:spacing w:before="0" w:beforeAutospacing="0" w:after="0" w:afterAutospacing="0"/>
              <w:ind w:left="0" w:right="0"/>
              <w:rPr>
                <w:rFonts w:hint="eastAsia"/>
                <w:lang w:val="en-US" w:eastAsia="zh-CN"/>
              </w:rPr>
            </w:pPr>
          </w:p>
          <w:p>
            <w:pPr>
              <w:keepNext w:val="0"/>
              <w:keepLines w:val="0"/>
              <w:suppressLineNumbers w:val="0"/>
              <w:tabs>
                <w:tab w:val="left" w:pos="2039"/>
              </w:tabs>
              <w:spacing w:before="0" w:beforeAutospacing="0" w:after="0" w:afterAutospacing="0"/>
              <w:ind w:left="0" w:right="0"/>
              <w:rPr>
                <w:rFonts w:hint="eastAsia"/>
                <w:lang w:val="en-US" w:eastAsia="zh-CN"/>
              </w:rPr>
            </w:pPr>
          </w:p>
          <w:p>
            <w:pPr>
              <w:keepNext w:val="0"/>
              <w:keepLines w:val="0"/>
              <w:suppressLineNumbers w:val="0"/>
              <w:tabs>
                <w:tab w:val="left" w:pos="2039"/>
              </w:tabs>
              <w:spacing w:before="0" w:beforeAutospacing="0" w:after="0" w:afterAutospacing="0"/>
              <w:ind w:left="0" w:right="0"/>
              <w:rPr>
                <w:rFonts w:hint="eastAsia"/>
                <w:lang w:val="en-US" w:eastAsia="zh-CN"/>
              </w:rPr>
            </w:pPr>
          </w:p>
          <w:p>
            <w:pPr>
              <w:keepNext w:val="0"/>
              <w:keepLines w:val="0"/>
              <w:suppressLineNumbers w:val="0"/>
              <w:tabs>
                <w:tab w:val="left" w:pos="2039"/>
              </w:tabs>
              <w:spacing w:before="0" w:beforeAutospacing="0" w:after="0" w:afterAutospacing="0"/>
              <w:ind w:left="0" w:right="0"/>
              <w:rPr>
                <w:rFonts w:hint="eastAsia"/>
                <w:lang w:val="en-US" w:eastAsia="zh-CN"/>
              </w:rPr>
            </w:pPr>
          </w:p>
          <w:p>
            <w:pPr>
              <w:keepNext w:val="0"/>
              <w:keepLines w:val="0"/>
              <w:suppressLineNumbers w:val="0"/>
              <w:tabs>
                <w:tab w:val="left" w:pos="2039"/>
              </w:tabs>
              <w:spacing w:before="0" w:beforeAutospacing="0" w:after="0" w:afterAutospacing="0"/>
              <w:ind w:left="0" w:right="0"/>
              <w:rPr>
                <w:rFonts w:hint="eastAsia"/>
                <w:lang w:val="en-US" w:eastAsia="zh-CN"/>
              </w:rPr>
            </w:pPr>
          </w:p>
          <w:p>
            <w:pPr>
              <w:keepNext w:val="0"/>
              <w:keepLines w:val="0"/>
              <w:suppressLineNumbers w:val="0"/>
              <w:tabs>
                <w:tab w:val="left" w:pos="2039"/>
              </w:tabs>
              <w:spacing w:before="0" w:beforeAutospacing="0" w:after="0" w:afterAutospacing="0"/>
              <w:ind w:left="0" w:right="0"/>
              <w:rPr>
                <w:rFonts w:hint="eastAsia"/>
                <w:lang w:val="en-US" w:eastAsia="zh-CN"/>
              </w:rPr>
            </w:pPr>
          </w:p>
          <w:p>
            <w:pPr>
              <w:keepNext w:val="0"/>
              <w:keepLines w:val="0"/>
              <w:suppressLineNumbers w:val="0"/>
              <w:tabs>
                <w:tab w:val="left" w:pos="2039"/>
              </w:tabs>
              <w:spacing w:before="0" w:beforeAutospacing="0" w:after="0" w:afterAutospacing="0"/>
              <w:ind w:left="0" w:right="0"/>
              <w:rPr>
                <w:rFonts w:hint="eastAsia"/>
                <w:lang w:val="en-US" w:eastAsia="zh-CN"/>
              </w:rPr>
            </w:pPr>
          </w:p>
          <w:p>
            <w:pPr>
              <w:keepNext w:val="0"/>
              <w:keepLines w:val="0"/>
              <w:suppressLineNumbers w:val="0"/>
              <w:tabs>
                <w:tab w:val="left" w:pos="2039"/>
              </w:tabs>
              <w:spacing w:before="0" w:beforeAutospacing="0" w:after="0" w:afterAutospacing="0"/>
              <w:ind w:left="0" w:right="0"/>
              <w:rPr>
                <w:rFonts w:hint="eastAsia"/>
                <w:lang w:val="en-US" w:eastAsia="zh-CN"/>
              </w:rPr>
            </w:pPr>
          </w:p>
          <w:p>
            <w:pPr>
              <w:keepNext w:val="0"/>
              <w:keepLines w:val="0"/>
              <w:suppressLineNumbers w:val="0"/>
              <w:tabs>
                <w:tab w:val="left" w:pos="2039"/>
              </w:tabs>
              <w:spacing w:before="0" w:beforeAutospacing="0" w:after="0" w:afterAutospacing="0"/>
              <w:ind w:left="0" w:right="0"/>
              <w:rPr>
                <w:rFonts w:hint="eastAsia"/>
                <w:lang w:val="en-US" w:eastAsia="zh-CN"/>
              </w:rPr>
            </w:pPr>
          </w:p>
          <w:p>
            <w:pPr>
              <w:keepNext w:val="0"/>
              <w:keepLines w:val="0"/>
              <w:suppressLineNumbers w:val="0"/>
              <w:tabs>
                <w:tab w:val="left" w:pos="2039"/>
              </w:tabs>
              <w:spacing w:before="0" w:beforeAutospacing="0" w:after="0" w:afterAutospacing="0"/>
              <w:ind w:left="0" w:right="0"/>
              <w:rPr>
                <w:rFonts w:hint="eastAsia"/>
                <w:lang w:val="en-US" w:eastAsia="zh-CN"/>
              </w:rPr>
            </w:pPr>
          </w:p>
          <w:p>
            <w:pPr>
              <w:keepNext w:val="0"/>
              <w:keepLines w:val="0"/>
              <w:suppressLineNumbers w:val="0"/>
              <w:tabs>
                <w:tab w:val="left" w:pos="2039"/>
              </w:tabs>
              <w:spacing w:before="0" w:beforeAutospacing="0" w:after="0" w:afterAutospacing="0"/>
              <w:ind w:left="0" w:right="0"/>
              <w:rPr>
                <w:rFonts w:hint="eastAsia"/>
                <w:lang w:val="en-US" w:eastAsia="zh-CN"/>
              </w:rPr>
            </w:pPr>
          </w:p>
          <w:p>
            <w:pPr>
              <w:keepNext w:val="0"/>
              <w:keepLines w:val="0"/>
              <w:suppressLineNumbers w:val="0"/>
              <w:tabs>
                <w:tab w:val="left" w:pos="2039"/>
              </w:tabs>
              <w:spacing w:before="0" w:beforeAutospacing="0" w:after="0" w:afterAutospacing="0"/>
              <w:ind w:left="0" w:right="0"/>
              <w:rPr>
                <w:rFonts w:hint="eastAsia"/>
                <w:lang w:val="en-US" w:eastAsia="zh-CN"/>
              </w:rPr>
            </w:pPr>
          </w:p>
          <w:p>
            <w:pPr>
              <w:keepNext w:val="0"/>
              <w:keepLines w:val="0"/>
              <w:suppressLineNumbers w:val="0"/>
              <w:tabs>
                <w:tab w:val="left" w:pos="2039"/>
              </w:tabs>
              <w:spacing w:before="0" w:beforeAutospacing="0" w:after="0" w:afterAutospacing="0"/>
              <w:ind w:left="0" w:right="0"/>
              <w:rPr>
                <w:rFonts w:hint="eastAsia"/>
                <w:lang w:val="en-US" w:eastAsia="zh-CN"/>
              </w:rPr>
            </w:pPr>
          </w:p>
          <w:p>
            <w:pPr>
              <w:keepNext w:val="0"/>
              <w:keepLines w:val="0"/>
              <w:suppressLineNumbers w:val="0"/>
              <w:tabs>
                <w:tab w:val="left" w:pos="2039"/>
              </w:tabs>
              <w:spacing w:before="0" w:beforeAutospacing="0" w:after="0" w:afterAutospacing="0"/>
              <w:ind w:left="0" w:right="0"/>
              <w:rPr>
                <w:rFonts w:hint="eastAsia"/>
                <w:lang w:val="en-US" w:eastAsia="zh-CN"/>
              </w:rPr>
            </w:pPr>
          </w:p>
          <w:p>
            <w:pPr>
              <w:keepNext w:val="0"/>
              <w:keepLines w:val="0"/>
              <w:suppressLineNumbers w:val="0"/>
              <w:tabs>
                <w:tab w:val="left" w:pos="2039"/>
              </w:tabs>
              <w:spacing w:before="0" w:beforeAutospacing="0" w:after="0" w:afterAutospacing="0"/>
              <w:ind w:left="0" w:right="0"/>
              <w:rPr>
                <w:rFonts w:hint="eastAsia"/>
                <w:lang w:val="en-US" w:eastAsia="zh-CN"/>
              </w:rPr>
            </w:pPr>
          </w:p>
          <w:p>
            <w:pPr>
              <w:keepNext w:val="0"/>
              <w:keepLines w:val="0"/>
              <w:suppressLineNumbers w:val="0"/>
              <w:tabs>
                <w:tab w:val="left" w:pos="2039"/>
              </w:tabs>
              <w:spacing w:before="0" w:beforeAutospacing="0" w:after="0" w:afterAutospacing="0"/>
              <w:ind w:left="0" w:right="0"/>
              <w:rPr>
                <w:rFonts w:hint="eastAsia"/>
                <w:lang w:val="en-US" w:eastAsia="zh-CN"/>
              </w:rPr>
            </w:pPr>
          </w:p>
          <w:p>
            <w:pPr>
              <w:keepNext w:val="0"/>
              <w:keepLines w:val="0"/>
              <w:suppressLineNumbers w:val="0"/>
              <w:tabs>
                <w:tab w:val="left" w:pos="2039"/>
              </w:tabs>
              <w:spacing w:before="0" w:beforeAutospacing="0" w:after="0" w:afterAutospacing="0"/>
              <w:ind w:left="0" w:right="0"/>
              <w:rPr>
                <w:rFonts w:hint="default" w:eastAsia="宋体"/>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9" w:hRule="atLeast"/>
          <w:jc w:val="center"/>
        </w:trPr>
        <w:tc>
          <w:tcPr>
            <w:tcW w:w="392" w:type="dxa"/>
            <w:vAlign w:val="center"/>
          </w:tcPr>
          <w:p>
            <w:pPr>
              <w:pStyle w:val="18"/>
              <w:keepNext w:val="0"/>
              <w:keepLines w:val="0"/>
              <w:suppressLineNumbers w:val="0"/>
              <w:adjustRightInd w:val="0"/>
              <w:snapToGrid w:val="0"/>
              <w:spacing w:before="0" w:beforeAutospacing="0" w:after="0" w:afterAutospacing="0"/>
              <w:ind w:left="0" w:right="0"/>
              <w:jc w:val="center"/>
              <w:rPr>
                <w:rFonts w:cs="宋体"/>
                <w:sz w:val="21"/>
                <w:szCs w:val="21"/>
              </w:rPr>
            </w:pPr>
            <w:r>
              <w:rPr>
                <w:rFonts w:hint="eastAsia" w:cs="宋体"/>
                <w:bCs/>
                <w:kern w:val="2"/>
                <w:sz w:val="21"/>
                <w:szCs w:val="21"/>
              </w:rPr>
              <w:t>与项目有关的原有环境污染问题</w:t>
            </w:r>
          </w:p>
        </w:tc>
        <w:tc>
          <w:tcPr>
            <w:tcW w:w="8668" w:type="dxa"/>
          </w:tcPr>
          <w:p>
            <w:pPr>
              <w:pStyle w:val="12"/>
              <w:keepNext w:val="0"/>
              <w:keepLines w:val="0"/>
              <w:suppressLineNumbers w:val="0"/>
              <w:adjustRightInd w:val="0"/>
              <w:snapToGrid w:val="0"/>
              <w:spacing w:before="0" w:beforeAutospacing="0" w:after="0" w:afterAutospacing="0" w:line="360" w:lineRule="auto"/>
              <w:ind w:left="0" w:right="0" w:firstLine="482"/>
              <w:rPr>
                <w:rFonts w:ascii="Times New Roman" w:hAnsi="Times New Roman"/>
                <w:b/>
                <w:szCs w:val="24"/>
              </w:rPr>
            </w:pPr>
            <w:r>
              <w:rPr>
                <w:rFonts w:hint="eastAsia" w:ascii="Times New Roman" w:hAnsi="Times New Roman"/>
                <w:b/>
                <w:szCs w:val="24"/>
              </w:rPr>
              <w:t>一、公司原有环保手续履行情况</w:t>
            </w:r>
          </w:p>
          <w:p>
            <w:pPr>
              <w:pStyle w:val="12"/>
              <w:keepNext w:val="0"/>
              <w:keepLines w:val="0"/>
              <w:suppressLineNumbers w:val="0"/>
              <w:adjustRightInd w:val="0"/>
              <w:snapToGrid w:val="0"/>
              <w:spacing w:before="0" w:beforeAutospacing="0" w:after="0" w:afterAutospacing="0" w:line="360" w:lineRule="auto"/>
              <w:ind w:left="0" w:right="0"/>
              <w:rPr>
                <w:rFonts w:ascii="Times New Roman" w:hAnsi="Times New Roman"/>
                <w:b/>
                <w:bCs/>
                <w:szCs w:val="21"/>
              </w:rPr>
            </w:pPr>
            <w:r>
              <w:rPr>
                <w:rFonts w:hint="eastAsia" w:ascii="Times New Roman" w:hAnsi="Times New Roman"/>
                <w:b/>
                <w:bCs/>
                <w:szCs w:val="21"/>
              </w:rPr>
              <w:t>1、公司原有环保手续情况</w:t>
            </w:r>
          </w:p>
          <w:p>
            <w:pPr>
              <w:pStyle w:val="12"/>
              <w:keepNext w:val="0"/>
              <w:keepLines w:val="0"/>
              <w:suppressLineNumbers w:val="0"/>
              <w:adjustRightInd w:val="0"/>
              <w:snapToGrid w:val="0"/>
              <w:spacing w:before="0" w:beforeAutospacing="0" w:after="0" w:afterAutospacing="0" w:line="360" w:lineRule="auto"/>
              <w:ind w:left="0" w:right="0"/>
              <w:rPr>
                <w:rFonts w:ascii="Times New Roman" w:hAnsi="Times New Roman"/>
                <w:bCs w:val="0"/>
                <w:szCs w:val="21"/>
              </w:rPr>
            </w:pPr>
            <w:r>
              <w:rPr>
                <w:rFonts w:ascii="Times New Roman" w:hAnsi="Times New Roman"/>
                <w:bCs w:val="0"/>
                <w:szCs w:val="21"/>
              </w:rPr>
              <w:t>企业成立于</w:t>
            </w:r>
            <w:r>
              <w:rPr>
                <w:rFonts w:ascii="Times New Roman" w:hAnsi="Times New Roman"/>
              </w:rPr>
              <w:t>2003年09月25日</w:t>
            </w:r>
            <w:r>
              <w:rPr>
                <w:rFonts w:ascii="Times New Roman" w:hAnsi="Times New Roman"/>
                <w:bCs w:val="0"/>
                <w:szCs w:val="21"/>
              </w:rPr>
              <w:t>，</w:t>
            </w:r>
            <w:r>
              <w:rPr>
                <w:rFonts w:ascii="Times New Roman" w:hAnsi="Times New Roman"/>
              </w:rPr>
              <w:t>原项目</w:t>
            </w:r>
            <w:r>
              <w:rPr>
                <w:rFonts w:ascii="Times New Roman" w:hAnsi="宋体"/>
              </w:rPr>
              <w:t>位于常州市东方东路</w:t>
            </w:r>
            <w:r>
              <w:rPr>
                <w:rFonts w:ascii="Times New Roman" w:hAnsi="Times New Roman"/>
              </w:rPr>
              <w:t>161</w:t>
            </w:r>
            <w:r>
              <w:rPr>
                <w:rFonts w:ascii="Times New Roman" w:hAnsi="宋体"/>
              </w:rPr>
              <w:t>号，</w:t>
            </w:r>
            <w:r>
              <w:rPr>
                <w:rFonts w:ascii="Times New Roman" w:hAnsi="Times New Roman"/>
                <w:bCs w:val="0"/>
                <w:szCs w:val="21"/>
              </w:rPr>
              <w:t>企业</w:t>
            </w:r>
            <w:r>
              <w:rPr>
                <w:rFonts w:ascii="Times New Roman" w:hAnsi="Times New Roman"/>
              </w:rPr>
              <w:t>“新建金属冲片生产厂房项目环境影响评价报告表”于2007年4月9日取得了常州市戚墅堰区环境保护局的环评批复，并于2019年9月3日通过常州市生态环境局环保竣工验收（常环经开验【2019】66号）；“新建金属纵剪及冲压车间项目环境影响报告表”于2015年6月2日取得了常州市戚墅堰区环境保护局的环评批复，批复文号：戚环管表【2015】5号，并于2019年9月3日通过常州市生态环境局环保竣工验收（常环经开验【2019】66号）；“废气治理设施提升改造项目环境影响登记表”于2019年7月1日完成备案，备案号：20193204000100000659；“中小电机铁芯项目环境影响报告表”于2018年1月2日取得了江苏常州经济开发区管理委员会的环评批复，批复文号：常经审建【2017】364号。</w:t>
            </w:r>
          </w:p>
          <w:p>
            <w:pPr>
              <w:keepNext w:val="0"/>
              <w:keepLines w:val="0"/>
              <w:suppressLineNumbers w:val="0"/>
              <w:adjustRightInd w:val="0"/>
              <w:snapToGrid w:val="0"/>
              <w:spacing w:before="0" w:beforeAutospacing="0" w:after="0" w:afterAutospacing="0"/>
              <w:ind w:left="0" w:right="0"/>
              <w:jc w:val="center"/>
              <w:rPr>
                <w:sz w:val="24"/>
              </w:rPr>
            </w:pPr>
            <w:r>
              <w:rPr>
                <w:rFonts w:hint="eastAsia"/>
                <w:b/>
                <w:sz w:val="24"/>
                <w:szCs w:val="22"/>
              </w:rPr>
              <w:t>表2-8 公司原有环保手续一览表</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5"/>
              <w:gridCol w:w="1474"/>
              <w:gridCol w:w="1118"/>
              <w:gridCol w:w="2308"/>
              <w:gridCol w:w="1659"/>
              <w:gridCol w:w="146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52" w:type="pct"/>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序号</w:t>
                  </w:r>
                </w:p>
              </w:tc>
              <w:tc>
                <w:tcPr>
                  <w:tcW w:w="872" w:type="pct"/>
                  <w:vAlign w:val="center"/>
                </w:tcPr>
                <w:p>
                  <w:pPr>
                    <w:keepNext w:val="0"/>
                    <w:keepLines w:val="0"/>
                    <w:suppressLineNumbers w:val="0"/>
                    <w:adjustRightInd w:val="0"/>
                    <w:snapToGrid w:val="0"/>
                    <w:spacing w:before="0" w:beforeAutospacing="0" w:after="0" w:afterAutospacing="0"/>
                    <w:ind w:left="0" w:right="0"/>
                    <w:jc w:val="center"/>
                    <w:rPr>
                      <w:b/>
                      <w:bCs/>
                      <w:szCs w:val="21"/>
                    </w:rPr>
                  </w:pPr>
                  <w:r>
                    <w:rPr>
                      <w:rFonts w:hint="eastAsia"/>
                      <w:b/>
                      <w:bCs/>
                      <w:szCs w:val="21"/>
                    </w:rPr>
                    <w:t>项目</w:t>
                  </w:r>
                  <w:r>
                    <w:rPr>
                      <w:b/>
                      <w:bCs/>
                      <w:szCs w:val="21"/>
                    </w:rPr>
                    <w:t>名称</w:t>
                  </w:r>
                </w:p>
              </w:tc>
              <w:tc>
                <w:tcPr>
                  <w:tcW w:w="661" w:type="pct"/>
                  <w:tcBorders>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rPr>
                      <w:rFonts w:hint="eastAsia"/>
                      <w:b/>
                      <w:bCs/>
                      <w:szCs w:val="21"/>
                    </w:rPr>
                    <w:t>报告类型</w:t>
                  </w:r>
                </w:p>
              </w:tc>
              <w:tc>
                <w:tcPr>
                  <w:tcW w:w="1365" w:type="pct"/>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审批部门及时间</w:t>
                  </w:r>
                </w:p>
              </w:tc>
              <w:tc>
                <w:tcPr>
                  <w:tcW w:w="981" w:type="pct"/>
                  <w:vAlign w:val="center"/>
                </w:tcPr>
                <w:p>
                  <w:pPr>
                    <w:keepNext w:val="0"/>
                    <w:keepLines w:val="0"/>
                    <w:suppressLineNumbers w:val="0"/>
                    <w:adjustRightInd w:val="0"/>
                    <w:snapToGrid w:val="0"/>
                    <w:spacing w:before="0" w:beforeAutospacing="0" w:after="0" w:afterAutospacing="0"/>
                    <w:ind w:left="0" w:right="0"/>
                    <w:jc w:val="center"/>
                    <w:rPr>
                      <w:b/>
                      <w:bCs/>
                      <w:szCs w:val="21"/>
                    </w:rPr>
                  </w:pPr>
                  <w:r>
                    <w:rPr>
                      <w:rFonts w:hint="eastAsia"/>
                      <w:b/>
                      <w:bCs/>
                      <w:szCs w:val="21"/>
                    </w:rPr>
                    <w:t>验收部门及时间</w:t>
                  </w:r>
                </w:p>
              </w:tc>
              <w:tc>
                <w:tcPr>
                  <w:tcW w:w="868" w:type="pct"/>
                  <w:vAlign w:val="center"/>
                </w:tcPr>
                <w:p>
                  <w:pPr>
                    <w:keepNext w:val="0"/>
                    <w:keepLines w:val="0"/>
                    <w:suppressLineNumbers w:val="0"/>
                    <w:adjustRightInd w:val="0"/>
                    <w:snapToGrid w:val="0"/>
                    <w:spacing w:before="0" w:beforeAutospacing="0" w:after="0" w:afterAutospacing="0"/>
                    <w:ind w:left="0" w:right="0"/>
                    <w:jc w:val="center"/>
                    <w:rPr>
                      <w:b/>
                      <w:bCs/>
                      <w:szCs w:val="21"/>
                    </w:rPr>
                  </w:pPr>
                  <w:r>
                    <w:rPr>
                      <w:rFonts w:hint="eastAsia"/>
                      <w:b/>
                      <w:bCs/>
                      <w:szCs w:val="21"/>
                    </w:rPr>
                    <w:t>生产情况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252"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1</w:t>
                  </w:r>
                </w:p>
              </w:tc>
              <w:tc>
                <w:tcPr>
                  <w:tcW w:w="872"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新建金属冲片生产厂房</w:t>
                  </w:r>
                </w:p>
              </w:tc>
              <w:tc>
                <w:tcPr>
                  <w:tcW w:w="661" w:type="pct"/>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报告表</w:t>
                  </w:r>
                </w:p>
              </w:tc>
              <w:tc>
                <w:tcPr>
                  <w:tcW w:w="1365"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2007年4月9日取得</w:t>
                  </w:r>
                  <w:r>
                    <w:rPr>
                      <w:szCs w:val="21"/>
                    </w:rPr>
                    <w:t>常州市戚墅堰区环境保护局</w:t>
                  </w:r>
                  <w:r>
                    <w:rPr>
                      <w:rFonts w:hint="eastAsia"/>
                      <w:szCs w:val="21"/>
                    </w:rPr>
                    <w:t>批复</w:t>
                  </w:r>
                </w:p>
              </w:tc>
              <w:tc>
                <w:tcPr>
                  <w:tcW w:w="981"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2019年9月3日通过</w:t>
                  </w:r>
                  <w:r>
                    <w:rPr>
                      <w:szCs w:val="21"/>
                    </w:rPr>
                    <w:t>常州市生态环境局</w:t>
                  </w:r>
                  <w:r>
                    <w:rPr>
                      <w:rFonts w:hint="eastAsia"/>
                      <w:szCs w:val="21"/>
                    </w:rPr>
                    <w:t>环保竣工验收</w:t>
                  </w:r>
                </w:p>
              </w:tc>
              <w:tc>
                <w:tcPr>
                  <w:tcW w:w="868"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不再建设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252"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2</w:t>
                  </w:r>
                </w:p>
              </w:tc>
              <w:tc>
                <w:tcPr>
                  <w:tcW w:w="872"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新建金属纵剪及冲压车间</w:t>
                  </w:r>
                </w:p>
              </w:tc>
              <w:tc>
                <w:tcPr>
                  <w:tcW w:w="661" w:type="pct"/>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报告表</w:t>
                  </w:r>
                </w:p>
              </w:tc>
              <w:tc>
                <w:tcPr>
                  <w:tcW w:w="1365"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2015年6月2日</w:t>
                  </w:r>
                  <w:r>
                    <w:rPr>
                      <w:rFonts w:hint="eastAsia"/>
                      <w:szCs w:val="21"/>
                    </w:rPr>
                    <w:t>取得</w:t>
                  </w:r>
                  <w:r>
                    <w:rPr>
                      <w:szCs w:val="21"/>
                    </w:rPr>
                    <w:t>常州市戚墅堰区环境保护局</w:t>
                  </w:r>
                  <w:r>
                    <w:rPr>
                      <w:rFonts w:hint="eastAsia"/>
                      <w:szCs w:val="21"/>
                    </w:rPr>
                    <w:t>批复</w:t>
                  </w:r>
                </w:p>
              </w:tc>
              <w:tc>
                <w:tcPr>
                  <w:tcW w:w="981"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2019年9月3日通过</w:t>
                  </w:r>
                  <w:r>
                    <w:rPr>
                      <w:szCs w:val="21"/>
                    </w:rPr>
                    <w:t>常州市生态环境局</w:t>
                  </w:r>
                  <w:r>
                    <w:rPr>
                      <w:rFonts w:hint="eastAsia"/>
                      <w:szCs w:val="21"/>
                    </w:rPr>
                    <w:t>环保竣工验收</w:t>
                  </w:r>
                </w:p>
              </w:tc>
              <w:tc>
                <w:tcPr>
                  <w:tcW w:w="868"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不再建设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252"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3</w:t>
                  </w:r>
                </w:p>
              </w:tc>
              <w:tc>
                <w:tcPr>
                  <w:tcW w:w="872"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废气治理设施提升改造</w:t>
                  </w:r>
                </w:p>
              </w:tc>
              <w:tc>
                <w:tcPr>
                  <w:tcW w:w="661" w:type="pct"/>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登记表</w:t>
                  </w:r>
                </w:p>
              </w:tc>
              <w:tc>
                <w:tcPr>
                  <w:tcW w:w="1365"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2019年7月1日</w:t>
                  </w:r>
                  <w:r>
                    <w:rPr>
                      <w:rFonts w:hint="eastAsia"/>
                      <w:szCs w:val="21"/>
                    </w:rPr>
                    <w:t>在建设项目环境影响登记表备案系统（江苏省）完成备案（备案号：</w:t>
                  </w:r>
                  <w:r>
                    <w:rPr>
                      <w:szCs w:val="21"/>
                    </w:rPr>
                    <w:t>20193204000100000659</w:t>
                  </w:r>
                  <w:r>
                    <w:rPr>
                      <w:rFonts w:hint="eastAsia"/>
                      <w:szCs w:val="21"/>
                    </w:rPr>
                    <w:t>）</w:t>
                  </w:r>
                </w:p>
              </w:tc>
              <w:tc>
                <w:tcPr>
                  <w:tcW w:w="981"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w:t>
                  </w:r>
                </w:p>
              </w:tc>
              <w:tc>
                <w:tcPr>
                  <w:tcW w:w="868"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252"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4</w:t>
                  </w:r>
                </w:p>
              </w:tc>
              <w:tc>
                <w:tcPr>
                  <w:tcW w:w="872"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中小电机铁芯</w:t>
                  </w:r>
                </w:p>
              </w:tc>
              <w:tc>
                <w:tcPr>
                  <w:tcW w:w="661" w:type="pct"/>
                  <w:tcBorders>
                    <w:top w:val="single" w:color="auto" w:sz="4" w:space="0"/>
                    <w:bottom w:val="single" w:color="auto" w:sz="12"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报告表</w:t>
                  </w:r>
                </w:p>
              </w:tc>
              <w:tc>
                <w:tcPr>
                  <w:tcW w:w="1365" w:type="pct"/>
                  <w:vAlign w:val="center"/>
                </w:tcPr>
                <w:p>
                  <w:pPr>
                    <w:keepNext w:val="0"/>
                    <w:keepLines w:val="0"/>
                    <w:suppressLineNumbers w:val="0"/>
                    <w:adjustRightInd w:val="0"/>
                    <w:snapToGrid w:val="0"/>
                    <w:spacing w:before="0" w:beforeAutospacing="0" w:after="0" w:afterAutospacing="0"/>
                    <w:ind w:left="0" w:right="0"/>
                    <w:jc w:val="center"/>
                    <w:rPr>
                      <w:color w:val="FF0000"/>
                      <w:szCs w:val="21"/>
                    </w:rPr>
                  </w:pPr>
                  <w:r>
                    <w:rPr>
                      <w:szCs w:val="21"/>
                    </w:rPr>
                    <w:t>2018年1月2日</w:t>
                  </w:r>
                  <w:r>
                    <w:rPr>
                      <w:rFonts w:hint="eastAsia"/>
                      <w:szCs w:val="21"/>
                    </w:rPr>
                    <w:t>取得</w:t>
                  </w:r>
                  <w:r>
                    <w:rPr>
                      <w:szCs w:val="21"/>
                    </w:rPr>
                    <w:t>江苏常州经济开发区管理委员会</w:t>
                  </w:r>
                  <w:r>
                    <w:rPr>
                      <w:rFonts w:hint="eastAsia"/>
                      <w:szCs w:val="21"/>
                    </w:rPr>
                    <w:t>的环评批复，批准文号：</w:t>
                  </w:r>
                  <w:r>
                    <w:rPr>
                      <w:szCs w:val="21"/>
                    </w:rPr>
                    <w:t>常经审建【2017】364号</w:t>
                  </w:r>
                </w:p>
              </w:tc>
              <w:tc>
                <w:tcPr>
                  <w:tcW w:w="981"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w:t>
                  </w:r>
                </w:p>
              </w:tc>
              <w:tc>
                <w:tcPr>
                  <w:tcW w:w="868"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未建设，且今后不再建设</w:t>
                  </w:r>
                </w:p>
              </w:tc>
            </w:tr>
          </w:tbl>
          <w:p>
            <w:pPr>
              <w:pStyle w:val="12"/>
              <w:keepNext w:val="0"/>
              <w:keepLines w:val="0"/>
              <w:suppressLineNumbers w:val="0"/>
              <w:adjustRightInd w:val="0"/>
              <w:snapToGrid w:val="0"/>
              <w:spacing w:before="0" w:beforeAutospacing="0" w:after="0" w:afterAutospacing="0" w:line="360" w:lineRule="auto"/>
              <w:ind w:left="0" w:right="0"/>
              <w:rPr>
                <w:rFonts w:ascii="Times New Roman" w:hAnsi="Times New Roman"/>
                <w:b/>
                <w:bCs/>
                <w:szCs w:val="21"/>
              </w:rPr>
            </w:pPr>
            <w:r>
              <w:rPr>
                <w:rFonts w:hint="eastAsia" w:ascii="Times New Roman" w:hAnsi="Times New Roman"/>
                <w:b/>
                <w:bCs/>
                <w:szCs w:val="21"/>
              </w:rPr>
              <w:t>2、排污许可证申领情况</w:t>
            </w:r>
          </w:p>
          <w:p>
            <w:pPr>
              <w:pStyle w:val="12"/>
              <w:keepNext w:val="0"/>
              <w:keepLines w:val="0"/>
              <w:suppressLineNumbers w:val="0"/>
              <w:adjustRightInd w:val="0"/>
              <w:snapToGrid w:val="0"/>
              <w:spacing w:before="0" w:beforeAutospacing="0" w:after="0" w:afterAutospacing="0" w:line="360" w:lineRule="auto"/>
              <w:ind w:left="0" w:right="0"/>
              <w:rPr>
                <w:rFonts w:ascii="Times New Roman" w:hAnsi="Times New Roman"/>
                <w:bCs w:val="0"/>
                <w:szCs w:val="21"/>
              </w:rPr>
            </w:pPr>
            <w:r>
              <w:rPr>
                <w:rFonts w:ascii="Times New Roman" w:hAnsi="Times New Roman"/>
                <w:bCs w:val="0"/>
                <w:szCs w:val="21"/>
              </w:rPr>
              <w:t>企业于2020年7月7日取得排污许可证</w:t>
            </w:r>
            <w:r>
              <w:rPr>
                <w:rFonts w:hint="eastAsia" w:ascii="Times New Roman" w:hAnsi="Times New Roman"/>
                <w:bCs w:val="0"/>
                <w:szCs w:val="21"/>
              </w:rPr>
              <w:t>（编号：</w:t>
            </w:r>
            <w:r>
              <w:rPr>
                <w:rFonts w:ascii="Times New Roman" w:hAnsi="Times New Roman"/>
              </w:rPr>
              <w:t>91320405754622981B001Q</w:t>
            </w:r>
            <w:r>
              <w:rPr>
                <w:rFonts w:hint="eastAsia" w:ascii="Times New Roman" w:hAnsi="Times New Roman"/>
              </w:rPr>
              <w:t>），已按时提交执行报告</w:t>
            </w:r>
            <w:r>
              <w:rPr>
                <w:rFonts w:ascii="Times New Roman" w:hAnsi="Times New Roman"/>
                <w:bCs w:val="0"/>
                <w:szCs w:val="21"/>
              </w:rPr>
              <w:t>。</w:t>
            </w:r>
          </w:p>
          <w:p>
            <w:pPr>
              <w:pStyle w:val="12"/>
              <w:keepNext w:val="0"/>
              <w:keepLines w:val="0"/>
              <w:suppressLineNumbers w:val="0"/>
              <w:adjustRightInd w:val="0"/>
              <w:snapToGrid w:val="0"/>
              <w:spacing w:before="0" w:beforeAutospacing="0" w:after="0" w:afterAutospacing="0" w:line="360" w:lineRule="auto"/>
              <w:ind w:left="0" w:right="0" w:firstLine="482"/>
              <w:rPr>
                <w:rFonts w:hint="eastAsia" w:ascii="Times New Roman" w:hAnsi="Times New Roman"/>
                <w:b/>
                <w:bCs w:val="0"/>
                <w:szCs w:val="21"/>
              </w:rPr>
            </w:pPr>
            <w:r>
              <w:rPr>
                <w:rFonts w:hint="eastAsia" w:ascii="Times New Roman" w:hAnsi="Times New Roman"/>
                <w:b/>
                <w:bCs w:val="0"/>
                <w:szCs w:val="21"/>
              </w:rPr>
              <w:t>二、原有项目情况</w:t>
            </w:r>
          </w:p>
          <w:p>
            <w:pPr>
              <w:pStyle w:val="12"/>
              <w:keepNext w:val="0"/>
              <w:keepLines w:val="0"/>
              <w:suppressLineNumbers w:val="0"/>
              <w:adjustRightInd w:val="0"/>
              <w:snapToGrid w:val="0"/>
              <w:spacing w:before="0" w:beforeAutospacing="0" w:after="0" w:afterAutospacing="0" w:line="360" w:lineRule="auto"/>
              <w:ind w:left="0" w:right="0" w:firstLine="482"/>
              <w:rPr>
                <w:rFonts w:hint="eastAsia" w:ascii="Times New Roman" w:hAnsi="Times New Roman"/>
                <w:b/>
                <w:bCs w:val="0"/>
                <w:szCs w:val="21"/>
              </w:rPr>
            </w:pPr>
            <w:r>
              <w:rPr>
                <w:rFonts w:hint="eastAsia" w:ascii="Times New Roman" w:hAnsi="Times New Roman"/>
                <w:b/>
                <w:bCs w:val="0"/>
                <w:szCs w:val="21"/>
              </w:rPr>
              <w:t>1、产品方案</w:t>
            </w:r>
          </w:p>
          <w:p>
            <w:pPr>
              <w:pStyle w:val="12"/>
              <w:keepNext w:val="0"/>
              <w:keepLines w:val="0"/>
              <w:suppressLineNumbers w:val="0"/>
              <w:adjustRightInd w:val="0"/>
              <w:snapToGrid w:val="0"/>
              <w:spacing w:before="0" w:beforeAutospacing="0" w:after="0" w:afterAutospacing="0" w:line="360" w:lineRule="auto"/>
              <w:ind w:left="0" w:right="0"/>
              <w:rPr>
                <w:rFonts w:ascii="Times New Roman" w:hAnsi="Times New Roman"/>
                <w:bCs w:val="0"/>
                <w:szCs w:val="21"/>
              </w:rPr>
            </w:pPr>
            <w:r>
              <w:rPr>
                <w:rFonts w:hint="eastAsia" w:ascii="Times New Roman" w:hAnsi="Times New Roman"/>
                <w:bCs w:val="0"/>
                <w:szCs w:val="21"/>
              </w:rPr>
              <w:t>原有项目产品方案见下表。</w:t>
            </w:r>
          </w:p>
          <w:p>
            <w:pPr>
              <w:keepNext w:val="0"/>
              <w:keepLines w:val="0"/>
              <w:suppressLineNumbers w:val="0"/>
              <w:adjustRightInd w:val="0"/>
              <w:snapToGrid w:val="0"/>
              <w:spacing w:before="0" w:beforeAutospacing="0" w:after="0" w:afterAutospacing="0"/>
              <w:ind w:left="0" w:right="0"/>
              <w:jc w:val="center"/>
              <w:rPr>
                <w:b/>
                <w:bCs/>
                <w:sz w:val="24"/>
              </w:rPr>
            </w:pPr>
            <w:r>
              <w:rPr>
                <w:b/>
                <w:bCs/>
                <w:sz w:val="24"/>
              </w:rPr>
              <w:t>表</w:t>
            </w:r>
            <w:r>
              <w:rPr>
                <w:rFonts w:hint="eastAsia"/>
                <w:b/>
                <w:bCs/>
                <w:sz w:val="24"/>
              </w:rPr>
              <w:t>2-9 原有项目</w:t>
            </w:r>
            <w:r>
              <w:rPr>
                <w:b/>
                <w:bCs/>
                <w:sz w:val="24"/>
              </w:rPr>
              <w:t>产品方案</w:t>
            </w:r>
            <w:r>
              <w:rPr>
                <w:rFonts w:hint="eastAsia"/>
                <w:b/>
                <w:bCs/>
                <w:sz w:val="24"/>
              </w:rPr>
              <w:t>一览表</w:t>
            </w:r>
          </w:p>
          <w:tbl>
            <w:tblPr>
              <w:tblStyle w:val="21"/>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7"/>
              <w:gridCol w:w="1482"/>
              <w:gridCol w:w="2492"/>
              <w:gridCol w:w="2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1124" w:type="pct"/>
                  <w:tcBorders>
                    <w:top w:val="single" w:color="auto" w:sz="12" w:space="0"/>
                    <w:left w:val="nil"/>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rPr>
                      <w:rFonts w:hint="eastAsia"/>
                      <w:b/>
                      <w:bCs/>
                      <w:szCs w:val="21"/>
                    </w:rPr>
                    <w:t>项目名称</w:t>
                  </w:r>
                </w:p>
              </w:tc>
              <w:tc>
                <w:tcPr>
                  <w:tcW w:w="878" w:type="pct"/>
                  <w:tcBorders>
                    <w:top w:val="single" w:color="auto" w:sz="12" w:space="0"/>
                    <w:left w:val="nil"/>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产品名称</w:t>
                  </w:r>
                </w:p>
              </w:tc>
              <w:tc>
                <w:tcPr>
                  <w:tcW w:w="1477" w:type="pct"/>
                  <w:tcBorders>
                    <w:top w:val="single" w:color="auto" w:sz="12" w:space="0"/>
                    <w:left w:val="nil"/>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设计能力（单位/</w:t>
                  </w:r>
                  <w:r>
                    <w:rPr>
                      <w:rFonts w:ascii="宋体" w:hAnsi="宋体"/>
                      <w:b/>
                      <w:bCs/>
                      <w:szCs w:val="21"/>
                    </w:rPr>
                    <w:t>年）</w:t>
                  </w:r>
                </w:p>
              </w:tc>
              <w:tc>
                <w:tcPr>
                  <w:tcW w:w="1518" w:type="pct"/>
                  <w:tcBorders>
                    <w:top w:val="single" w:color="auto" w:sz="12" w:space="0"/>
                    <w:left w:val="nil"/>
                    <w:right w:val="nil"/>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rPr>
                      <w:rFonts w:hint="eastAsia"/>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 w:hRule="atLeast"/>
                <w:jc w:val="center"/>
              </w:trPr>
              <w:tc>
                <w:tcPr>
                  <w:tcW w:w="1124" w:type="pct"/>
                  <w:vMerge w:val="restart"/>
                  <w:tcBorders>
                    <w:top w:val="nil"/>
                    <w:left w:val="nil"/>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新建金属冲片生产厂房</w:t>
                  </w:r>
                </w:p>
              </w:tc>
              <w:tc>
                <w:tcPr>
                  <w:tcW w:w="878" w:type="pct"/>
                  <w:tcBorders>
                    <w:top w:val="nil"/>
                    <w:left w:val="nil"/>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电机定转子</w:t>
                  </w:r>
                </w:p>
              </w:tc>
              <w:tc>
                <w:tcPr>
                  <w:tcW w:w="1477" w:type="pct"/>
                  <w:tcBorders>
                    <w:top w:val="single" w:color="auto" w:sz="4" w:space="0"/>
                    <w:left w:val="nil"/>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150万套</w:t>
                  </w:r>
                </w:p>
              </w:tc>
              <w:tc>
                <w:tcPr>
                  <w:tcW w:w="1518" w:type="pct"/>
                  <w:vMerge w:val="restart"/>
                  <w:tcBorders>
                    <w:top w:val="single" w:color="auto" w:sz="4" w:space="0"/>
                    <w:left w:val="nil"/>
                    <w:right w:val="nil"/>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搬迁后不再建设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 w:hRule="atLeast"/>
                <w:jc w:val="center"/>
              </w:trPr>
              <w:tc>
                <w:tcPr>
                  <w:tcW w:w="1124" w:type="pct"/>
                  <w:vMerge w:val="continue"/>
                  <w:tcBorders>
                    <w:left w:val="nil"/>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878" w:type="pct"/>
                  <w:tcBorders>
                    <w:top w:val="nil"/>
                    <w:left w:val="nil"/>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szCs w:val="21"/>
                    </w:rPr>
                  </w:pPr>
                  <w:r>
                    <w:rPr>
                      <w:rFonts w:hint="eastAsia"/>
                      <w:szCs w:val="21"/>
                    </w:rPr>
                    <w:t>橡塑制品</w:t>
                  </w:r>
                </w:p>
              </w:tc>
              <w:tc>
                <w:tcPr>
                  <w:tcW w:w="1477" w:type="pct"/>
                  <w:tcBorders>
                    <w:top w:val="single" w:color="auto" w:sz="4" w:space="0"/>
                    <w:left w:val="nil"/>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50万副</w:t>
                  </w:r>
                </w:p>
              </w:tc>
              <w:tc>
                <w:tcPr>
                  <w:tcW w:w="1518" w:type="pct"/>
                  <w:vMerge w:val="continue"/>
                  <w:tcBorders>
                    <w:left w:val="nil"/>
                    <w:right w:val="nil"/>
                  </w:tcBorders>
                  <w:vAlign w:val="center"/>
                </w:tcPr>
                <w:p>
                  <w:pPr>
                    <w:keepNext w:val="0"/>
                    <w:keepLines w:val="0"/>
                    <w:suppressLineNumbers w:val="0"/>
                    <w:adjustRightInd w:val="0"/>
                    <w:snapToGrid w:val="0"/>
                    <w:spacing w:before="0" w:beforeAutospacing="0" w:after="0" w:afterAutospacing="0"/>
                    <w:ind w:left="0" w:right="0"/>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 w:hRule="atLeast"/>
                <w:jc w:val="center"/>
              </w:trPr>
              <w:tc>
                <w:tcPr>
                  <w:tcW w:w="1124" w:type="pct"/>
                  <w:vMerge w:val="continue"/>
                  <w:tcBorders>
                    <w:left w:val="nil"/>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878" w:type="pct"/>
                  <w:tcBorders>
                    <w:top w:val="nil"/>
                    <w:left w:val="nil"/>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eastAsia="宋体"/>
                      <w:szCs w:val="21"/>
                      <w:lang w:eastAsia="zh-CN"/>
                    </w:rPr>
                  </w:pPr>
                  <w:r>
                    <w:rPr>
                      <w:rFonts w:hint="eastAsia"/>
                      <w:szCs w:val="21"/>
                    </w:rPr>
                    <w:t>铝压铸</w:t>
                  </w:r>
                  <w:r>
                    <w:rPr>
                      <w:rFonts w:hint="eastAsia"/>
                      <w:szCs w:val="21"/>
                      <w:lang w:eastAsia="zh-CN"/>
                    </w:rPr>
                    <w:t>件</w:t>
                  </w:r>
                </w:p>
              </w:tc>
              <w:tc>
                <w:tcPr>
                  <w:tcW w:w="1477" w:type="pct"/>
                  <w:tcBorders>
                    <w:top w:val="single" w:color="auto" w:sz="4" w:space="0"/>
                    <w:left w:val="nil"/>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100万只</w:t>
                  </w:r>
                </w:p>
              </w:tc>
              <w:tc>
                <w:tcPr>
                  <w:tcW w:w="1518" w:type="pct"/>
                  <w:vMerge w:val="continue"/>
                  <w:tcBorders>
                    <w:left w:val="nil"/>
                    <w:right w:val="nil"/>
                  </w:tcBorders>
                  <w:vAlign w:val="center"/>
                </w:tcPr>
                <w:p>
                  <w:pPr>
                    <w:keepNext w:val="0"/>
                    <w:keepLines w:val="0"/>
                    <w:suppressLineNumbers w:val="0"/>
                    <w:adjustRightInd w:val="0"/>
                    <w:snapToGrid w:val="0"/>
                    <w:spacing w:before="0" w:beforeAutospacing="0" w:after="0" w:afterAutospacing="0"/>
                    <w:ind w:left="0" w:right="0"/>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 w:hRule="atLeast"/>
                <w:jc w:val="center"/>
              </w:trPr>
              <w:tc>
                <w:tcPr>
                  <w:tcW w:w="1124" w:type="pct"/>
                  <w:vMerge w:val="restart"/>
                  <w:tcBorders>
                    <w:top w:val="single" w:color="auto" w:sz="4" w:space="0"/>
                    <w:left w:val="nil"/>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新建金属纵剪及冲压车间</w:t>
                  </w:r>
                </w:p>
              </w:tc>
              <w:tc>
                <w:tcPr>
                  <w:tcW w:w="878" w:type="pct"/>
                  <w:tcBorders>
                    <w:top w:val="single" w:color="auto" w:sz="4" w:space="0"/>
                    <w:left w:val="nil"/>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纵剪金属</w:t>
                  </w:r>
                </w:p>
              </w:tc>
              <w:tc>
                <w:tcPr>
                  <w:tcW w:w="1477" w:type="pct"/>
                  <w:tcBorders>
                    <w:top w:val="single" w:color="auto" w:sz="4" w:space="0"/>
                    <w:left w:val="nil"/>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20000吨</w:t>
                  </w:r>
                </w:p>
              </w:tc>
              <w:tc>
                <w:tcPr>
                  <w:tcW w:w="1518" w:type="pct"/>
                  <w:vMerge w:val="continue"/>
                  <w:tcBorders>
                    <w:left w:val="nil"/>
                    <w:right w:val="nil"/>
                  </w:tcBorders>
                  <w:vAlign w:val="center"/>
                </w:tcPr>
                <w:p>
                  <w:pPr>
                    <w:keepNext w:val="0"/>
                    <w:keepLines w:val="0"/>
                    <w:suppressLineNumbers w:val="0"/>
                    <w:adjustRightInd w:val="0"/>
                    <w:snapToGrid w:val="0"/>
                    <w:spacing w:before="0" w:beforeAutospacing="0" w:after="0" w:afterAutospacing="0"/>
                    <w:ind w:left="0" w:right="0"/>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 w:hRule="atLeast"/>
                <w:jc w:val="center"/>
              </w:trPr>
              <w:tc>
                <w:tcPr>
                  <w:tcW w:w="1124" w:type="pct"/>
                  <w:vMerge w:val="continue"/>
                  <w:tcBorders>
                    <w:left w:val="nil"/>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878" w:type="pct"/>
                  <w:tcBorders>
                    <w:top w:val="single" w:color="auto" w:sz="4" w:space="0"/>
                    <w:left w:val="nil"/>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szCs w:val="21"/>
                    </w:rPr>
                  </w:pPr>
                  <w:r>
                    <w:rPr>
                      <w:rFonts w:hint="eastAsia"/>
                      <w:szCs w:val="21"/>
                    </w:rPr>
                    <w:t>冲压</w:t>
                  </w:r>
                </w:p>
              </w:tc>
              <w:tc>
                <w:tcPr>
                  <w:tcW w:w="1477" w:type="pct"/>
                  <w:tcBorders>
                    <w:top w:val="single" w:color="auto" w:sz="4" w:space="0"/>
                    <w:left w:val="nil"/>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3000吨</w:t>
                  </w:r>
                </w:p>
              </w:tc>
              <w:tc>
                <w:tcPr>
                  <w:tcW w:w="1518" w:type="pct"/>
                  <w:vMerge w:val="continue"/>
                  <w:tcBorders>
                    <w:left w:val="nil"/>
                    <w:right w:val="nil"/>
                  </w:tcBorders>
                  <w:vAlign w:val="center"/>
                </w:tcPr>
                <w:p>
                  <w:pPr>
                    <w:keepNext w:val="0"/>
                    <w:keepLines w:val="0"/>
                    <w:suppressLineNumbers w:val="0"/>
                    <w:adjustRightInd w:val="0"/>
                    <w:snapToGrid w:val="0"/>
                    <w:spacing w:before="0" w:beforeAutospacing="0" w:after="0" w:afterAutospacing="0"/>
                    <w:ind w:left="0" w:right="0"/>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 w:hRule="atLeast"/>
                <w:jc w:val="center"/>
              </w:trPr>
              <w:tc>
                <w:tcPr>
                  <w:tcW w:w="1124" w:type="pct"/>
                  <w:tcBorders>
                    <w:top w:val="single" w:color="auto" w:sz="4" w:space="0"/>
                    <w:left w:val="nil"/>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中小电机铁芯</w:t>
                  </w:r>
                </w:p>
              </w:tc>
              <w:tc>
                <w:tcPr>
                  <w:tcW w:w="878" w:type="pct"/>
                  <w:tcBorders>
                    <w:top w:val="single" w:color="auto" w:sz="4" w:space="0"/>
                    <w:left w:val="nil"/>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电机铁芯</w:t>
                  </w:r>
                </w:p>
              </w:tc>
              <w:tc>
                <w:tcPr>
                  <w:tcW w:w="1477" w:type="pct"/>
                  <w:tcBorders>
                    <w:top w:val="single" w:color="auto" w:sz="4" w:space="0"/>
                    <w:left w:val="nil"/>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600万套</w:t>
                  </w:r>
                </w:p>
              </w:tc>
              <w:tc>
                <w:tcPr>
                  <w:tcW w:w="1518" w:type="pct"/>
                  <w:vMerge w:val="continue"/>
                  <w:tcBorders>
                    <w:left w:val="nil"/>
                    <w:bottom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szCs w:val="21"/>
                    </w:rPr>
                  </w:pPr>
                </w:p>
              </w:tc>
            </w:tr>
          </w:tbl>
          <w:p>
            <w:pPr>
              <w:pStyle w:val="12"/>
              <w:keepNext w:val="0"/>
              <w:keepLines w:val="0"/>
              <w:suppressLineNumbers w:val="0"/>
              <w:adjustRightInd w:val="0"/>
              <w:snapToGrid w:val="0"/>
              <w:spacing w:before="0" w:beforeAutospacing="0" w:after="0" w:afterAutospacing="0" w:line="360" w:lineRule="auto"/>
              <w:ind w:left="0" w:right="0" w:firstLine="482"/>
              <w:rPr>
                <w:rFonts w:ascii="Times New Roman" w:hAnsi="Times New Roman"/>
                <w:b/>
                <w:bCs w:val="0"/>
                <w:szCs w:val="21"/>
              </w:rPr>
            </w:pPr>
            <w:r>
              <w:rPr>
                <w:rFonts w:hint="eastAsia" w:ascii="Times New Roman" w:hAnsi="Times New Roman"/>
                <w:b/>
                <w:bCs w:val="0"/>
                <w:szCs w:val="21"/>
              </w:rPr>
              <w:t>2、产废情况</w:t>
            </w:r>
          </w:p>
          <w:p>
            <w:pPr>
              <w:pStyle w:val="12"/>
              <w:keepNext w:val="0"/>
              <w:keepLines w:val="0"/>
              <w:suppressLineNumbers w:val="0"/>
              <w:adjustRightInd w:val="0"/>
              <w:snapToGrid w:val="0"/>
              <w:spacing w:before="0" w:beforeAutospacing="0" w:after="0" w:afterAutospacing="0" w:line="360" w:lineRule="auto"/>
              <w:ind w:left="0" w:right="0"/>
              <w:rPr>
                <w:rFonts w:hint="eastAsia" w:ascii="Times New Roman" w:hAnsi="Times New Roman"/>
                <w:bCs w:val="0"/>
                <w:szCs w:val="21"/>
              </w:rPr>
            </w:pPr>
            <w:r>
              <w:rPr>
                <w:rFonts w:hint="eastAsia" w:ascii="Times New Roman" w:hAnsi="Times New Roman"/>
                <w:bCs w:val="0"/>
                <w:szCs w:val="21"/>
              </w:rPr>
              <w:t>原有项目污染物排放情况结合原环评报告进行论述。</w:t>
            </w:r>
          </w:p>
          <w:p>
            <w:pPr>
              <w:pStyle w:val="12"/>
              <w:keepNext w:val="0"/>
              <w:keepLines w:val="0"/>
              <w:suppressLineNumbers w:val="0"/>
              <w:adjustRightInd w:val="0"/>
              <w:snapToGrid w:val="0"/>
              <w:spacing w:before="0" w:beforeAutospacing="0" w:after="0" w:afterAutospacing="0" w:line="360" w:lineRule="auto"/>
              <w:ind w:left="0" w:right="0"/>
              <w:rPr>
                <w:rFonts w:ascii="Times New Roman" w:hAnsi="Times New Roman"/>
                <w:bCs w:val="0"/>
                <w:szCs w:val="21"/>
              </w:rPr>
            </w:pPr>
            <w:r>
              <w:rPr>
                <w:rFonts w:hint="eastAsia" w:ascii="Times New Roman" w:hAnsi="Times New Roman"/>
                <w:bCs w:val="0"/>
                <w:szCs w:val="21"/>
              </w:rPr>
              <w:t>（1）废水</w:t>
            </w:r>
          </w:p>
          <w:p>
            <w:pPr>
              <w:pStyle w:val="12"/>
              <w:keepNext w:val="0"/>
              <w:keepLines w:val="0"/>
              <w:suppressLineNumbers w:val="0"/>
              <w:adjustRightInd w:val="0"/>
              <w:snapToGrid w:val="0"/>
              <w:spacing w:before="0" w:beforeAutospacing="0" w:after="0" w:afterAutospacing="0" w:line="360" w:lineRule="auto"/>
              <w:ind w:left="0" w:right="0"/>
              <w:rPr>
                <w:rFonts w:ascii="Times New Roman" w:hAnsi="Times New Roman"/>
                <w:bCs w:val="0"/>
                <w:szCs w:val="21"/>
              </w:rPr>
            </w:pPr>
            <w:r>
              <w:rPr>
                <w:rFonts w:hint="eastAsia" w:ascii="Times New Roman" w:hAnsi="Times New Roman"/>
                <w:bCs w:val="0"/>
                <w:szCs w:val="21"/>
              </w:rPr>
              <w:t>原有项目无生产废水排放，主要为员工生活污水。生活污水经城市污水管网接入常州市戚墅堰污水处理厂集中处理，达标尾水排入京杭运河。</w:t>
            </w:r>
          </w:p>
          <w:p>
            <w:pPr>
              <w:pStyle w:val="12"/>
              <w:keepNext w:val="0"/>
              <w:keepLines w:val="0"/>
              <w:suppressLineNumbers w:val="0"/>
              <w:adjustRightInd w:val="0"/>
              <w:snapToGrid w:val="0"/>
              <w:spacing w:before="0" w:beforeAutospacing="0" w:after="0" w:afterAutospacing="0" w:line="360" w:lineRule="auto"/>
              <w:ind w:left="0" w:right="0"/>
              <w:rPr>
                <w:rFonts w:ascii="Times New Roman" w:hAnsi="Times New Roman"/>
                <w:bCs w:val="0"/>
                <w:szCs w:val="21"/>
              </w:rPr>
            </w:pPr>
            <w:r>
              <w:rPr>
                <w:rFonts w:hint="eastAsia" w:ascii="Times New Roman" w:hAnsi="Times New Roman"/>
                <w:bCs w:val="0"/>
                <w:szCs w:val="21"/>
              </w:rPr>
              <w:t>（2）废气</w:t>
            </w:r>
          </w:p>
          <w:p>
            <w:pPr>
              <w:pStyle w:val="12"/>
              <w:keepNext w:val="0"/>
              <w:keepLines w:val="0"/>
              <w:suppressLineNumbers w:val="0"/>
              <w:adjustRightInd w:val="0"/>
              <w:snapToGrid w:val="0"/>
              <w:spacing w:before="0" w:beforeAutospacing="0" w:after="0" w:afterAutospacing="0" w:line="360" w:lineRule="auto"/>
              <w:ind w:left="0" w:right="0"/>
              <w:rPr>
                <w:rFonts w:ascii="Times New Roman" w:hAnsi="Times New Roman"/>
                <w:bCs w:val="0"/>
                <w:szCs w:val="21"/>
              </w:rPr>
            </w:pPr>
            <w:r>
              <w:rPr>
                <w:rFonts w:hint="eastAsia" w:ascii="Times New Roman" w:hAnsi="Times New Roman"/>
                <w:bCs w:val="0"/>
                <w:szCs w:val="21"/>
              </w:rPr>
              <w:t>原有项目熔铸烟尘经集气罩收集后通过水喷淋+光催化氧化+活性炭吸附装置处理后通过一根15米高排气筒排放</w:t>
            </w:r>
            <w:r>
              <w:rPr>
                <w:rFonts w:hint="eastAsia" w:ascii="Times New Roman" w:hAnsi="Times New Roman"/>
                <w:bCs w:val="0"/>
                <w:szCs w:val="21"/>
                <w:lang w:eastAsia="zh-CN"/>
              </w:rPr>
              <w:t>；未捕集废气在车间内无组织排放</w:t>
            </w:r>
            <w:r>
              <w:rPr>
                <w:rFonts w:hint="eastAsia" w:ascii="Times New Roman" w:hAnsi="Times New Roman"/>
                <w:bCs w:val="0"/>
                <w:szCs w:val="21"/>
              </w:rPr>
              <w:t>。</w:t>
            </w:r>
          </w:p>
          <w:p>
            <w:pPr>
              <w:pStyle w:val="12"/>
              <w:keepNext w:val="0"/>
              <w:keepLines w:val="0"/>
              <w:suppressLineNumbers w:val="0"/>
              <w:adjustRightInd w:val="0"/>
              <w:snapToGrid w:val="0"/>
              <w:spacing w:before="0" w:beforeAutospacing="0" w:after="0" w:afterAutospacing="0" w:line="360" w:lineRule="auto"/>
              <w:ind w:left="0" w:right="0"/>
              <w:rPr>
                <w:rFonts w:ascii="Times New Roman" w:hAnsi="Times New Roman"/>
                <w:bCs w:val="0"/>
                <w:szCs w:val="21"/>
              </w:rPr>
            </w:pPr>
            <w:r>
              <w:rPr>
                <w:rFonts w:hint="eastAsia" w:ascii="Times New Roman" w:hAnsi="Times New Roman"/>
                <w:bCs w:val="0"/>
                <w:szCs w:val="21"/>
              </w:rPr>
              <w:t>（3）噪声</w:t>
            </w:r>
          </w:p>
          <w:p>
            <w:pPr>
              <w:pStyle w:val="12"/>
              <w:keepNext w:val="0"/>
              <w:keepLines w:val="0"/>
              <w:suppressLineNumbers w:val="0"/>
              <w:adjustRightInd w:val="0"/>
              <w:snapToGrid w:val="0"/>
              <w:spacing w:before="0" w:beforeAutospacing="0" w:after="0" w:afterAutospacing="0" w:line="360" w:lineRule="auto"/>
              <w:ind w:left="0" w:right="0"/>
              <w:rPr>
                <w:rFonts w:ascii="Times New Roman" w:hAnsi="Times New Roman"/>
                <w:bCs w:val="0"/>
                <w:szCs w:val="21"/>
              </w:rPr>
            </w:pPr>
            <w:r>
              <w:rPr>
                <w:rFonts w:hint="eastAsia" w:ascii="Times New Roman" w:hAnsi="Times New Roman"/>
                <w:bCs w:val="0"/>
                <w:szCs w:val="21"/>
              </w:rPr>
              <w:t>原有项目噪声主要来源于金属纵剪机、高速冲床等设备运行时产生的噪声。通过合理布局、厂房建筑隔音降噪，各厂界噪声均符合《声环境质量标准》（GB3096-2008）中3类标准，对周边环境影响较小。</w:t>
            </w:r>
          </w:p>
          <w:p>
            <w:pPr>
              <w:pStyle w:val="12"/>
              <w:keepNext w:val="0"/>
              <w:keepLines w:val="0"/>
              <w:suppressLineNumbers w:val="0"/>
              <w:adjustRightInd w:val="0"/>
              <w:snapToGrid w:val="0"/>
              <w:spacing w:before="0" w:beforeAutospacing="0" w:after="0" w:afterAutospacing="0" w:line="360" w:lineRule="auto"/>
              <w:ind w:left="0" w:right="0"/>
              <w:rPr>
                <w:rFonts w:ascii="Times New Roman" w:hAnsi="Times New Roman"/>
                <w:bCs w:val="0"/>
                <w:szCs w:val="21"/>
              </w:rPr>
            </w:pPr>
            <w:r>
              <w:rPr>
                <w:rFonts w:hint="eastAsia" w:ascii="Times New Roman" w:hAnsi="Times New Roman"/>
                <w:bCs w:val="0"/>
                <w:szCs w:val="21"/>
              </w:rPr>
              <w:t>（4）固废</w:t>
            </w:r>
          </w:p>
          <w:p>
            <w:pPr>
              <w:pStyle w:val="12"/>
              <w:keepNext w:val="0"/>
              <w:keepLines w:val="0"/>
              <w:suppressLineNumbers w:val="0"/>
              <w:adjustRightInd w:val="0"/>
              <w:snapToGrid w:val="0"/>
              <w:spacing w:before="0" w:beforeAutospacing="0" w:after="0" w:afterAutospacing="0" w:line="360" w:lineRule="auto"/>
              <w:ind w:left="0" w:right="0"/>
              <w:rPr>
                <w:rFonts w:hint="eastAsia" w:ascii="Times New Roman" w:hAnsi="Times New Roman"/>
                <w:bCs w:val="0"/>
                <w:szCs w:val="21"/>
              </w:rPr>
            </w:pPr>
            <w:r>
              <w:rPr>
                <w:rFonts w:hint="eastAsia" w:ascii="Times New Roman" w:hAnsi="Times New Roman"/>
                <w:bCs w:val="0"/>
                <w:szCs w:val="21"/>
              </w:rPr>
              <w:t>生活垃圾：由环卫部门统一清运；</w:t>
            </w:r>
          </w:p>
          <w:p>
            <w:pPr>
              <w:pStyle w:val="12"/>
              <w:keepNext w:val="0"/>
              <w:keepLines w:val="0"/>
              <w:suppressLineNumbers w:val="0"/>
              <w:adjustRightInd w:val="0"/>
              <w:snapToGrid w:val="0"/>
              <w:spacing w:before="0" w:beforeAutospacing="0" w:after="0" w:afterAutospacing="0" w:line="360" w:lineRule="auto"/>
              <w:ind w:left="0" w:right="0"/>
              <w:rPr>
                <w:rFonts w:hint="eastAsia" w:ascii="Times New Roman" w:hAnsi="Times New Roman"/>
                <w:bCs w:val="0"/>
                <w:szCs w:val="21"/>
              </w:rPr>
            </w:pPr>
            <w:r>
              <w:rPr>
                <w:rFonts w:hint="eastAsia" w:ascii="Times New Roman" w:hAnsi="Times New Roman"/>
                <w:bCs w:val="0"/>
                <w:szCs w:val="21"/>
              </w:rPr>
              <w:t>一般固废：边角料、浮渣收集外售综合利用；</w:t>
            </w:r>
          </w:p>
          <w:p>
            <w:pPr>
              <w:pStyle w:val="12"/>
              <w:keepNext w:val="0"/>
              <w:keepLines w:val="0"/>
              <w:suppressLineNumbers w:val="0"/>
              <w:adjustRightInd w:val="0"/>
              <w:snapToGrid w:val="0"/>
              <w:spacing w:before="0" w:beforeAutospacing="0" w:after="0" w:afterAutospacing="0" w:line="360" w:lineRule="auto"/>
              <w:ind w:left="0" w:right="0"/>
              <w:rPr>
                <w:rFonts w:hint="eastAsia" w:ascii="Times New Roman" w:hAnsi="Times New Roman"/>
                <w:bCs w:val="0"/>
                <w:szCs w:val="21"/>
              </w:rPr>
            </w:pPr>
            <w:r>
              <w:rPr>
                <w:rFonts w:hint="eastAsia" w:ascii="Times New Roman" w:hAnsi="Times New Roman"/>
                <w:bCs w:val="0"/>
                <w:szCs w:val="21"/>
              </w:rPr>
              <w:t>危险固废：废活性炭、废灯管、废矿物油、水喷淋更换废液，收集后暂存危废库房，定期委托有资质单位处置。</w:t>
            </w:r>
          </w:p>
          <w:p>
            <w:pPr>
              <w:pStyle w:val="12"/>
              <w:keepNext w:val="0"/>
              <w:keepLines w:val="0"/>
              <w:suppressLineNumbers w:val="0"/>
              <w:adjustRightInd w:val="0"/>
              <w:snapToGrid w:val="0"/>
              <w:spacing w:before="0" w:beforeAutospacing="0" w:after="0" w:afterAutospacing="0" w:line="360" w:lineRule="auto"/>
              <w:ind w:left="0" w:right="0"/>
              <w:rPr>
                <w:rFonts w:ascii="Times New Roman" w:hAnsi="Times New Roman"/>
                <w:bCs w:val="0"/>
                <w:szCs w:val="21"/>
              </w:rPr>
            </w:pPr>
            <w:r>
              <w:rPr>
                <w:rFonts w:hint="eastAsia" w:ascii="Times New Roman" w:hAnsi="Times New Roman"/>
                <w:bCs w:val="0"/>
                <w:szCs w:val="21"/>
                <w:lang w:eastAsia="zh-CN"/>
              </w:rPr>
              <w:t>原有项目</w:t>
            </w:r>
            <w:r>
              <w:rPr>
                <w:rFonts w:hint="eastAsia" w:ascii="Times New Roman" w:hAnsi="Times New Roman"/>
                <w:bCs w:val="0"/>
                <w:szCs w:val="21"/>
              </w:rPr>
              <w:t>所有固废均得到有效处置，固废实现“零排放”。</w:t>
            </w:r>
          </w:p>
          <w:p>
            <w:pPr>
              <w:pStyle w:val="12"/>
              <w:keepNext w:val="0"/>
              <w:keepLines w:val="0"/>
              <w:suppressLineNumbers w:val="0"/>
              <w:adjustRightInd w:val="0"/>
              <w:snapToGrid w:val="0"/>
              <w:spacing w:before="0" w:beforeAutospacing="0" w:after="0" w:afterAutospacing="0" w:line="360" w:lineRule="auto"/>
              <w:ind w:left="0" w:right="0"/>
              <w:rPr>
                <w:rFonts w:ascii="Times New Roman" w:hAnsi="Times New Roman"/>
                <w:bCs w:val="0"/>
                <w:szCs w:val="21"/>
              </w:rPr>
            </w:pPr>
            <w:r>
              <w:rPr>
                <w:rFonts w:hint="eastAsia" w:ascii="Times New Roman" w:hAnsi="Times New Roman"/>
                <w:bCs w:val="0"/>
                <w:szCs w:val="21"/>
              </w:rPr>
              <w:t>（5）原有项目总量控制情况</w:t>
            </w:r>
          </w:p>
          <w:p>
            <w:pPr>
              <w:pStyle w:val="12"/>
              <w:keepNext w:val="0"/>
              <w:keepLines w:val="0"/>
              <w:suppressLineNumbers w:val="0"/>
              <w:adjustRightInd w:val="0"/>
              <w:snapToGrid w:val="0"/>
              <w:spacing w:before="0" w:beforeAutospacing="0" w:after="0" w:afterAutospacing="0" w:line="360" w:lineRule="auto"/>
              <w:ind w:left="0" w:right="0"/>
              <w:rPr>
                <w:rFonts w:ascii="Times New Roman" w:hAnsi="Times New Roman"/>
                <w:bCs w:val="0"/>
                <w:szCs w:val="21"/>
              </w:rPr>
            </w:pPr>
            <w:r>
              <w:rPr>
                <w:rFonts w:hint="eastAsia" w:ascii="Times New Roman" w:hAnsi="Times New Roman"/>
                <w:bCs w:val="0"/>
                <w:szCs w:val="21"/>
              </w:rPr>
              <w:t>企业原有项目污染物排放总量为：生活污水量≤960t/a；颗粒物≤0.216t/a，SO</w:t>
            </w:r>
            <w:r>
              <w:rPr>
                <w:rFonts w:hint="eastAsia" w:ascii="Times New Roman" w:hAnsi="Times New Roman"/>
                <w:bCs w:val="0"/>
                <w:szCs w:val="21"/>
                <w:vertAlign w:val="subscript"/>
              </w:rPr>
              <w:t>2</w:t>
            </w:r>
            <w:r>
              <w:rPr>
                <w:rFonts w:hint="eastAsia" w:ascii="Times New Roman" w:hAnsi="Times New Roman"/>
                <w:bCs w:val="0"/>
                <w:szCs w:val="21"/>
              </w:rPr>
              <w:t>≤0.04t/a，NO</w:t>
            </w:r>
            <w:r>
              <w:rPr>
                <w:rFonts w:hint="eastAsia" w:ascii="Times New Roman" w:hAnsi="Times New Roman"/>
                <w:bCs w:val="0"/>
                <w:szCs w:val="21"/>
                <w:vertAlign w:val="subscript"/>
              </w:rPr>
              <w:t>x</w:t>
            </w:r>
            <w:r>
              <w:rPr>
                <w:rFonts w:hint="eastAsia" w:ascii="Times New Roman" w:hAnsi="Times New Roman"/>
                <w:bCs w:val="0"/>
                <w:szCs w:val="21"/>
              </w:rPr>
              <w:t>≤0.19t/a。</w:t>
            </w:r>
          </w:p>
          <w:p>
            <w:pPr>
              <w:pStyle w:val="12"/>
              <w:keepNext w:val="0"/>
              <w:keepLines w:val="0"/>
              <w:suppressLineNumbers w:val="0"/>
              <w:adjustRightInd w:val="0"/>
              <w:snapToGrid w:val="0"/>
              <w:spacing w:before="0" w:beforeAutospacing="0" w:after="0" w:afterAutospacing="0" w:line="360" w:lineRule="auto"/>
              <w:ind w:left="0" w:right="0" w:firstLine="482"/>
              <w:rPr>
                <w:rFonts w:ascii="Times New Roman" w:hAnsi="Times New Roman"/>
                <w:b/>
                <w:bCs w:val="0"/>
                <w:szCs w:val="21"/>
              </w:rPr>
            </w:pPr>
            <w:r>
              <w:rPr>
                <w:rFonts w:hint="eastAsia" w:ascii="Times New Roman" w:hAnsi="Times New Roman"/>
                <w:b/>
                <w:bCs w:val="0"/>
                <w:szCs w:val="21"/>
              </w:rPr>
              <w:t>三、原有项目存在问题及以新带老采取措施</w:t>
            </w:r>
          </w:p>
          <w:p>
            <w:pPr>
              <w:pStyle w:val="12"/>
              <w:keepNext w:val="0"/>
              <w:keepLines w:val="0"/>
              <w:suppressLineNumbers w:val="0"/>
              <w:adjustRightInd w:val="0"/>
              <w:snapToGrid w:val="0"/>
              <w:spacing w:before="0" w:beforeAutospacing="0" w:after="0" w:afterAutospacing="0" w:line="360" w:lineRule="auto"/>
              <w:ind w:left="0" w:right="0"/>
              <w:rPr>
                <w:rFonts w:ascii="Times New Roman" w:hAnsi="Times New Roman"/>
                <w:bCs w:val="0"/>
                <w:szCs w:val="21"/>
              </w:rPr>
            </w:pPr>
            <w:r>
              <w:rPr>
                <w:rFonts w:hint="eastAsia" w:ascii="Times New Roman" w:hAnsi="Times New Roman"/>
                <w:bCs w:val="0"/>
                <w:szCs w:val="21"/>
              </w:rPr>
              <w:t>本项目为整体搬迁，</w:t>
            </w:r>
            <w:r>
              <w:rPr>
                <w:rFonts w:hint="eastAsia" w:ascii="Times New Roman" w:hAnsi="Times New Roman"/>
                <w:bCs w:val="0"/>
                <w:szCs w:val="21"/>
                <w:lang w:eastAsia="zh-CN"/>
              </w:rPr>
              <w:t>不存在</w:t>
            </w:r>
            <w:r>
              <w:rPr>
                <w:rFonts w:hint="eastAsia" w:ascii="Times New Roman" w:hAnsi="Times New Roman"/>
                <w:bCs w:val="0"/>
                <w:szCs w:val="21"/>
              </w:rPr>
              <w:t>“以新带老”。</w:t>
            </w:r>
            <w:r>
              <w:rPr>
                <w:rFonts w:ascii="Times New Roman" w:hAnsi="Times New Roman"/>
                <w:bCs w:val="0"/>
                <w:szCs w:val="21"/>
              </w:rPr>
              <w:t>待本次迁建项目审批后，企业将整体搬迁至</w:t>
            </w:r>
            <w:r>
              <w:rPr>
                <w:rFonts w:ascii="Times New Roman" w:hAnsi="宋体"/>
                <w:szCs w:val="21"/>
              </w:rPr>
              <w:t>江苏省常州市武进区洛阳镇新科西路</w:t>
            </w:r>
            <w:r>
              <w:rPr>
                <w:rFonts w:ascii="Times New Roman" w:hAnsi="Times New Roman"/>
                <w:szCs w:val="21"/>
              </w:rPr>
              <w:t>21</w:t>
            </w:r>
            <w:r>
              <w:rPr>
                <w:rFonts w:ascii="Times New Roman" w:hAnsi="宋体"/>
                <w:szCs w:val="21"/>
              </w:rPr>
              <w:t>号</w:t>
            </w:r>
            <w:r>
              <w:rPr>
                <w:rFonts w:hint="eastAsia" w:ascii="Times New Roman" w:hAnsi="宋体"/>
                <w:szCs w:val="21"/>
                <w:lang w:eastAsia="zh-CN"/>
              </w:rPr>
              <w:t>进行</w:t>
            </w:r>
            <w:r>
              <w:rPr>
                <w:rFonts w:ascii="Times New Roman" w:hAnsi="Times New Roman"/>
                <w:bCs w:val="0"/>
                <w:szCs w:val="21"/>
              </w:rPr>
              <w:t>生产，企业原有项目废水、废气、固废等污染物均按环保要求落实了治理措施，搬迁后，原厂址不存在遗留环境问题。</w:t>
            </w:r>
          </w:p>
          <w:p>
            <w:pPr>
              <w:pStyle w:val="12"/>
              <w:keepNext w:val="0"/>
              <w:keepLines w:val="0"/>
              <w:suppressLineNumbers w:val="0"/>
              <w:adjustRightInd w:val="0"/>
              <w:snapToGrid w:val="0"/>
              <w:spacing w:before="0" w:beforeAutospacing="0" w:after="0" w:afterAutospacing="0" w:line="360" w:lineRule="auto"/>
              <w:ind w:left="0" w:right="0"/>
              <w:rPr>
                <w:rFonts w:ascii="Times New Roman" w:hAnsi="Times New Roman"/>
                <w:bCs w:val="0"/>
                <w:szCs w:val="21"/>
              </w:rPr>
            </w:pPr>
          </w:p>
          <w:p>
            <w:pPr>
              <w:pStyle w:val="12"/>
              <w:keepNext w:val="0"/>
              <w:keepLines w:val="0"/>
              <w:suppressLineNumbers w:val="0"/>
              <w:adjustRightInd w:val="0"/>
              <w:snapToGrid w:val="0"/>
              <w:spacing w:before="0" w:beforeAutospacing="0" w:after="0" w:afterAutospacing="0" w:line="360" w:lineRule="auto"/>
              <w:ind w:left="0" w:right="0"/>
              <w:rPr>
                <w:rFonts w:ascii="Times New Roman" w:hAnsi="Times New Roman"/>
                <w:bCs w:val="0"/>
                <w:szCs w:val="21"/>
              </w:rPr>
            </w:pPr>
          </w:p>
          <w:p>
            <w:pPr>
              <w:pStyle w:val="12"/>
              <w:keepNext w:val="0"/>
              <w:keepLines w:val="0"/>
              <w:suppressLineNumbers w:val="0"/>
              <w:adjustRightInd w:val="0"/>
              <w:snapToGrid w:val="0"/>
              <w:spacing w:before="0" w:beforeAutospacing="0" w:after="0" w:afterAutospacing="0" w:line="360" w:lineRule="auto"/>
              <w:ind w:left="0" w:right="0"/>
              <w:rPr>
                <w:rFonts w:ascii="Times New Roman" w:hAnsi="Times New Roman"/>
                <w:bCs w:val="0"/>
                <w:szCs w:val="21"/>
              </w:rPr>
            </w:pPr>
          </w:p>
          <w:p>
            <w:pPr>
              <w:pStyle w:val="12"/>
              <w:keepNext w:val="0"/>
              <w:keepLines w:val="0"/>
              <w:suppressLineNumbers w:val="0"/>
              <w:adjustRightInd w:val="0"/>
              <w:snapToGrid w:val="0"/>
              <w:spacing w:before="0" w:beforeAutospacing="0" w:after="0" w:afterAutospacing="0" w:line="360" w:lineRule="auto"/>
              <w:ind w:left="0" w:right="0"/>
              <w:rPr>
                <w:rFonts w:ascii="Times New Roman" w:hAnsi="Times New Roman"/>
                <w:bCs w:val="0"/>
                <w:szCs w:val="21"/>
              </w:rPr>
            </w:pPr>
          </w:p>
          <w:p>
            <w:pPr>
              <w:pStyle w:val="12"/>
              <w:keepNext w:val="0"/>
              <w:keepLines w:val="0"/>
              <w:suppressLineNumbers w:val="0"/>
              <w:adjustRightInd w:val="0"/>
              <w:snapToGrid w:val="0"/>
              <w:spacing w:before="0" w:beforeAutospacing="0" w:after="0" w:afterAutospacing="0" w:line="360" w:lineRule="auto"/>
              <w:ind w:left="0" w:right="0"/>
              <w:rPr>
                <w:rFonts w:ascii="Times New Roman" w:hAnsi="Times New Roman"/>
                <w:bCs w:val="0"/>
                <w:szCs w:val="21"/>
              </w:rPr>
            </w:pPr>
          </w:p>
          <w:p>
            <w:pPr>
              <w:pStyle w:val="12"/>
              <w:keepNext w:val="0"/>
              <w:keepLines w:val="0"/>
              <w:suppressLineNumbers w:val="0"/>
              <w:adjustRightInd w:val="0"/>
              <w:snapToGrid w:val="0"/>
              <w:spacing w:before="0" w:beforeAutospacing="0" w:after="0" w:afterAutospacing="0" w:line="360" w:lineRule="auto"/>
              <w:ind w:left="0" w:right="0"/>
              <w:rPr>
                <w:rFonts w:hint="eastAsia" w:ascii="Times New Roman" w:hAnsi="Times New Roman"/>
                <w:bCs w:val="0"/>
                <w:szCs w:val="21"/>
              </w:rPr>
            </w:pPr>
          </w:p>
          <w:p>
            <w:pPr>
              <w:pStyle w:val="12"/>
              <w:keepNext w:val="0"/>
              <w:keepLines w:val="0"/>
              <w:suppressLineNumbers w:val="0"/>
              <w:adjustRightInd w:val="0"/>
              <w:snapToGrid w:val="0"/>
              <w:spacing w:before="0" w:beforeAutospacing="0" w:after="0" w:afterAutospacing="0" w:line="360" w:lineRule="auto"/>
              <w:ind w:left="0" w:right="0"/>
              <w:rPr>
                <w:rFonts w:hint="eastAsia" w:ascii="Times New Roman" w:hAnsi="Times New Roman"/>
                <w:bCs w:val="0"/>
                <w:szCs w:val="21"/>
              </w:rPr>
            </w:pPr>
          </w:p>
          <w:p>
            <w:pPr>
              <w:pStyle w:val="12"/>
              <w:keepNext w:val="0"/>
              <w:keepLines w:val="0"/>
              <w:suppressLineNumbers w:val="0"/>
              <w:adjustRightInd w:val="0"/>
              <w:snapToGrid w:val="0"/>
              <w:spacing w:before="0" w:beforeAutospacing="0" w:after="0" w:afterAutospacing="0" w:line="360" w:lineRule="auto"/>
              <w:ind w:left="0" w:right="0"/>
              <w:rPr>
                <w:rFonts w:hint="eastAsia" w:ascii="Times New Roman" w:hAnsi="Times New Roman"/>
                <w:bCs w:val="0"/>
                <w:szCs w:val="21"/>
              </w:rPr>
            </w:pPr>
          </w:p>
          <w:p>
            <w:pPr>
              <w:pStyle w:val="12"/>
              <w:keepNext w:val="0"/>
              <w:keepLines w:val="0"/>
              <w:suppressLineNumbers w:val="0"/>
              <w:adjustRightInd w:val="0"/>
              <w:snapToGrid w:val="0"/>
              <w:spacing w:before="0" w:beforeAutospacing="0" w:after="0" w:afterAutospacing="0" w:line="360" w:lineRule="auto"/>
              <w:ind w:left="0" w:right="0"/>
              <w:rPr>
                <w:rFonts w:hint="eastAsia" w:ascii="Times New Roman" w:hAnsi="Times New Roman"/>
                <w:bCs w:val="0"/>
                <w:szCs w:val="21"/>
              </w:rPr>
            </w:pPr>
          </w:p>
          <w:p>
            <w:pPr>
              <w:pStyle w:val="12"/>
              <w:keepNext w:val="0"/>
              <w:keepLines w:val="0"/>
              <w:suppressLineNumbers w:val="0"/>
              <w:adjustRightInd w:val="0"/>
              <w:snapToGrid w:val="0"/>
              <w:spacing w:before="0" w:beforeAutospacing="0" w:after="0" w:afterAutospacing="0" w:line="360" w:lineRule="auto"/>
              <w:ind w:left="0" w:right="0"/>
              <w:rPr>
                <w:rFonts w:hint="eastAsia" w:ascii="Times New Roman" w:hAnsi="Times New Roman"/>
                <w:bCs w:val="0"/>
                <w:szCs w:val="21"/>
              </w:rPr>
            </w:pPr>
          </w:p>
          <w:p>
            <w:pPr>
              <w:pStyle w:val="12"/>
              <w:keepNext w:val="0"/>
              <w:keepLines w:val="0"/>
              <w:suppressLineNumbers w:val="0"/>
              <w:adjustRightInd w:val="0"/>
              <w:snapToGrid w:val="0"/>
              <w:spacing w:before="0" w:beforeAutospacing="0" w:after="0" w:afterAutospacing="0" w:line="360" w:lineRule="auto"/>
              <w:ind w:left="0" w:right="0"/>
              <w:rPr>
                <w:rFonts w:hint="eastAsia" w:ascii="Times New Roman" w:hAnsi="Times New Roman"/>
                <w:bCs w:val="0"/>
                <w:szCs w:val="21"/>
              </w:rPr>
            </w:pPr>
          </w:p>
          <w:p>
            <w:pPr>
              <w:pStyle w:val="12"/>
              <w:keepNext w:val="0"/>
              <w:keepLines w:val="0"/>
              <w:suppressLineNumbers w:val="0"/>
              <w:adjustRightInd w:val="0"/>
              <w:snapToGrid w:val="0"/>
              <w:spacing w:before="0" w:beforeAutospacing="0" w:after="0" w:afterAutospacing="0" w:line="360" w:lineRule="auto"/>
              <w:ind w:left="0" w:right="0"/>
              <w:rPr>
                <w:rFonts w:hint="eastAsia" w:ascii="Times New Roman" w:hAnsi="Times New Roman"/>
                <w:bCs w:val="0"/>
                <w:szCs w:val="21"/>
              </w:rPr>
            </w:pPr>
          </w:p>
          <w:p>
            <w:pPr>
              <w:pStyle w:val="12"/>
              <w:keepNext w:val="0"/>
              <w:keepLines w:val="0"/>
              <w:suppressLineNumbers w:val="0"/>
              <w:adjustRightInd w:val="0"/>
              <w:snapToGrid w:val="0"/>
              <w:spacing w:before="0" w:beforeAutospacing="0" w:after="0" w:afterAutospacing="0" w:line="360" w:lineRule="auto"/>
              <w:ind w:left="0" w:right="0"/>
              <w:rPr>
                <w:rFonts w:hint="eastAsia" w:ascii="Times New Roman" w:hAnsi="Times New Roman"/>
                <w:bCs w:val="0"/>
                <w:szCs w:val="21"/>
              </w:rPr>
            </w:pPr>
          </w:p>
          <w:p>
            <w:pPr>
              <w:pStyle w:val="12"/>
              <w:keepNext w:val="0"/>
              <w:keepLines w:val="0"/>
              <w:suppressLineNumbers w:val="0"/>
              <w:adjustRightInd w:val="0"/>
              <w:snapToGrid w:val="0"/>
              <w:spacing w:before="0" w:beforeAutospacing="0" w:after="0" w:afterAutospacing="0" w:line="360" w:lineRule="auto"/>
              <w:ind w:left="0" w:right="0"/>
              <w:rPr>
                <w:rFonts w:hint="eastAsia" w:ascii="Times New Roman" w:hAnsi="Times New Roman"/>
                <w:bCs w:val="0"/>
                <w:szCs w:val="21"/>
              </w:rPr>
            </w:pPr>
          </w:p>
          <w:p>
            <w:pPr>
              <w:pStyle w:val="12"/>
              <w:keepNext w:val="0"/>
              <w:keepLines w:val="0"/>
              <w:suppressLineNumbers w:val="0"/>
              <w:adjustRightInd w:val="0"/>
              <w:snapToGrid w:val="0"/>
              <w:spacing w:before="0" w:beforeAutospacing="0" w:after="0" w:afterAutospacing="0" w:line="360" w:lineRule="auto"/>
              <w:ind w:left="0" w:right="0"/>
              <w:rPr>
                <w:rFonts w:hint="eastAsia" w:ascii="Times New Roman" w:hAnsi="Times New Roman"/>
                <w:bCs w:val="0"/>
                <w:szCs w:val="21"/>
              </w:rPr>
            </w:pPr>
          </w:p>
          <w:p>
            <w:pPr>
              <w:pStyle w:val="12"/>
              <w:keepNext w:val="0"/>
              <w:keepLines w:val="0"/>
              <w:suppressLineNumbers w:val="0"/>
              <w:adjustRightInd w:val="0"/>
              <w:snapToGrid w:val="0"/>
              <w:spacing w:before="0" w:beforeAutospacing="0" w:after="0" w:afterAutospacing="0" w:line="360" w:lineRule="auto"/>
              <w:ind w:left="0" w:right="0"/>
              <w:rPr>
                <w:rFonts w:ascii="Times New Roman" w:hAnsi="Times New Roman"/>
                <w:bCs w:val="0"/>
                <w:szCs w:val="21"/>
              </w:rPr>
            </w:pPr>
          </w:p>
          <w:p>
            <w:pPr>
              <w:pStyle w:val="12"/>
              <w:keepNext w:val="0"/>
              <w:keepLines w:val="0"/>
              <w:suppressLineNumbers w:val="0"/>
              <w:adjustRightInd w:val="0"/>
              <w:snapToGrid w:val="0"/>
              <w:spacing w:before="0" w:beforeAutospacing="0" w:after="0" w:afterAutospacing="0" w:line="360" w:lineRule="auto"/>
              <w:ind w:left="0" w:right="0"/>
              <w:rPr>
                <w:rFonts w:ascii="Times New Roman" w:hAnsi="Times New Roman"/>
                <w:bCs w:val="0"/>
                <w:szCs w:val="21"/>
              </w:rPr>
            </w:pPr>
          </w:p>
        </w:tc>
      </w:tr>
    </w:tbl>
    <w:p>
      <w:pPr>
        <w:pStyle w:val="18"/>
        <w:jc w:val="center"/>
        <w:rPr>
          <w:rFonts w:ascii="黑体" w:hAnsi="黑体" w:eastAsia="黑体"/>
          <w:snapToGrid w:val="0"/>
          <w:sz w:val="36"/>
          <w:szCs w:val="36"/>
        </w:rPr>
        <w:sectPr>
          <w:footerReference r:id="rId7" w:type="default"/>
          <w:pgSz w:w="11906" w:h="16838"/>
          <w:pgMar w:top="1701" w:right="1531" w:bottom="1701" w:left="1531" w:header="851" w:footer="851" w:gutter="0"/>
          <w:cols w:space="720" w:num="1"/>
          <w:docGrid w:linePitch="312" w:charSpace="0"/>
        </w:sectPr>
      </w:pPr>
    </w:p>
    <w:p>
      <w:pPr>
        <w:pStyle w:val="18"/>
        <w:adjustRightInd w:val="0"/>
        <w:snapToGrid w:val="0"/>
        <w:spacing w:before="0" w:beforeAutospacing="0" w:after="0" w:afterAutospacing="0" w:line="14" w:lineRule="auto"/>
        <w:jc w:val="center"/>
        <w:outlineLvl w:val="9"/>
        <w:rPr>
          <w:rFonts w:ascii="黑体" w:hAnsi="黑体" w:eastAsia="黑体"/>
          <w:snapToGrid w:val="0"/>
          <w:sz w:val="30"/>
          <w:szCs w:val="30"/>
        </w:rPr>
      </w:pPr>
    </w:p>
    <w:p>
      <w:pPr>
        <w:pStyle w:val="18"/>
        <w:spacing w:before="0" w:beforeAutospacing="0" w:after="0" w:afterAutospacing="0"/>
        <w:jc w:val="center"/>
        <w:outlineLvl w:val="0"/>
        <w:rPr>
          <w:rFonts w:ascii="黑体" w:hAnsi="黑体" w:eastAsia="黑体"/>
          <w:snapToGrid w:val="0"/>
          <w:sz w:val="30"/>
          <w:szCs w:val="30"/>
        </w:rPr>
      </w:pPr>
      <w:bookmarkStart w:id="4" w:name="_Toc26313"/>
      <w:r>
        <w:rPr>
          <w:rFonts w:hint="eastAsia" w:ascii="黑体" w:hAnsi="黑体" w:eastAsia="黑体"/>
          <w:snapToGrid w:val="0"/>
          <w:sz w:val="30"/>
          <w:szCs w:val="30"/>
        </w:rPr>
        <w:t>三、区域环境质量现状、环境保护目标及评价标准</w:t>
      </w:r>
      <w:bookmarkEnd w:id="4"/>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0"/>
        <w:gridCol w:w="8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800"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kern w:val="0"/>
                <w:szCs w:val="21"/>
              </w:rPr>
            </w:pPr>
            <w:r>
              <w:rPr>
                <w:rFonts w:hint="eastAsia" w:ascii="宋体" w:hAnsi="宋体" w:cs="宋体"/>
                <w:kern w:val="0"/>
                <w:szCs w:val="21"/>
              </w:rPr>
              <w:t>区域</w:t>
            </w:r>
          </w:p>
          <w:p>
            <w:pPr>
              <w:keepNext w:val="0"/>
              <w:keepLines w:val="0"/>
              <w:suppressLineNumbers w:val="0"/>
              <w:adjustRightInd w:val="0"/>
              <w:snapToGrid w:val="0"/>
              <w:spacing w:before="0" w:beforeAutospacing="0" w:after="0" w:afterAutospacing="0"/>
              <w:ind w:left="0" w:right="0"/>
              <w:jc w:val="center"/>
              <w:rPr>
                <w:rFonts w:ascii="宋体" w:hAnsi="宋体" w:cs="宋体"/>
                <w:kern w:val="0"/>
                <w:szCs w:val="21"/>
              </w:rPr>
            </w:pPr>
            <w:r>
              <w:rPr>
                <w:rFonts w:hint="eastAsia" w:ascii="宋体" w:hAnsi="宋体" w:cs="宋体"/>
                <w:kern w:val="0"/>
                <w:szCs w:val="21"/>
              </w:rPr>
              <w:t>环境</w:t>
            </w:r>
          </w:p>
          <w:p>
            <w:pPr>
              <w:keepNext w:val="0"/>
              <w:keepLines w:val="0"/>
              <w:suppressLineNumbers w:val="0"/>
              <w:adjustRightInd w:val="0"/>
              <w:snapToGrid w:val="0"/>
              <w:spacing w:before="0" w:beforeAutospacing="0" w:after="0" w:afterAutospacing="0"/>
              <w:ind w:left="0" w:right="0"/>
              <w:jc w:val="center"/>
              <w:rPr>
                <w:rFonts w:ascii="宋体" w:hAnsi="宋体" w:cs="宋体"/>
                <w:kern w:val="0"/>
                <w:szCs w:val="21"/>
              </w:rPr>
            </w:pPr>
            <w:r>
              <w:rPr>
                <w:rFonts w:hint="eastAsia" w:ascii="宋体" w:hAnsi="宋体" w:cs="宋体"/>
                <w:kern w:val="0"/>
                <w:szCs w:val="21"/>
              </w:rPr>
              <w:t>质量</w:t>
            </w:r>
          </w:p>
          <w:p>
            <w:pPr>
              <w:keepNext w:val="0"/>
              <w:keepLines w:val="0"/>
              <w:suppressLineNumbers w:val="0"/>
              <w:adjustRightInd w:val="0"/>
              <w:snapToGrid w:val="0"/>
              <w:spacing w:before="0" w:beforeAutospacing="0" w:after="0" w:afterAutospacing="0"/>
              <w:ind w:left="0" w:right="0"/>
              <w:jc w:val="center"/>
              <w:rPr>
                <w:rFonts w:ascii="宋体" w:hAnsi="宋体" w:cs="宋体"/>
                <w:kern w:val="0"/>
                <w:szCs w:val="21"/>
              </w:rPr>
            </w:pPr>
            <w:r>
              <w:rPr>
                <w:rFonts w:hint="eastAsia" w:ascii="宋体" w:hAnsi="宋体" w:cs="宋体"/>
                <w:kern w:val="0"/>
                <w:szCs w:val="21"/>
              </w:rPr>
              <w:t>现状</w:t>
            </w:r>
          </w:p>
        </w:tc>
        <w:tc>
          <w:tcPr>
            <w:tcW w:w="8190" w:type="dxa"/>
            <w:vAlign w:val="center"/>
          </w:tcPr>
          <w:p>
            <w:pPr>
              <w:keepNext w:val="0"/>
              <w:keepLines w:val="0"/>
              <w:suppressLineNumbers w:val="0"/>
              <w:spacing w:before="0" w:beforeAutospacing="0" w:after="0" w:afterAutospacing="0" w:line="360" w:lineRule="auto"/>
              <w:ind w:left="0" w:right="0"/>
              <w:rPr>
                <w:b/>
                <w:bCs/>
                <w:sz w:val="24"/>
              </w:rPr>
            </w:pPr>
            <w:r>
              <w:rPr>
                <w:b/>
                <w:bCs/>
                <w:sz w:val="24"/>
              </w:rPr>
              <w:t>1</w:t>
            </w:r>
            <w:r>
              <w:rPr>
                <w:rFonts w:hint="eastAsia"/>
                <w:b/>
                <w:bCs/>
                <w:sz w:val="24"/>
              </w:rPr>
              <w:t>、</w:t>
            </w:r>
            <w:r>
              <w:rPr>
                <w:b/>
                <w:bCs/>
                <w:sz w:val="24"/>
              </w:rPr>
              <w:t>环境空气质量现状</w:t>
            </w:r>
          </w:p>
          <w:p>
            <w:pPr>
              <w:keepNext w:val="0"/>
              <w:keepLines w:val="0"/>
              <w:suppressLineNumbers w:val="0"/>
              <w:spacing w:before="0" w:beforeAutospacing="0" w:after="0" w:afterAutospacing="0" w:line="360" w:lineRule="auto"/>
              <w:ind w:left="0" w:right="0" w:firstLine="480" w:firstLineChars="200"/>
              <w:rPr>
                <w:sz w:val="24"/>
              </w:rPr>
            </w:pPr>
            <w:r>
              <w:rPr>
                <w:sz w:val="24"/>
              </w:rPr>
              <w:t>（1）区域达标判定</w:t>
            </w:r>
          </w:p>
          <w:p>
            <w:pPr>
              <w:keepNext w:val="0"/>
              <w:keepLines w:val="0"/>
              <w:suppressLineNumbers w:val="0"/>
              <w:spacing w:before="0" w:beforeAutospacing="0" w:after="0" w:afterAutospacing="0" w:line="360" w:lineRule="auto"/>
              <w:ind w:left="0" w:right="0" w:firstLine="480" w:firstLineChars="200"/>
              <w:rPr>
                <w:sz w:val="24"/>
                <w:szCs w:val="22"/>
              </w:rPr>
            </w:pPr>
            <w:r>
              <w:rPr>
                <w:sz w:val="24"/>
                <w:szCs w:val="22"/>
              </w:rPr>
              <w:t>根据《环境影响评价技术导则大气环境》（HJ2.2-2018），项目所在区域达标情况判定优先采用国家或地方生态环境主管部门公开发布的环境质量报告或环境质量报告书中的数据或结论。</w:t>
            </w:r>
          </w:p>
          <w:p>
            <w:pPr>
              <w:keepNext w:val="0"/>
              <w:keepLines w:val="0"/>
              <w:suppressLineNumbers w:val="0"/>
              <w:spacing w:before="0" w:beforeAutospacing="0" w:after="0" w:afterAutospacing="0" w:line="360" w:lineRule="auto"/>
              <w:ind w:left="0" w:right="0" w:firstLine="480" w:firstLineChars="200"/>
              <w:rPr>
                <w:sz w:val="24"/>
                <w:szCs w:val="22"/>
              </w:rPr>
            </w:pPr>
            <w:r>
              <w:rPr>
                <w:sz w:val="24"/>
                <w:szCs w:val="22"/>
              </w:rPr>
              <w:t>本次评价选取20</w:t>
            </w:r>
            <w:r>
              <w:rPr>
                <w:rFonts w:hint="eastAsia"/>
                <w:sz w:val="24"/>
                <w:szCs w:val="22"/>
              </w:rPr>
              <w:t>2</w:t>
            </w:r>
            <w:r>
              <w:rPr>
                <w:rFonts w:hint="eastAsia"/>
                <w:sz w:val="24"/>
                <w:szCs w:val="22"/>
                <w:lang w:val="en-US" w:eastAsia="zh-CN"/>
              </w:rPr>
              <w:t>1</w:t>
            </w:r>
            <w:r>
              <w:rPr>
                <w:sz w:val="24"/>
                <w:szCs w:val="22"/>
              </w:rPr>
              <w:t>年作为评价基准年，根据《</w:t>
            </w:r>
            <w:r>
              <w:rPr>
                <w:rFonts w:hint="eastAsia"/>
                <w:sz w:val="24"/>
                <w:szCs w:val="22"/>
              </w:rPr>
              <w:t>202</w:t>
            </w:r>
            <w:r>
              <w:rPr>
                <w:rFonts w:hint="eastAsia"/>
                <w:sz w:val="24"/>
                <w:szCs w:val="22"/>
                <w:lang w:val="en-US" w:eastAsia="zh-CN"/>
              </w:rPr>
              <w:t>1</w:t>
            </w:r>
            <w:r>
              <w:rPr>
                <w:rFonts w:hint="eastAsia"/>
                <w:sz w:val="24"/>
                <w:szCs w:val="22"/>
              </w:rPr>
              <w:t>常州市生态环境状况公报</w:t>
            </w:r>
            <w:r>
              <w:rPr>
                <w:sz w:val="24"/>
                <w:szCs w:val="22"/>
              </w:rPr>
              <w:t>》项目所在区域常州市各评价因子数据见表</w:t>
            </w:r>
            <w:r>
              <w:rPr>
                <w:rFonts w:hint="eastAsia"/>
                <w:sz w:val="24"/>
                <w:szCs w:val="22"/>
              </w:rPr>
              <w:t>3-1</w:t>
            </w:r>
            <w:r>
              <w:rPr>
                <w:sz w:val="24"/>
                <w:szCs w:val="22"/>
              </w:rPr>
              <w:t>。</w:t>
            </w:r>
          </w:p>
          <w:p>
            <w:pPr>
              <w:keepNext w:val="0"/>
              <w:keepLines w:val="0"/>
              <w:suppressLineNumbers w:val="0"/>
              <w:spacing w:before="0" w:beforeAutospacing="0" w:after="0" w:afterAutospacing="0"/>
              <w:ind w:left="0" w:right="0"/>
              <w:jc w:val="center"/>
              <w:rPr>
                <w:b/>
                <w:sz w:val="24"/>
              </w:rPr>
            </w:pPr>
            <w:r>
              <w:rPr>
                <w:b/>
                <w:sz w:val="24"/>
              </w:rPr>
              <w:t>表</w:t>
            </w:r>
            <w:r>
              <w:rPr>
                <w:rFonts w:hint="eastAsia"/>
                <w:b/>
                <w:sz w:val="24"/>
              </w:rPr>
              <w:t>3-1</w:t>
            </w:r>
            <w:r>
              <w:rPr>
                <w:b/>
                <w:sz w:val="24"/>
              </w:rPr>
              <w:t xml:space="preserve"> 环境空气质量现状</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79" w:type="dxa"/>
                <w:bottom w:w="0" w:type="dxa"/>
                <w:right w:w="79" w:type="dxa"/>
              </w:tblCellMar>
            </w:tblPr>
            <w:tblGrid>
              <w:gridCol w:w="595"/>
              <w:gridCol w:w="754"/>
              <w:gridCol w:w="2262"/>
              <w:gridCol w:w="1352"/>
              <w:gridCol w:w="1143"/>
              <w:gridCol w:w="972"/>
              <w:gridCol w:w="89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cantSplit/>
                <w:trHeight w:val="340" w:hRule="atLeast"/>
                <w:jc w:val="center"/>
              </w:trPr>
              <w:tc>
                <w:tcPr>
                  <w:tcW w:w="373" w:type="pct"/>
                  <w:vAlign w:val="center"/>
                </w:tcPr>
                <w:p>
                  <w:pPr>
                    <w:keepNext w:val="0"/>
                    <w:keepLines w:val="0"/>
                    <w:suppressLineNumbers w:val="0"/>
                    <w:snapToGrid w:val="0"/>
                    <w:spacing w:before="0" w:beforeAutospacing="0" w:after="0" w:afterAutospacing="0"/>
                    <w:ind w:left="0" w:right="0"/>
                    <w:jc w:val="center"/>
                    <w:rPr>
                      <w:b/>
                      <w:szCs w:val="21"/>
                    </w:rPr>
                  </w:pPr>
                  <w:r>
                    <w:rPr>
                      <w:b/>
                      <w:szCs w:val="21"/>
                    </w:rPr>
                    <w:t>区域</w:t>
                  </w:r>
                </w:p>
              </w:tc>
              <w:tc>
                <w:tcPr>
                  <w:tcW w:w="472" w:type="pct"/>
                  <w:vAlign w:val="center"/>
                </w:tcPr>
                <w:p>
                  <w:pPr>
                    <w:keepNext w:val="0"/>
                    <w:keepLines w:val="0"/>
                    <w:suppressLineNumbers w:val="0"/>
                    <w:snapToGrid w:val="0"/>
                    <w:spacing w:before="0" w:beforeAutospacing="0" w:after="0" w:afterAutospacing="0"/>
                    <w:ind w:left="0" w:right="0"/>
                    <w:jc w:val="center"/>
                    <w:rPr>
                      <w:b/>
                      <w:szCs w:val="21"/>
                    </w:rPr>
                  </w:pPr>
                  <w:r>
                    <w:rPr>
                      <w:b/>
                      <w:szCs w:val="21"/>
                    </w:rPr>
                    <w:t>评价因子</w:t>
                  </w:r>
                </w:p>
              </w:tc>
              <w:tc>
                <w:tcPr>
                  <w:tcW w:w="1417" w:type="pct"/>
                  <w:vAlign w:val="center"/>
                </w:tcPr>
                <w:p>
                  <w:pPr>
                    <w:keepNext w:val="0"/>
                    <w:keepLines w:val="0"/>
                    <w:suppressLineNumbers w:val="0"/>
                    <w:snapToGrid w:val="0"/>
                    <w:spacing w:before="0" w:beforeAutospacing="0" w:after="0" w:afterAutospacing="0"/>
                    <w:ind w:left="0" w:right="0"/>
                    <w:jc w:val="center"/>
                    <w:rPr>
                      <w:b/>
                      <w:szCs w:val="21"/>
                      <w:vertAlign w:val="subscript"/>
                    </w:rPr>
                  </w:pPr>
                  <w:r>
                    <w:rPr>
                      <w:b/>
                      <w:szCs w:val="21"/>
                    </w:rPr>
                    <w:t>平均时段</w:t>
                  </w:r>
                </w:p>
              </w:tc>
              <w:tc>
                <w:tcPr>
                  <w:tcW w:w="847" w:type="pct"/>
                  <w:vAlign w:val="center"/>
                </w:tcPr>
                <w:p>
                  <w:pPr>
                    <w:keepNext w:val="0"/>
                    <w:keepLines w:val="0"/>
                    <w:suppressLineNumbers w:val="0"/>
                    <w:snapToGrid w:val="0"/>
                    <w:spacing w:before="0" w:beforeAutospacing="0" w:after="0" w:afterAutospacing="0"/>
                    <w:ind w:left="0" w:right="0"/>
                    <w:jc w:val="center"/>
                    <w:rPr>
                      <w:b/>
                      <w:szCs w:val="21"/>
                    </w:rPr>
                  </w:pPr>
                  <w:r>
                    <w:rPr>
                      <w:b/>
                      <w:szCs w:val="21"/>
                    </w:rPr>
                    <w:t>现状浓度（ug/m</w:t>
                  </w:r>
                  <w:r>
                    <w:rPr>
                      <w:b/>
                      <w:szCs w:val="21"/>
                      <w:vertAlign w:val="superscript"/>
                    </w:rPr>
                    <w:t>3</w:t>
                  </w:r>
                  <w:r>
                    <w:rPr>
                      <w:b/>
                      <w:szCs w:val="21"/>
                    </w:rPr>
                    <w:t>）</w:t>
                  </w:r>
                </w:p>
              </w:tc>
              <w:tc>
                <w:tcPr>
                  <w:tcW w:w="716" w:type="pct"/>
                  <w:vAlign w:val="center"/>
                </w:tcPr>
                <w:p>
                  <w:pPr>
                    <w:keepNext w:val="0"/>
                    <w:keepLines w:val="0"/>
                    <w:suppressLineNumbers w:val="0"/>
                    <w:snapToGrid w:val="0"/>
                    <w:spacing w:before="0" w:beforeAutospacing="0" w:after="0" w:afterAutospacing="0"/>
                    <w:ind w:left="0" w:right="0"/>
                    <w:jc w:val="center"/>
                    <w:rPr>
                      <w:b/>
                      <w:szCs w:val="21"/>
                    </w:rPr>
                  </w:pPr>
                  <w:r>
                    <w:rPr>
                      <w:b/>
                      <w:szCs w:val="21"/>
                    </w:rPr>
                    <w:t>标准值（ug/m</w:t>
                  </w:r>
                  <w:r>
                    <w:rPr>
                      <w:b/>
                      <w:szCs w:val="21"/>
                      <w:vertAlign w:val="superscript"/>
                    </w:rPr>
                    <w:t>3</w:t>
                  </w:r>
                  <w:r>
                    <w:rPr>
                      <w:b/>
                      <w:szCs w:val="21"/>
                    </w:rPr>
                    <w:t>）</w:t>
                  </w:r>
                </w:p>
              </w:tc>
              <w:tc>
                <w:tcPr>
                  <w:tcW w:w="609" w:type="pct"/>
                  <w:vAlign w:val="center"/>
                </w:tcPr>
                <w:p>
                  <w:pPr>
                    <w:keepNext w:val="0"/>
                    <w:keepLines w:val="0"/>
                    <w:suppressLineNumbers w:val="0"/>
                    <w:snapToGrid w:val="0"/>
                    <w:spacing w:before="0" w:beforeAutospacing="0" w:after="0" w:afterAutospacing="0"/>
                    <w:ind w:left="0" w:right="0"/>
                    <w:jc w:val="center"/>
                    <w:rPr>
                      <w:b/>
                      <w:szCs w:val="21"/>
                    </w:rPr>
                  </w:pPr>
                  <w:r>
                    <w:rPr>
                      <w:b/>
                      <w:szCs w:val="21"/>
                    </w:rPr>
                    <w:t>超标</w:t>
                  </w:r>
                </w:p>
                <w:p>
                  <w:pPr>
                    <w:keepNext w:val="0"/>
                    <w:keepLines w:val="0"/>
                    <w:suppressLineNumbers w:val="0"/>
                    <w:snapToGrid w:val="0"/>
                    <w:spacing w:before="0" w:beforeAutospacing="0" w:after="0" w:afterAutospacing="0"/>
                    <w:ind w:left="0" w:right="0"/>
                    <w:jc w:val="center"/>
                    <w:rPr>
                      <w:b/>
                      <w:szCs w:val="21"/>
                    </w:rPr>
                  </w:pPr>
                  <w:r>
                    <w:rPr>
                      <w:b/>
                      <w:szCs w:val="21"/>
                    </w:rPr>
                    <w:t>倍数</w:t>
                  </w:r>
                </w:p>
              </w:tc>
              <w:tc>
                <w:tcPr>
                  <w:tcW w:w="561" w:type="pct"/>
                  <w:vAlign w:val="center"/>
                </w:tcPr>
                <w:p>
                  <w:pPr>
                    <w:keepNext w:val="0"/>
                    <w:keepLines w:val="0"/>
                    <w:suppressLineNumbers w:val="0"/>
                    <w:snapToGrid w:val="0"/>
                    <w:spacing w:before="0" w:beforeAutospacing="0" w:after="0" w:afterAutospacing="0"/>
                    <w:ind w:left="0" w:right="0"/>
                    <w:jc w:val="center"/>
                    <w:rPr>
                      <w:b/>
                      <w:szCs w:val="21"/>
                    </w:rPr>
                  </w:pPr>
                  <w:r>
                    <w:rPr>
                      <w:b/>
                      <w:szCs w:val="21"/>
                    </w:rPr>
                    <w:t>达标</w:t>
                  </w:r>
                </w:p>
                <w:p>
                  <w:pPr>
                    <w:keepNext w:val="0"/>
                    <w:keepLines w:val="0"/>
                    <w:suppressLineNumbers w:val="0"/>
                    <w:snapToGrid w:val="0"/>
                    <w:spacing w:before="0" w:beforeAutospacing="0" w:after="0" w:afterAutospacing="0"/>
                    <w:ind w:left="0" w:right="0"/>
                    <w:jc w:val="center"/>
                    <w:rPr>
                      <w:b/>
                      <w:szCs w:val="21"/>
                    </w:rPr>
                  </w:pPr>
                  <w:r>
                    <w:rPr>
                      <w:b/>
                      <w:szCs w:val="21"/>
                    </w:rPr>
                    <w:t>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cantSplit/>
                <w:trHeight w:val="340" w:hRule="atLeast"/>
                <w:jc w:val="center"/>
              </w:trPr>
              <w:tc>
                <w:tcPr>
                  <w:tcW w:w="373" w:type="pct"/>
                  <w:vMerge w:val="restart"/>
                  <w:vAlign w:val="center"/>
                </w:tcPr>
                <w:p>
                  <w:pPr>
                    <w:keepNext w:val="0"/>
                    <w:keepLines w:val="0"/>
                    <w:suppressLineNumbers w:val="0"/>
                    <w:adjustRightInd w:val="0"/>
                    <w:snapToGrid w:val="0"/>
                    <w:spacing w:before="0" w:beforeAutospacing="0" w:after="0" w:afterAutospacing="0"/>
                    <w:ind w:left="0" w:right="92"/>
                    <w:jc w:val="center"/>
                  </w:pPr>
                  <w:r>
                    <w:t>常</w:t>
                  </w:r>
                  <w:r>
                    <w:rPr>
                      <w:bCs/>
                      <w:szCs w:val="21"/>
                    </w:rPr>
                    <w:t>州</w:t>
                  </w:r>
                  <w:r>
                    <w:t>全市</w:t>
                  </w:r>
                </w:p>
                <w:p>
                  <w:pPr>
                    <w:pStyle w:val="2"/>
                    <w:keepNext w:val="0"/>
                    <w:keepLines w:val="0"/>
                    <w:suppressLineNumbers w:val="0"/>
                    <w:spacing w:before="0" w:beforeAutospacing="0" w:afterAutospacing="0"/>
                    <w:ind w:left="1470" w:right="1470"/>
                    <w:jc w:val="center"/>
                    <w:rPr>
                      <w:rFonts w:ascii="Times New Roman" w:hAnsi="Times New Roman"/>
                    </w:rPr>
                  </w:pPr>
                </w:p>
              </w:tc>
              <w:tc>
                <w:tcPr>
                  <w:tcW w:w="472" w:type="pct"/>
                  <w:vMerge w:val="restart"/>
                  <w:vAlign w:val="center"/>
                </w:tcPr>
                <w:p>
                  <w:pPr>
                    <w:keepNext w:val="0"/>
                    <w:keepLines w:val="0"/>
                    <w:suppressLineNumbers w:val="0"/>
                    <w:adjustRightInd w:val="0"/>
                    <w:snapToGrid w:val="0"/>
                    <w:spacing w:before="0" w:beforeAutospacing="0" w:after="0" w:afterAutospacing="0"/>
                    <w:ind w:left="0" w:right="92"/>
                    <w:jc w:val="center"/>
                    <w:rPr>
                      <w:bCs/>
                      <w:szCs w:val="21"/>
                    </w:rPr>
                  </w:pPr>
                  <w:r>
                    <w:rPr>
                      <w:bCs/>
                      <w:szCs w:val="21"/>
                    </w:rPr>
                    <w:t>SO</w:t>
                  </w:r>
                  <w:r>
                    <w:rPr>
                      <w:bCs/>
                      <w:szCs w:val="21"/>
                      <w:vertAlign w:val="subscript"/>
                    </w:rPr>
                    <w:t>2</w:t>
                  </w:r>
                </w:p>
              </w:tc>
              <w:tc>
                <w:tcPr>
                  <w:tcW w:w="1417" w:type="pct"/>
                  <w:vAlign w:val="center"/>
                </w:tcPr>
                <w:p>
                  <w:pPr>
                    <w:keepNext w:val="0"/>
                    <w:keepLines w:val="0"/>
                    <w:suppressLineNumbers w:val="0"/>
                    <w:snapToGrid w:val="0"/>
                    <w:spacing w:before="0" w:beforeAutospacing="0" w:after="0" w:afterAutospacing="0"/>
                    <w:ind w:left="0" w:right="0"/>
                    <w:jc w:val="center"/>
                    <w:rPr>
                      <w:bCs/>
                      <w:szCs w:val="21"/>
                    </w:rPr>
                  </w:pPr>
                  <w:r>
                    <w:rPr>
                      <w:bCs/>
                      <w:szCs w:val="21"/>
                    </w:rPr>
                    <w:t>年均值</w:t>
                  </w:r>
                </w:p>
              </w:tc>
              <w:tc>
                <w:tcPr>
                  <w:tcW w:w="847" w:type="pct"/>
                  <w:vAlign w:val="center"/>
                </w:tcPr>
                <w:p>
                  <w:pPr>
                    <w:keepNext w:val="0"/>
                    <w:keepLines w:val="0"/>
                    <w:suppressLineNumbers w:val="0"/>
                    <w:snapToGrid w:val="0"/>
                    <w:spacing w:before="0" w:beforeAutospacing="0" w:after="0" w:afterAutospacing="0"/>
                    <w:ind w:left="0" w:right="0"/>
                    <w:jc w:val="center"/>
                    <w:rPr>
                      <w:bCs/>
                      <w:szCs w:val="21"/>
                    </w:rPr>
                  </w:pPr>
                  <w:r>
                    <w:rPr>
                      <w:bCs/>
                      <w:szCs w:val="21"/>
                    </w:rPr>
                    <w:t>9</w:t>
                  </w:r>
                </w:p>
              </w:tc>
              <w:tc>
                <w:tcPr>
                  <w:tcW w:w="716" w:type="pct"/>
                  <w:vAlign w:val="center"/>
                </w:tcPr>
                <w:p>
                  <w:pPr>
                    <w:keepNext w:val="0"/>
                    <w:keepLines w:val="0"/>
                    <w:suppressLineNumbers w:val="0"/>
                    <w:snapToGrid w:val="0"/>
                    <w:spacing w:before="0" w:beforeAutospacing="0" w:after="0" w:afterAutospacing="0"/>
                    <w:ind w:left="0" w:right="0"/>
                    <w:jc w:val="center"/>
                    <w:rPr>
                      <w:bCs/>
                      <w:szCs w:val="21"/>
                    </w:rPr>
                  </w:pPr>
                  <w:r>
                    <w:rPr>
                      <w:bCs/>
                      <w:szCs w:val="21"/>
                    </w:rPr>
                    <w:t>60</w:t>
                  </w:r>
                </w:p>
              </w:tc>
              <w:tc>
                <w:tcPr>
                  <w:tcW w:w="609" w:type="pct"/>
                  <w:vAlign w:val="center"/>
                </w:tcPr>
                <w:p>
                  <w:pPr>
                    <w:keepNext w:val="0"/>
                    <w:keepLines w:val="0"/>
                    <w:suppressLineNumbers w:val="0"/>
                    <w:snapToGrid w:val="0"/>
                    <w:spacing w:before="0" w:beforeAutospacing="0" w:after="0" w:afterAutospacing="0"/>
                    <w:ind w:left="0" w:right="0"/>
                    <w:jc w:val="center"/>
                    <w:rPr>
                      <w:bCs/>
                      <w:szCs w:val="21"/>
                    </w:rPr>
                  </w:pPr>
                  <w:r>
                    <w:rPr>
                      <w:bCs/>
                      <w:szCs w:val="21"/>
                    </w:rPr>
                    <w:t>/</w:t>
                  </w:r>
                </w:p>
              </w:tc>
              <w:tc>
                <w:tcPr>
                  <w:tcW w:w="561" w:type="pct"/>
                  <w:vAlign w:val="center"/>
                </w:tcPr>
                <w:p>
                  <w:pPr>
                    <w:keepNext w:val="0"/>
                    <w:keepLines w:val="0"/>
                    <w:suppressLineNumbers w:val="0"/>
                    <w:snapToGrid w:val="0"/>
                    <w:spacing w:before="0" w:beforeAutospacing="0" w:after="0" w:afterAutospacing="0"/>
                    <w:ind w:left="0" w:right="0"/>
                    <w:jc w:val="center"/>
                    <w:rPr>
                      <w:bCs/>
                      <w:szCs w:val="21"/>
                    </w:rPr>
                  </w:pPr>
                  <w:r>
                    <w:rPr>
                      <w:bCs/>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cantSplit/>
                <w:trHeight w:val="340" w:hRule="atLeast"/>
                <w:jc w:val="center"/>
              </w:trPr>
              <w:tc>
                <w:tcPr>
                  <w:tcW w:w="373" w:type="pct"/>
                  <w:vMerge w:val="continue"/>
                  <w:vAlign w:val="center"/>
                </w:tcPr>
                <w:p>
                  <w:pPr>
                    <w:pStyle w:val="2"/>
                    <w:keepNext w:val="0"/>
                    <w:keepLines w:val="0"/>
                    <w:suppressLineNumbers w:val="0"/>
                    <w:spacing w:before="0" w:beforeAutospacing="0" w:afterAutospacing="0"/>
                    <w:ind w:left="1470" w:right="1470"/>
                    <w:jc w:val="center"/>
                    <w:rPr>
                      <w:rFonts w:ascii="Times New Roman" w:hAnsi="Times New Roman"/>
                    </w:rPr>
                  </w:pPr>
                </w:p>
              </w:tc>
              <w:tc>
                <w:tcPr>
                  <w:tcW w:w="472" w:type="pct"/>
                  <w:vMerge w:val="continue"/>
                  <w:vAlign w:val="center"/>
                </w:tcPr>
                <w:p>
                  <w:pPr>
                    <w:keepNext w:val="0"/>
                    <w:keepLines w:val="0"/>
                    <w:suppressLineNumbers w:val="0"/>
                    <w:adjustRightInd w:val="0"/>
                    <w:snapToGrid w:val="0"/>
                    <w:spacing w:before="0" w:beforeAutospacing="0" w:after="0" w:afterAutospacing="0"/>
                    <w:ind w:left="0" w:right="92"/>
                    <w:jc w:val="center"/>
                    <w:rPr>
                      <w:bCs/>
                      <w:szCs w:val="21"/>
                    </w:rPr>
                  </w:pPr>
                </w:p>
              </w:tc>
              <w:tc>
                <w:tcPr>
                  <w:tcW w:w="1417" w:type="pct"/>
                  <w:vAlign w:val="center"/>
                </w:tcPr>
                <w:p>
                  <w:pPr>
                    <w:keepNext w:val="0"/>
                    <w:keepLines w:val="0"/>
                    <w:suppressLineNumbers w:val="0"/>
                    <w:snapToGrid w:val="0"/>
                    <w:spacing w:before="0" w:beforeAutospacing="0" w:after="0" w:afterAutospacing="0"/>
                    <w:ind w:left="0" w:right="0"/>
                    <w:jc w:val="center"/>
                    <w:rPr>
                      <w:bCs/>
                      <w:szCs w:val="21"/>
                    </w:rPr>
                  </w:pPr>
                  <w:r>
                    <w:rPr>
                      <w:bCs/>
                      <w:szCs w:val="21"/>
                    </w:rPr>
                    <w:t>日均值浓度范围</w:t>
                  </w:r>
                </w:p>
              </w:tc>
              <w:tc>
                <w:tcPr>
                  <w:tcW w:w="847" w:type="pct"/>
                  <w:vAlign w:val="center"/>
                </w:tcPr>
                <w:p>
                  <w:pPr>
                    <w:keepNext w:val="0"/>
                    <w:keepLines w:val="0"/>
                    <w:suppressLineNumbers w:val="0"/>
                    <w:snapToGrid w:val="0"/>
                    <w:spacing w:before="0" w:beforeAutospacing="0" w:after="0" w:afterAutospacing="0"/>
                    <w:ind w:left="0" w:right="0"/>
                    <w:jc w:val="center"/>
                    <w:rPr>
                      <w:rFonts w:hint="default" w:eastAsia="宋体"/>
                      <w:bCs/>
                      <w:szCs w:val="21"/>
                      <w:lang w:val="en-US" w:eastAsia="zh-CN"/>
                    </w:rPr>
                  </w:pPr>
                  <w:r>
                    <w:rPr>
                      <w:rFonts w:hint="eastAsia"/>
                      <w:bCs/>
                      <w:szCs w:val="21"/>
                      <w:lang w:val="en-US" w:eastAsia="zh-CN"/>
                    </w:rPr>
                    <w:t>5</w:t>
                  </w:r>
                  <w:r>
                    <w:rPr>
                      <w:bCs/>
                      <w:szCs w:val="21"/>
                    </w:rPr>
                    <w:t>～</w:t>
                  </w:r>
                  <w:r>
                    <w:rPr>
                      <w:rFonts w:hint="eastAsia"/>
                      <w:bCs/>
                      <w:szCs w:val="21"/>
                      <w:lang w:val="en-US" w:eastAsia="zh-CN"/>
                    </w:rPr>
                    <w:t>21</w:t>
                  </w:r>
                </w:p>
              </w:tc>
              <w:tc>
                <w:tcPr>
                  <w:tcW w:w="716" w:type="pct"/>
                  <w:vAlign w:val="center"/>
                </w:tcPr>
                <w:p>
                  <w:pPr>
                    <w:keepNext w:val="0"/>
                    <w:keepLines w:val="0"/>
                    <w:suppressLineNumbers w:val="0"/>
                    <w:snapToGrid w:val="0"/>
                    <w:spacing w:before="0" w:beforeAutospacing="0" w:after="0" w:afterAutospacing="0"/>
                    <w:ind w:left="0" w:right="0"/>
                    <w:jc w:val="center"/>
                    <w:rPr>
                      <w:bCs/>
                      <w:szCs w:val="21"/>
                    </w:rPr>
                  </w:pPr>
                  <w:r>
                    <w:rPr>
                      <w:bCs/>
                      <w:szCs w:val="21"/>
                    </w:rPr>
                    <w:t>150</w:t>
                  </w:r>
                </w:p>
              </w:tc>
              <w:tc>
                <w:tcPr>
                  <w:tcW w:w="609" w:type="pct"/>
                  <w:vAlign w:val="center"/>
                </w:tcPr>
                <w:p>
                  <w:pPr>
                    <w:keepNext w:val="0"/>
                    <w:keepLines w:val="0"/>
                    <w:suppressLineNumbers w:val="0"/>
                    <w:snapToGrid w:val="0"/>
                    <w:spacing w:before="0" w:beforeAutospacing="0" w:after="0" w:afterAutospacing="0"/>
                    <w:ind w:left="0" w:right="0"/>
                    <w:jc w:val="center"/>
                    <w:rPr>
                      <w:bCs/>
                      <w:szCs w:val="21"/>
                    </w:rPr>
                  </w:pPr>
                  <w:r>
                    <w:rPr>
                      <w:bCs/>
                      <w:szCs w:val="21"/>
                    </w:rPr>
                    <w:t>/</w:t>
                  </w:r>
                </w:p>
              </w:tc>
              <w:tc>
                <w:tcPr>
                  <w:tcW w:w="561" w:type="pct"/>
                  <w:vAlign w:val="center"/>
                </w:tcPr>
                <w:p>
                  <w:pPr>
                    <w:keepNext w:val="0"/>
                    <w:keepLines w:val="0"/>
                    <w:suppressLineNumbers w:val="0"/>
                    <w:snapToGrid w:val="0"/>
                    <w:spacing w:before="0" w:beforeAutospacing="0" w:after="0" w:afterAutospacing="0"/>
                    <w:ind w:left="0" w:right="0"/>
                    <w:jc w:val="center"/>
                    <w:rPr>
                      <w:bCs/>
                      <w:szCs w:val="21"/>
                    </w:rPr>
                  </w:pPr>
                  <w:r>
                    <w:rPr>
                      <w:bCs/>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cantSplit/>
                <w:trHeight w:val="340" w:hRule="atLeast"/>
                <w:jc w:val="center"/>
              </w:trPr>
              <w:tc>
                <w:tcPr>
                  <w:tcW w:w="373" w:type="pct"/>
                  <w:vMerge w:val="continue"/>
                  <w:vAlign w:val="center"/>
                </w:tcPr>
                <w:p>
                  <w:pPr>
                    <w:keepNext w:val="0"/>
                    <w:keepLines w:val="0"/>
                    <w:suppressLineNumbers w:val="0"/>
                    <w:adjustRightInd w:val="0"/>
                    <w:snapToGrid w:val="0"/>
                    <w:spacing w:before="0" w:beforeAutospacing="0" w:after="0" w:afterAutospacing="0"/>
                    <w:ind w:left="0" w:right="92"/>
                    <w:jc w:val="center"/>
                    <w:rPr>
                      <w:bCs/>
                      <w:szCs w:val="21"/>
                    </w:rPr>
                  </w:pPr>
                </w:p>
              </w:tc>
              <w:tc>
                <w:tcPr>
                  <w:tcW w:w="472" w:type="pct"/>
                  <w:vMerge w:val="restart"/>
                  <w:vAlign w:val="center"/>
                </w:tcPr>
                <w:p>
                  <w:pPr>
                    <w:keepNext w:val="0"/>
                    <w:keepLines w:val="0"/>
                    <w:suppressLineNumbers w:val="0"/>
                    <w:adjustRightInd w:val="0"/>
                    <w:snapToGrid w:val="0"/>
                    <w:spacing w:before="0" w:beforeAutospacing="0" w:after="0" w:afterAutospacing="0"/>
                    <w:ind w:left="0" w:right="92"/>
                    <w:jc w:val="center"/>
                    <w:rPr>
                      <w:bCs/>
                      <w:szCs w:val="21"/>
                    </w:rPr>
                  </w:pPr>
                  <w:r>
                    <w:rPr>
                      <w:bCs/>
                      <w:szCs w:val="21"/>
                    </w:rPr>
                    <w:t>NO</w:t>
                  </w:r>
                  <w:r>
                    <w:rPr>
                      <w:bCs/>
                      <w:szCs w:val="21"/>
                      <w:vertAlign w:val="subscript"/>
                    </w:rPr>
                    <w:t>2</w:t>
                  </w:r>
                </w:p>
              </w:tc>
              <w:tc>
                <w:tcPr>
                  <w:tcW w:w="1417" w:type="pct"/>
                  <w:vAlign w:val="center"/>
                </w:tcPr>
                <w:p>
                  <w:pPr>
                    <w:keepNext w:val="0"/>
                    <w:keepLines w:val="0"/>
                    <w:suppressLineNumbers w:val="0"/>
                    <w:snapToGrid w:val="0"/>
                    <w:spacing w:before="0" w:beforeAutospacing="0" w:after="0" w:afterAutospacing="0"/>
                    <w:ind w:left="0" w:right="0"/>
                    <w:jc w:val="center"/>
                    <w:rPr>
                      <w:bCs/>
                      <w:szCs w:val="21"/>
                    </w:rPr>
                  </w:pPr>
                  <w:r>
                    <w:rPr>
                      <w:bCs/>
                      <w:szCs w:val="21"/>
                    </w:rPr>
                    <w:t>年均值</w:t>
                  </w:r>
                </w:p>
              </w:tc>
              <w:tc>
                <w:tcPr>
                  <w:tcW w:w="847" w:type="pct"/>
                  <w:vAlign w:val="center"/>
                </w:tcPr>
                <w:p>
                  <w:pPr>
                    <w:keepNext w:val="0"/>
                    <w:keepLines w:val="0"/>
                    <w:suppressLineNumbers w:val="0"/>
                    <w:snapToGrid w:val="0"/>
                    <w:spacing w:before="0" w:beforeAutospacing="0" w:after="0" w:afterAutospacing="0"/>
                    <w:ind w:left="0" w:right="0"/>
                    <w:jc w:val="center"/>
                    <w:rPr>
                      <w:bCs/>
                      <w:szCs w:val="21"/>
                    </w:rPr>
                  </w:pPr>
                  <w:r>
                    <w:rPr>
                      <w:bCs/>
                      <w:szCs w:val="21"/>
                    </w:rPr>
                    <w:t>35</w:t>
                  </w:r>
                </w:p>
              </w:tc>
              <w:tc>
                <w:tcPr>
                  <w:tcW w:w="716" w:type="pct"/>
                  <w:vAlign w:val="center"/>
                </w:tcPr>
                <w:p>
                  <w:pPr>
                    <w:keepNext w:val="0"/>
                    <w:keepLines w:val="0"/>
                    <w:suppressLineNumbers w:val="0"/>
                    <w:snapToGrid w:val="0"/>
                    <w:spacing w:before="0" w:beforeAutospacing="0" w:after="0" w:afterAutospacing="0"/>
                    <w:ind w:left="0" w:right="0"/>
                    <w:jc w:val="center"/>
                    <w:rPr>
                      <w:bCs/>
                      <w:szCs w:val="21"/>
                    </w:rPr>
                  </w:pPr>
                  <w:r>
                    <w:rPr>
                      <w:bCs/>
                      <w:szCs w:val="21"/>
                    </w:rPr>
                    <w:t>40</w:t>
                  </w:r>
                </w:p>
              </w:tc>
              <w:tc>
                <w:tcPr>
                  <w:tcW w:w="609" w:type="pct"/>
                  <w:vAlign w:val="center"/>
                </w:tcPr>
                <w:p>
                  <w:pPr>
                    <w:keepNext w:val="0"/>
                    <w:keepLines w:val="0"/>
                    <w:suppressLineNumbers w:val="0"/>
                    <w:snapToGrid w:val="0"/>
                    <w:spacing w:before="0" w:beforeAutospacing="0" w:after="0" w:afterAutospacing="0"/>
                    <w:ind w:left="0" w:right="0"/>
                    <w:jc w:val="center"/>
                    <w:rPr>
                      <w:bCs/>
                      <w:szCs w:val="21"/>
                    </w:rPr>
                  </w:pPr>
                  <w:r>
                    <w:rPr>
                      <w:bCs/>
                      <w:szCs w:val="21"/>
                    </w:rPr>
                    <w:t>/</w:t>
                  </w:r>
                </w:p>
              </w:tc>
              <w:tc>
                <w:tcPr>
                  <w:tcW w:w="561" w:type="pct"/>
                  <w:vAlign w:val="center"/>
                </w:tcPr>
                <w:p>
                  <w:pPr>
                    <w:keepNext w:val="0"/>
                    <w:keepLines w:val="0"/>
                    <w:suppressLineNumbers w:val="0"/>
                    <w:snapToGrid w:val="0"/>
                    <w:spacing w:before="0" w:beforeAutospacing="0" w:after="0" w:afterAutospacing="0"/>
                    <w:ind w:left="0" w:right="0"/>
                    <w:jc w:val="center"/>
                    <w:rPr>
                      <w:bCs/>
                      <w:szCs w:val="21"/>
                    </w:rPr>
                  </w:pPr>
                  <w:r>
                    <w:rPr>
                      <w:bCs/>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cantSplit/>
                <w:trHeight w:val="340" w:hRule="atLeast"/>
                <w:jc w:val="center"/>
              </w:trPr>
              <w:tc>
                <w:tcPr>
                  <w:tcW w:w="373" w:type="pct"/>
                  <w:vMerge w:val="continue"/>
                  <w:vAlign w:val="center"/>
                </w:tcPr>
                <w:p>
                  <w:pPr>
                    <w:keepNext w:val="0"/>
                    <w:keepLines w:val="0"/>
                    <w:suppressLineNumbers w:val="0"/>
                    <w:adjustRightInd w:val="0"/>
                    <w:snapToGrid w:val="0"/>
                    <w:spacing w:before="0" w:beforeAutospacing="0" w:after="0" w:afterAutospacing="0"/>
                    <w:ind w:left="0" w:right="92"/>
                    <w:jc w:val="center"/>
                    <w:rPr>
                      <w:bCs/>
                      <w:szCs w:val="21"/>
                    </w:rPr>
                  </w:pPr>
                </w:p>
              </w:tc>
              <w:tc>
                <w:tcPr>
                  <w:tcW w:w="472" w:type="pct"/>
                  <w:vMerge w:val="continue"/>
                  <w:vAlign w:val="center"/>
                </w:tcPr>
                <w:p>
                  <w:pPr>
                    <w:keepNext w:val="0"/>
                    <w:keepLines w:val="0"/>
                    <w:suppressLineNumbers w:val="0"/>
                    <w:adjustRightInd w:val="0"/>
                    <w:snapToGrid w:val="0"/>
                    <w:spacing w:before="0" w:beforeAutospacing="0" w:after="0" w:afterAutospacing="0"/>
                    <w:ind w:left="0" w:right="92"/>
                    <w:jc w:val="center"/>
                    <w:rPr>
                      <w:bCs/>
                      <w:szCs w:val="21"/>
                    </w:rPr>
                  </w:pPr>
                </w:p>
              </w:tc>
              <w:tc>
                <w:tcPr>
                  <w:tcW w:w="1417" w:type="pct"/>
                  <w:vAlign w:val="center"/>
                </w:tcPr>
                <w:p>
                  <w:pPr>
                    <w:keepNext w:val="0"/>
                    <w:keepLines w:val="0"/>
                    <w:suppressLineNumbers w:val="0"/>
                    <w:snapToGrid w:val="0"/>
                    <w:spacing w:before="0" w:beforeAutospacing="0" w:after="0" w:afterAutospacing="0"/>
                    <w:ind w:left="0" w:right="0"/>
                    <w:jc w:val="center"/>
                    <w:rPr>
                      <w:b/>
                      <w:szCs w:val="21"/>
                    </w:rPr>
                  </w:pPr>
                  <w:r>
                    <w:rPr>
                      <w:b/>
                      <w:szCs w:val="21"/>
                    </w:rPr>
                    <w:t>日均值浓度范围</w:t>
                  </w:r>
                </w:p>
              </w:tc>
              <w:tc>
                <w:tcPr>
                  <w:tcW w:w="847" w:type="pct"/>
                  <w:vAlign w:val="center"/>
                </w:tcPr>
                <w:p>
                  <w:pPr>
                    <w:keepNext w:val="0"/>
                    <w:keepLines w:val="0"/>
                    <w:suppressLineNumbers w:val="0"/>
                    <w:snapToGrid w:val="0"/>
                    <w:spacing w:before="0" w:beforeAutospacing="0" w:after="0" w:afterAutospacing="0"/>
                    <w:ind w:left="0" w:right="0"/>
                    <w:jc w:val="center"/>
                    <w:rPr>
                      <w:rFonts w:hint="default" w:eastAsia="宋体"/>
                      <w:b/>
                      <w:szCs w:val="21"/>
                      <w:lang w:val="en-US" w:eastAsia="zh-CN"/>
                    </w:rPr>
                  </w:pPr>
                  <w:r>
                    <w:rPr>
                      <w:rFonts w:hint="eastAsia"/>
                      <w:b/>
                      <w:szCs w:val="21"/>
                      <w:lang w:val="en-US" w:eastAsia="zh-CN"/>
                    </w:rPr>
                    <w:t>6</w:t>
                  </w:r>
                  <w:r>
                    <w:rPr>
                      <w:b/>
                      <w:szCs w:val="21"/>
                    </w:rPr>
                    <w:t>～1</w:t>
                  </w:r>
                  <w:r>
                    <w:rPr>
                      <w:rFonts w:hint="eastAsia"/>
                      <w:b/>
                      <w:szCs w:val="21"/>
                      <w:lang w:val="en-US" w:eastAsia="zh-CN"/>
                    </w:rPr>
                    <w:t>10</w:t>
                  </w:r>
                </w:p>
              </w:tc>
              <w:tc>
                <w:tcPr>
                  <w:tcW w:w="716" w:type="pct"/>
                  <w:vAlign w:val="center"/>
                </w:tcPr>
                <w:p>
                  <w:pPr>
                    <w:keepNext w:val="0"/>
                    <w:keepLines w:val="0"/>
                    <w:suppressLineNumbers w:val="0"/>
                    <w:snapToGrid w:val="0"/>
                    <w:spacing w:before="0" w:beforeAutospacing="0" w:after="0" w:afterAutospacing="0"/>
                    <w:ind w:left="0" w:right="0"/>
                    <w:jc w:val="center"/>
                    <w:rPr>
                      <w:b/>
                      <w:szCs w:val="21"/>
                    </w:rPr>
                  </w:pPr>
                  <w:r>
                    <w:rPr>
                      <w:b/>
                      <w:szCs w:val="21"/>
                    </w:rPr>
                    <w:t>80</w:t>
                  </w:r>
                </w:p>
              </w:tc>
              <w:tc>
                <w:tcPr>
                  <w:tcW w:w="609" w:type="pct"/>
                  <w:vAlign w:val="center"/>
                </w:tcPr>
                <w:p>
                  <w:pPr>
                    <w:keepNext w:val="0"/>
                    <w:keepLines w:val="0"/>
                    <w:suppressLineNumbers w:val="0"/>
                    <w:snapToGrid w:val="0"/>
                    <w:spacing w:before="0" w:beforeAutospacing="0" w:after="0" w:afterAutospacing="0"/>
                    <w:ind w:left="0" w:right="0"/>
                    <w:jc w:val="center"/>
                    <w:rPr>
                      <w:rFonts w:hint="default" w:eastAsia="宋体"/>
                      <w:b/>
                      <w:szCs w:val="21"/>
                      <w:lang w:val="en-US" w:eastAsia="zh-CN"/>
                    </w:rPr>
                  </w:pPr>
                  <w:r>
                    <w:rPr>
                      <w:b/>
                      <w:szCs w:val="21"/>
                    </w:rPr>
                    <w:t>0.</w:t>
                  </w:r>
                  <w:r>
                    <w:rPr>
                      <w:rFonts w:hint="eastAsia"/>
                      <w:b/>
                      <w:szCs w:val="21"/>
                      <w:lang w:val="en-US" w:eastAsia="zh-CN"/>
                    </w:rPr>
                    <w:t>375</w:t>
                  </w:r>
                </w:p>
              </w:tc>
              <w:tc>
                <w:tcPr>
                  <w:tcW w:w="561" w:type="pct"/>
                  <w:vAlign w:val="center"/>
                </w:tcPr>
                <w:p>
                  <w:pPr>
                    <w:keepNext w:val="0"/>
                    <w:keepLines w:val="0"/>
                    <w:suppressLineNumbers w:val="0"/>
                    <w:snapToGrid w:val="0"/>
                    <w:spacing w:before="0" w:beforeAutospacing="0" w:after="0" w:afterAutospacing="0"/>
                    <w:ind w:left="0" w:right="0"/>
                    <w:jc w:val="center"/>
                    <w:rPr>
                      <w:b/>
                      <w:szCs w:val="21"/>
                    </w:rPr>
                  </w:pPr>
                  <w:r>
                    <w:rPr>
                      <w:b/>
                      <w:szCs w:val="21"/>
                    </w:rPr>
                    <w:t>超标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cantSplit/>
                <w:trHeight w:val="340" w:hRule="atLeast"/>
                <w:jc w:val="center"/>
              </w:trPr>
              <w:tc>
                <w:tcPr>
                  <w:tcW w:w="373" w:type="pct"/>
                  <w:vMerge w:val="continue"/>
                  <w:vAlign w:val="center"/>
                </w:tcPr>
                <w:p>
                  <w:pPr>
                    <w:keepNext w:val="0"/>
                    <w:keepLines w:val="0"/>
                    <w:suppressLineNumbers w:val="0"/>
                    <w:adjustRightInd w:val="0"/>
                    <w:snapToGrid w:val="0"/>
                    <w:spacing w:before="0" w:beforeAutospacing="0" w:after="0" w:afterAutospacing="0"/>
                    <w:ind w:left="0" w:right="92"/>
                    <w:jc w:val="center"/>
                    <w:rPr>
                      <w:bCs/>
                      <w:szCs w:val="21"/>
                    </w:rPr>
                  </w:pPr>
                </w:p>
              </w:tc>
              <w:tc>
                <w:tcPr>
                  <w:tcW w:w="472" w:type="pct"/>
                  <w:vMerge w:val="restart"/>
                  <w:vAlign w:val="center"/>
                </w:tcPr>
                <w:p>
                  <w:pPr>
                    <w:keepNext w:val="0"/>
                    <w:keepLines w:val="0"/>
                    <w:suppressLineNumbers w:val="0"/>
                    <w:adjustRightInd w:val="0"/>
                    <w:snapToGrid w:val="0"/>
                    <w:spacing w:before="0" w:beforeAutospacing="0" w:after="0" w:afterAutospacing="0"/>
                    <w:ind w:left="0" w:right="92"/>
                    <w:jc w:val="center"/>
                    <w:rPr>
                      <w:bCs/>
                      <w:szCs w:val="21"/>
                    </w:rPr>
                  </w:pPr>
                  <w:r>
                    <w:rPr>
                      <w:bCs/>
                      <w:szCs w:val="21"/>
                    </w:rPr>
                    <w:t>PM</w:t>
                  </w:r>
                  <w:r>
                    <w:rPr>
                      <w:bCs/>
                      <w:szCs w:val="21"/>
                      <w:vertAlign w:val="subscript"/>
                    </w:rPr>
                    <w:t>10</w:t>
                  </w:r>
                </w:p>
              </w:tc>
              <w:tc>
                <w:tcPr>
                  <w:tcW w:w="1417" w:type="pct"/>
                  <w:vAlign w:val="center"/>
                </w:tcPr>
                <w:p>
                  <w:pPr>
                    <w:keepNext w:val="0"/>
                    <w:keepLines w:val="0"/>
                    <w:suppressLineNumbers w:val="0"/>
                    <w:snapToGrid w:val="0"/>
                    <w:spacing w:before="0" w:beforeAutospacing="0" w:after="0" w:afterAutospacing="0"/>
                    <w:ind w:left="0" w:right="0"/>
                    <w:jc w:val="center"/>
                    <w:rPr>
                      <w:bCs/>
                      <w:szCs w:val="21"/>
                    </w:rPr>
                  </w:pPr>
                  <w:r>
                    <w:rPr>
                      <w:bCs/>
                      <w:szCs w:val="21"/>
                    </w:rPr>
                    <w:t>年均值</w:t>
                  </w:r>
                </w:p>
              </w:tc>
              <w:tc>
                <w:tcPr>
                  <w:tcW w:w="847" w:type="pct"/>
                  <w:vAlign w:val="center"/>
                </w:tcPr>
                <w:p>
                  <w:pPr>
                    <w:keepNext w:val="0"/>
                    <w:keepLines w:val="0"/>
                    <w:suppressLineNumbers w:val="0"/>
                    <w:snapToGrid w:val="0"/>
                    <w:spacing w:before="0" w:beforeAutospacing="0" w:after="0" w:afterAutospacing="0"/>
                    <w:ind w:left="0" w:right="0"/>
                    <w:jc w:val="center"/>
                    <w:rPr>
                      <w:rFonts w:hint="default" w:eastAsia="宋体"/>
                      <w:bCs/>
                      <w:szCs w:val="21"/>
                      <w:lang w:val="en-US" w:eastAsia="zh-CN"/>
                    </w:rPr>
                  </w:pPr>
                  <w:r>
                    <w:rPr>
                      <w:rFonts w:hint="eastAsia"/>
                      <w:bCs/>
                      <w:szCs w:val="21"/>
                      <w:lang w:val="en-US" w:eastAsia="zh-CN"/>
                    </w:rPr>
                    <w:t>60</w:t>
                  </w:r>
                </w:p>
              </w:tc>
              <w:tc>
                <w:tcPr>
                  <w:tcW w:w="716" w:type="pct"/>
                  <w:vAlign w:val="center"/>
                </w:tcPr>
                <w:p>
                  <w:pPr>
                    <w:keepNext w:val="0"/>
                    <w:keepLines w:val="0"/>
                    <w:suppressLineNumbers w:val="0"/>
                    <w:snapToGrid w:val="0"/>
                    <w:spacing w:before="0" w:beforeAutospacing="0" w:after="0" w:afterAutospacing="0"/>
                    <w:ind w:left="0" w:right="0"/>
                    <w:jc w:val="center"/>
                    <w:rPr>
                      <w:bCs/>
                      <w:szCs w:val="21"/>
                    </w:rPr>
                  </w:pPr>
                  <w:r>
                    <w:rPr>
                      <w:bCs/>
                      <w:szCs w:val="21"/>
                    </w:rPr>
                    <w:t>70</w:t>
                  </w:r>
                </w:p>
              </w:tc>
              <w:tc>
                <w:tcPr>
                  <w:tcW w:w="609" w:type="pct"/>
                  <w:vAlign w:val="center"/>
                </w:tcPr>
                <w:p>
                  <w:pPr>
                    <w:keepNext w:val="0"/>
                    <w:keepLines w:val="0"/>
                    <w:suppressLineNumbers w:val="0"/>
                    <w:snapToGrid w:val="0"/>
                    <w:spacing w:before="0" w:beforeAutospacing="0" w:after="0" w:afterAutospacing="0"/>
                    <w:ind w:left="0" w:right="0"/>
                    <w:jc w:val="center"/>
                    <w:rPr>
                      <w:bCs/>
                      <w:szCs w:val="21"/>
                    </w:rPr>
                  </w:pPr>
                  <w:r>
                    <w:rPr>
                      <w:bCs/>
                      <w:szCs w:val="21"/>
                    </w:rPr>
                    <w:t>/</w:t>
                  </w:r>
                </w:p>
              </w:tc>
              <w:tc>
                <w:tcPr>
                  <w:tcW w:w="561" w:type="pct"/>
                  <w:vAlign w:val="center"/>
                </w:tcPr>
                <w:p>
                  <w:pPr>
                    <w:keepNext w:val="0"/>
                    <w:keepLines w:val="0"/>
                    <w:suppressLineNumbers w:val="0"/>
                    <w:snapToGrid w:val="0"/>
                    <w:spacing w:before="0" w:beforeAutospacing="0" w:after="0" w:afterAutospacing="0"/>
                    <w:ind w:left="0" w:right="0"/>
                    <w:jc w:val="center"/>
                    <w:rPr>
                      <w:bCs/>
                      <w:szCs w:val="21"/>
                    </w:rPr>
                  </w:pPr>
                  <w:r>
                    <w:rPr>
                      <w:bCs/>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cantSplit/>
                <w:trHeight w:val="340" w:hRule="atLeast"/>
                <w:jc w:val="center"/>
              </w:trPr>
              <w:tc>
                <w:tcPr>
                  <w:tcW w:w="373" w:type="pct"/>
                  <w:vMerge w:val="continue"/>
                  <w:vAlign w:val="center"/>
                </w:tcPr>
                <w:p>
                  <w:pPr>
                    <w:keepNext w:val="0"/>
                    <w:keepLines w:val="0"/>
                    <w:suppressLineNumbers w:val="0"/>
                    <w:adjustRightInd w:val="0"/>
                    <w:snapToGrid w:val="0"/>
                    <w:spacing w:before="0" w:beforeAutospacing="0" w:after="0" w:afterAutospacing="0"/>
                    <w:ind w:left="0" w:right="92"/>
                    <w:jc w:val="center"/>
                    <w:rPr>
                      <w:bCs/>
                      <w:szCs w:val="21"/>
                    </w:rPr>
                  </w:pPr>
                </w:p>
              </w:tc>
              <w:tc>
                <w:tcPr>
                  <w:tcW w:w="472" w:type="pct"/>
                  <w:vMerge w:val="continue"/>
                  <w:vAlign w:val="center"/>
                </w:tcPr>
                <w:p>
                  <w:pPr>
                    <w:keepNext w:val="0"/>
                    <w:keepLines w:val="0"/>
                    <w:suppressLineNumbers w:val="0"/>
                    <w:adjustRightInd w:val="0"/>
                    <w:snapToGrid w:val="0"/>
                    <w:spacing w:before="0" w:beforeAutospacing="0" w:after="0" w:afterAutospacing="0"/>
                    <w:ind w:left="0" w:right="92"/>
                    <w:jc w:val="center"/>
                    <w:rPr>
                      <w:bCs/>
                      <w:szCs w:val="21"/>
                    </w:rPr>
                  </w:pPr>
                </w:p>
              </w:tc>
              <w:tc>
                <w:tcPr>
                  <w:tcW w:w="1417" w:type="pct"/>
                  <w:vAlign w:val="center"/>
                </w:tcPr>
                <w:p>
                  <w:pPr>
                    <w:keepNext w:val="0"/>
                    <w:keepLines w:val="0"/>
                    <w:suppressLineNumbers w:val="0"/>
                    <w:snapToGrid w:val="0"/>
                    <w:spacing w:before="0" w:beforeAutospacing="0" w:after="0" w:afterAutospacing="0"/>
                    <w:ind w:left="0" w:right="0"/>
                    <w:jc w:val="center"/>
                    <w:rPr>
                      <w:b/>
                      <w:szCs w:val="21"/>
                    </w:rPr>
                  </w:pPr>
                  <w:r>
                    <w:rPr>
                      <w:b/>
                      <w:szCs w:val="21"/>
                    </w:rPr>
                    <w:t>日均值浓度范围</w:t>
                  </w:r>
                </w:p>
              </w:tc>
              <w:tc>
                <w:tcPr>
                  <w:tcW w:w="847" w:type="pct"/>
                  <w:vAlign w:val="center"/>
                </w:tcPr>
                <w:p>
                  <w:pPr>
                    <w:keepNext w:val="0"/>
                    <w:keepLines w:val="0"/>
                    <w:suppressLineNumbers w:val="0"/>
                    <w:snapToGrid w:val="0"/>
                    <w:spacing w:before="0" w:beforeAutospacing="0" w:after="0" w:afterAutospacing="0"/>
                    <w:ind w:left="0" w:right="0"/>
                    <w:jc w:val="center"/>
                    <w:rPr>
                      <w:rFonts w:hint="default" w:eastAsia="宋体"/>
                      <w:b/>
                      <w:szCs w:val="21"/>
                      <w:lang w:val="en-US" w:eastAsia="zh-CN"/>
                    </w:rPr>
                  </w:pPr>
                  <w:r>
                    <w:rPr>
                      <w:rFonts w:hint="eastAsia"/>
                      <w:b/>
                      <w:szCs w:val="21"/>
                      <w:lang w:val="en-US" w:eastAsia="zh-CN"/>
                    </w:rPr>
                    <w:t>9</w:t>
                  </w:r>
                  <w:r>
                    <w:rPr>
                      <w:b/>
                      <w:szCs w:val="21"/>
                    </w:rPr>
                    <w:t>～</w:t>
                  </w:r>
                  <w:r>
                    <w:rPr>
                      <w:rFonts w:hint="eastAsia"/>
                      <w:b/>
                      <w:szCs w:val="21"/>
                      <w:lang w:val="en-US" w:eastAsia="zh-CN"/>
                    </w:rPr>
                    <w:t>187</w:t>
                  </w:r>
                </w:p>
              </w:tc>
              <w:tc>
                <w:tcPr>
                  <w:tcW w:w="716" w:type="pct"/>
                  <w:vAlign w:val="center"/>
                </w:tcPr>
                <w:p>
                  <w:pPr>
                    <w:keepNext w:val="0"/>
                    <w:keepLines w:val="0"/>
                    <w:suppressLineNumbers w:val="0"/>
                    <w:snapToGrid w:val="0"/>
                    <w:spacing w:before="0" w:beforeAutospacing="0" w:after="0" w:afterAutospacing="0"/>
                    <w:ind w:left="0" w:right="0"/>
                    <w:jc w:val="center"/>
                    <w:rPr>
                      <w:b/>
                      <w:szCs w:val="21"/>
                    </w:rPr>
                  </w:pPr>
                  <w:r>
                    <w:rPr>
                      <w:b/>
                      <w:szCs w:val="21"/>
                    </w:rPr>
                    <w:t>150</w:t>
                  </w:r>
                </w:p>
              </w:tc>
              <w:tc>
                <w:tcPr>
                  <w:tcW w:w="609" w:type="pct"/>
                  <w:vAlign w:val="center"/>
                </w:tcPr>
                <w:p>
                  <w:pPr>
                    <w:keepNext w:val="0"/>
                    <w:keepLines w:val="0"/>
                    <w:suppressLineNumbers w:val="0"/>
                    <w:snapToGrid w:val="0"/>
                    <w:spacing w:before="0" w:beforeAutospacing="0" w:after="0" w:afterAutospacing="0"/>
                    <w:ind w:left="0" w:right="0"/>
                    <w:jc w:val="center"/>
                    <w:rPr>
                      <w:rFonts w:hint="default" w:eastAsia="宋体"/>
                      <w:b/>
                      <w:szCs w:val="21"/>
                      <w:lang w:val="en-US" w:eastAsia="zh-CN"/>
                    </w:rPr>
                  </w:pPr>
                  <w:r>
                    <w:rPr>
                      <w:b/>
                      <w:szCs w:val="21"/>
                    </w:rPr>
                    <w:t>0.</w:t>
                  </w:r>
                  <w:r>
                    <w:rPr>
                      <w:rFonts w:hint="eastAsia"/>
                      <w:b/>
                      <w:szCs w:val="21"/>
                      <w:lang w:val="en-US" w:eastAsia="zh-CN"/>
                    </w:rPr>
                    <w:t>25</w:t>
                  </w:r>
                </w:p>
              </w:tc>
              <w:tc>
                <w:tcPr>
                  <w:tcW w:w="561" w:type="pct"/>
                  <w:vAlign w:val="center"/>
                </w:tcPr>
                <w:p>
                  <w:pPr>
                    <w:keepNext w:val="0"/>
                    <w:keepLines w:val="0"/>
                    <w:suppressLineNumbers w:val="0"/>
                    <w:snapToGrid w:val="0"/>
                    <w:spacing w:before="0" w:beforeAutospacing="0" w:after="0" w:afterAutospacing="0"/>
                    <w:ind w:left="0" w:right="0"/>
                    <w:jc w:val="center"/>
                    <w:rPr>
                      <w:b/>
                      <w:szCs w:val="21"/>
                    </w:rPr>
                  </w:pPr>
                  <w:r>
                    <w:rPr>
                      <w:b/>
                      <w:szCs w:val="21"/>
                    </w:rPr>
                    <w:t>超标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cantSplit/>
                <w:trHeight w:val="340" w:hRule="atLeast"/>
                <w:jc w:val="center"/>
              </w:trPr>
              <w:tc>
                <w:tcPr>
                  <w:tcW w:w="373" w:type="pct"/>
                  <w:vMerge w:val="continue"/>
                  <w:vAlign w:val="center"/>
                </w:tcPr>
                <w:p>
                  <w:pPr>
                    <w:keepNext w:val="0"/>
                    <w:keepLines w:val="0"/>
                    <w:suppressLineNumbers w:val="0"/>
                    <w:adjustRightInd w:val="0"/>
                    <w:snapToGrid w:val="0"/>
                    <w:spacing w:before="0" w:beforeAutospacing="0" w:after="0" w:afterAutospacing="0"/>
                    <w:ind w:left="0" w:right="92"/>
                    <w:jc w:val="center"/>
                    <w:rPr>
                      <w:bCs/>
                      <w:szCs w:val="21"/>
                    </w:rPr>
                  </w:pPr>
                </w:p>
              </w:tc>
              <w:tc>
                <w:tcPr>
                  <w:tcW w:w="472" w:type="pct"/>
                  <w:vMerge w:val="restart"/>
                  <w:vAlign w:val="center"/>
                </w:tcPr>
                <w:p>
                  <w:pPr>
                    <w:keepNext w:val="0"/>
                    <w:keepLines w:val="0"/>
                    <w:suppressLineNumbers w:val="0"/>
                    <w:adjustRightInd w:val="0"/>
                    <w:snapToGrid w:val="0"/>
                    <w:spacing w:before="0" w:beforeAutospacing="0" w:after="0" w:afterAutospacing="0"/>
                    <w:ind w:left="0" w:right="92"/>
                    <w:jc w:val="center"/>
                    <w:rPr>
                      <w:bCs/>
                      <w:szCs w:val="21"/>
                    </w:rPr>
                  </w:pPr>
                  <w:r>
                    <w:rPr>
                      <w:bCs/>
                      <w:szCs w:val="21"/>
                    </w:rPr>
                    <w:t>PM</w:t>
                  </w:r>
                  <w:r>
                    <w:rPr>
                      <w:bCs/>
                      <w:szCs w:val="21"/>
                      <w:vertAlign w:val="subscript"/>
                    </w:rPr>
                    <w:t>2.5</w:t>
                  </w:r>
                </w:p>
              </w:tc>
              <w:tc>
                <w:tcPr>
                  <w:tcW w:w="1417" w:type="pct"/>
                  <w:vAlign w:val="center"/>
                </w:tcPr>
                <w:p>
                  <w:pPr>
                    <w:keepNext w:val="0"/>
                    <w:keepLines w:val="0"/>
                    <w:suppressLineNumbers w:val="0"/>
                    <w:snapToGrid w:val="0"/>
                    <w:spacing w:before="0" w:beforeAutospacing="0" w:after="0" w:afterAutospacing="0"/>
                    <w:ind w:left="0" w:right="0"/>
                    <w:jc w:val="center"/>
                    <w:rPr>
                      <w:b w:val="0"/>
                      <w:bCs/>
                      <w:szCs w:val="21"/>
                    </w:rPr>
                  </w:pPr>
                  <w:r>
                    <w:rPr>
                      <w:b w:val="0"/>
                      <w:bCs/>
                      <w:szCs w:val="21"/>
                    </w:rPr>
                    <w:t>年均值</w:t>
                  </w:r>
                </w:p>
              </w:tc>
              <w:tc>
                <w:tcPr>
                  <w:tcW w:w="847" w:type="pct"/>
                  <w:vAlign w:val="center"/>
                </w:tcPr>
                <w:p>
                  <w:pPr>
                    <w:keepNext w:val="0"/>
                    <w:keepLines w:val="0"/>
                    <w:suppressLineNumbers w:val="0"/>
                    <w:snapToGrid w:val="0"/>
                    <w:spacing w:before="0" w:beforeAutospacing="0" w:after="0" w:afterAutospacing="0"/>
                    <w:ind w:left="0" w:right="0"/>
                    <w:jc w:val="center"/>
                    <w:rPr>
                      <w:rFonts w:hint="eastAsia" w:eastAsia="宋体"/>
                      <w:b w:val="0"/>
                      <w:bCs/>
                      <w:szCs w:val="21"/>
                      <w:lang w:eastAsia="zh-CN"/>
                    </w:rPr>
                  </w:pPr>
                  <w:r>
                    <w:rPr>
                      <w:b w:val="0"/>
                      <w:bCs/>
                      <w:szCs w:val="21"/>
                    </w:rPr>
                    <w:t>3</w:t>
                  </w:r>
                  <w:r>
                    <w:rPr>
                      <w:rFonts w:hint="eastAsia"/>
                      <w:b w:val="0"/>
                      <w:bCs/>
                      <w:szCs w:val="21"/>
                      <w:lang w:val="en-US" w:eastAsia="zh-CN"/>
                    </w:rPr>
                    <w:t>5</w:t>
                  </w:r>
                </w:p>
              </w:tc>
              <w:tc>
                <w:tcPr>
                  <w:tcW w:w="716" w:type="pct"/>
                  <w:vAlign w:val="center"/>
                </w:tcPr>
                <w:p>
                  <w:pPr>
                    <w:keepNext w:val="0"/>
                    <w:keepLines w:val="0"/>
                    <w:suppressLineNumbers w:val="0"/>
                    <w:snapToGrid w:val="0"/>
                    <w:spacing w:before="0" w:beforeAutospacing="0" w:after="0" w:afterAutospacing="0"/>
                    <w:ind w:left="0" w:right="0"/>
                    <w:jc w:val="center"/>
                    <w:rPr>
                      <w:b w:val="0"/>
                      <w:bCs/>
                      <w:szCs w:val="21"/>
                    </w:rPr>
                  </w:pPr>
                  <w:r>
                    <w:rPr>
                      <w:b w:val="0"/>
                      <w:bCs/>
                      <w:szCs w:val="21"/>
                    </w:rPr>
                    <w:t>35</w:t>
                  </w:r>
                </w:p>
              </w:tc>
              <w:tc>
                <w:tcPr>
                  <w:tcW w:w="609" w:type="pct"/>
                  <w:vAlign w:val="center"/>
                </w:tcPr>
                <w:p>
                  <w:pPr>
                    <w:keepNext w:val="0"/>
                    <w:keepLines w:val="0"/>
                    <w:suppressLineNumbers w:val="0"/>
                    <w:snapToGrid w:val="0"/>
                    <w:spacing w:before="0" w:beforeAutospacing="0" w:after="0" w:afterAutospacing="0"/>
                    <w:ind w:left="0" w:right="0"/>
                    <w:jc w:val="center"/>
                    <w:rPr>
                      <w:rFonts w:hint="eastAsia" w:eastAsia="宋体"/>
                      <w:b/>
                      <w:szCs w:val="21"/>
                      <w:lang w:eastAsia="zh-CN"/>
                    </w:rPr>
                  </w:pPr>
                  <w:r>
                    <w:rPr>
                      <w:rFonts w:hint="eastAsia"/>
                      <w:b/>
                      <w:szCs w:val="21"/>
                      <w:lang w:val="en-US" w:eastAsia="zh-CN"/>
                    </w:rPr>
                    <w:t>/</w:t>
                  </w:r>
                </w:p>
              </w:tc>
              <w:tc>
                <w:tcPr>
                  <w:tcW w:w="561" w:type="pct"/>
                  <w:vAlign w:val="center"/>
                </w:tcPr>
                <w:p>
                  <w:pPr>
                    <w:keepNext w:val="0"/>
                    <w:keepLines w:val="0"/>
                    <w:suppressLineNumbers w:val="0"/>
                    <w:snapToGrid w:val="0"/>
                    <w:spacing w:before="0" w:beforeAutospacing="0" w:after="0" w:afterAutospacing="0"/>
                    <w:ind w:left="0" w:right="0"/>
                    <w:jc w:val="center"/>
                    <w:rPr>
                      <w:b/>
                      <w:szCs w:val="21"/>
                    </w:rPr>
                  </w:pPr>
                  <w:r>
                    <w:rPr>
                      <w:bCs/>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cantSplit/>
                <w:trHeight w:val="340" w:hRule="atLeast"/>
                <w:jc w:val="center"/>
              </w:trPr>
              <w:tc>
                <w:tcPr>
                  <w:tcW w:w="373" w:type="pct"/>
                  <w:vMerge w:val="continue"/>
                  <w:vAlign w:val="center"/>
                </w:tcPr>
                <w:p>
                  <w:pPr>
                    <w:keepNext w:val="0"/>
                    <w:keepLines w:val="0"/>
                    <w:suppressLineNumbers w:val="0"/>
                    <w:adjustRightInd w:val="0"/>
                    <w:snapToGrid w:val="0"/>
                    <w:spacing w:before="0" w:beforeAutospacing="0" w:after="0" w:afterAutospacing="0"/>
                    <w:ind w:left="0" w:right="92"/>
                    <w:jc w:val="center"/>
                    <w:rPr>
                      <w:bCs/>
                      <w:szCs w:val="21"/>
                    </w:rPr>
                  </w:pPr>
                </w:p>
              </w:tc>
              <w:tc>
                <w:tcPr>
                  <w:tcW w:w="472" w:type="pct"/>
                  <w:vMerge w:val="continue"/>
                  <w:vAlign w:val="center"/>
                </w:tcPr>
                <w:p>
                  <w:pPr>
                    <w:keepNext w:val="0"/>
                    <w:keepLines w:val="0"/>
                    <w:suppressLineNumbers w:val="0"/>
                    <w:adjustRightInd w:val="0"/>
                    <w:snapToGrid w:val="0"/>
                    <w:spacing w:before="0" w:beforeAutospacing="0" w:after="0" w:afterAutospacing="0"/>
                    <w:ind w:left="0" w:right="92"/>
                    <w:jc w:val="center"/>
                    <w:rPr>
                      <w:bCs/>
                      <w:szCs w:val="21"/>
                    </w:rPr>
                  </w:pPr>
                </w:p>
              </w:tc>
              <w:tc>
                <w:tcPr>
                  <w:tcW w:w="1417" w:type="pct"/>
                  <w:vAlign w:val="center"/>
                </w:tcPr>
                <w:p>
                  <w:pPr>
                    <w:keepNext w:val="0"/>
                    <w:keepLines w:val="0"/>
                    <w:suppressLineNumbers w:val="0"/>
                    <w:snapToGrid w:val="0"/>
                    <w:spacing w:before="0" w:beforeAutospacing="0" w:after="0" w:afterAutospacing="0"/>
                    <w:ind w:left="0" w:right="0"/>
                    <w:jc w:val="center"/>
                    <w:rPr>
                      <w:b/>
                      <w:szCs w:val="21"/>
                    </w:rPr>
                  </w:pPr>
                  <w:r>
                    <w:rPr>
                      <w:b/>
                      <w:szCs w:val="21"/>
                    </w:rPr>
                    <w:t>日均值浓度范围</w:t>
                  </w:r>
                </w:p>
              </w:tc>
              <w:tc>
                <w:tcPr>
                  <w:tcW w:w="847" w:type="pct"/>
                  <w:vAlign w:val="center"/>
                </w:tcPr>
                <w:p>
                  <w:pPr>
                    <w:keepNext w:val="0"/>
                    <w:keepLines w:val="0"/>
                    <w:suppressLineNumbers w:val="0"/>
                    <w:snapToGrid w:val="0"/>
                    <w:spacing w:before="0" w:beforeAutospacing="0" w:after="0" w:afterAutospacing="0"/>
                    <w:ind w:left="0" w:right="0"/>
                    <w:jc w:val="center"/>
                    <w:rPr>
                      <w:rFonts w:hint="default" w:eastAsia="宋体"/>
                      <w:b/>
                      <w:szCs w:val="21"/>
                      <w:lang w:val="en-US" w:eastAsia="zh-CN"/>
                    </w:rPr>
                  </w:pPr>
                  <w:r>
                    <w:rPr>
                      <w:rFonts w:hint="eastAsia"/>
                      <w:b/>
                      <w:szCs w:val="21"/>
                      <w:lang w:val="en-US" w:eastAsia="zh-CN"/>
                    </w:rPr>
                    <w:t>5</w:t>
                  </w:r>
                  <w:r>
                    <w:rPr>
                      <w:b/>
                      <w:szCs w:val="21"/>
                    </w:rPr>
                    <w:t>～</w:t>
                  </w:r>
                  <w:r>
                    <w:rPr>
                      <w:rFonts w:hint="eastAsia"/>
                      <w:b/>
                      <w:szCs w:val="21"/>
                      <w:lang w:val="en-US" w:eastAsia="zh-CN"/>
                    </w:rPr>
                    <w:t>131</w:t>
                  </w:r>
                </w:p>
              </w:tc>
              <w:tc>
                <w:tcPr>
                  <w:tcW w:w="716" w:type="pct"/>
                  <w:vAlign w:val="center"/>
                </w:tcPr>
                <w:p>
                  <w:pPr>
                    <w:keepNext w:val="0"/>
                    <w:keepLines w:val="0"/>
                    <w:suppressLineNumbers w:val="0"/>
                    <w:snapToGrid w:val="0"/>
                    <w:spacing w:before="0" w:beforeAutospacing="0" w:after="0" w:afterAutospacing="0"/>
                    <w:ind w:left="0" w:right="0"/>
                    <w:jc w:val="center"/>
                    <w:rPr>
                      <w:b/>
                      <w:szCs w:val="21"/>
                    </w:rPr>
                  </w:pPr>
                  <w:r>
                    <w:rPr>
                      <w:b/>
                      <w:szCs w:val="21"/>
                    </w:rPr>
                    <w:t>75</w:t>
                  </w:r>
                </w:p>
              </w:tc>
              <w:tc>
                <w:tcPr>
                  <w:tcW w:w="609" w:type="pct"/>
                  <w:vAlign w:val="center"/>
                </w:tcPr>
                <w:p>
                  <w:pPr>
                    <w:keepNext w:val="0"/>
                    <w:keepLines w:val="0"/>
                    <w:suppressLineNumbers w:val="0"/>
                    <w:snapToGrid w:val="0"/>
                    <w:spacing w:before="0" w:beforeAutospacing="0" w:after="0" w:afterAutospacing="0"/>
                    <w:ind w:left="0" w:right="0"/>
                    <w:jc w:val="center"/>
                    <w:rPr>
                      <w:rFonts w:hint="default" w:eastAsia="宋体"/>
                      <w:b/>
                      <w:szCs w:val="21"/>
                      <w:lang w:val="en-US" w:eastAsia="zh-CN"/>
                    </w:rPr>
                  </w:pPr>
                  <w:r>
                    <w:rPr>
                      <w:rFonts w:hint="eastAsia"/>
                      <w:b/>
                      <w:szCs w:val="21"/>
                      <w:lang w:val="en-US" w:eastAsia="zh-CN"/>
                    </w:rPr>
                    <w:t>0.75</w:t>
                  </w:r>
                </w:p>
              </w:tc>
              <w:tc>
                <w:tcPr>
                  <w:tcW w:w="561" w:type="pct"/>
                  <w:vAlign w:val="center"/>
                </w:tcPr>
                <w:p>
                  <w:pPr>
                    <w:keepNext w:val="0"/>
                    <w:keepLines w:val="0"/>
                    <w:suppressLineNumbers w:val="0"/>
                    <w:snapToGrid w:val="0"/>
                    <w:spacing w:before="0" w:beforeAutospacing="0" w:after="0" w:afterAutospacing="0"/>
                    <w:ind w:left="0" w:right="0"/>
                    <w:jc w:val="center"/>
                    <w:rPr>
                      <w:b/>
                      <w:szCs w:val="21"/>
                    </w:rPr>
                  </w:pPr>
                  <w:r>
                    <w:rPr>
                      <w:b/>
                      <w:szCs w:val="21"/>
                    </w:rPr>
                    <w:t>超标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cantSplit/>
                <w:trHeight w:val="340" w:hRule="atLeast"/>
                <w:jc w:val="center"/>
              </w:trPr>
              <w:tc>
                <w:tcPr>
                  <w:tcW w:w="373" w:type="pct"/>
                  <w:vMerge w:val="continue"/>
                  <w:vAlign w:val="center"/>
                </w:tcPr>
                <w:p>
                  <w:pPr>
                    <w:keepNext w:val="0"/>
                    <w:keepLines w:val="0"/>
                    <w:suppressLineNumbers w:val="0"/>
                    <w:adjustRightInd w:val="0"/>
                    <w:snapToGrid w:val="0"/>
                    <w:spacing w:before="0" w:beforeAutospacing="0" w:after="0" w:afterAutospacing="0"/>
                    <w:ind w:left="0" w:right="92"/>
                    <w:jc w:val="center"/>
                    <w:rPr>
                      <w:bCs/>
                      <w:szCs w:val="21"/>
                    </w:rPr>
                  </w:pPr>
                </w:p>
              </w:tc>
              <w:tc>
                <w:tcPr>
                  <w:tcW w:w="472" w:type="pct"/>
                  <w:vMerge w:val="restart"/>
                  <w:vAlign w:val="center"/>
                </w:tcPr>
                <w:p>
                  <w:pPr>
                    <w:keepNext w:val="0"/>
                    <w:keepLines w:val="0"/>
                    <w:suppressLineNumbers w:val="0"/>
                    <w:adjustRightInd w:val="0"/>
                    <w:snapToGrid w:val="0"/>
                    <w:spacing w:before="0" w:beforeAutospacing="0" w:after="0" w:afterAutospacing="0"/>
                    <w:ind w:left="0" w:right="92"/>
                    <w:jc w:val="center"/>
                    <w:rPr>
                      <w:bCs/>
                      <w:szCs w:val="21"/>
                    </w:rPr>
                  </w:pPr>
                  <w:r>
                    <w:rPr>
                      <w:bCs/>
                      <w:szCs w:val="21"/>
                    </w:rPr>
                    <w:t>CO</w:t>
                  </w:r>
                </w:p>
              </w:tc>
              <w:tc>
                <w:tcPr>
                  <w:tcW w:w="1417" w:type="pct"/>
                  <w:vAlign w:val="center"/>
                </w:tcPr>
                <w:p>
                  <w:pPr>
                    <w:keepNext w:val="0"/>
                    <w:keepLines w:val="0"/>
                    <w:suppressLineNumbers w:val="0"/>
                    <w:snapToGrid w:val="0"/>
                    <w:spacing w:before="0" w:beforeAutospacing="0" w:after="0" w:afterAutospacing="0"/>
                    <w:ind w:left="0" w:right="0"/>
                    <w:jc w:val="center"/>
                    <w:rPr>
                      <w:bCs/>
                      <w:szCs w:val="21"/>
                    </w:rPr>
                  </w:pPr>
                  <w:r>
                    <w:rPr>
                      <w:bCs/>
                      <w:szCs w:val="21"/>
                    </w:rPr>
                    <w:t>日均值的第95百分位数</w:t>
                  </w:r>
                </w:p>
              </w:tc>
              <w:tc>
                <w:tcPr>
                  <w:tcW w:w="847" w:type="pct"/>
                  <w:vAlign w:val="center"/>
                </w:tcPr>
                <w:p>
                  <w:pPr>
                    <w:keepNext w:val="0"/>
                    <w:keepLines w:val="0"/>
                    <w:suppressLineNumbers w:val="0"/>
                    <w:snapToGrid w:val="0"/>
                    <w:spacing w:before="0" w:beforeAutospacing="0" w:after="0" w:afterAutospacing="0"/>
                    <w:ind w:left="0" w:right="0"/>
                    <w:jc w:val="center"/>
                    <w:rPr>
                      <w:rFonts w:hint="default" w:eastAsia="宋体"/>
                      <w:bCs/>
                      <w:szCs w:val="21"/>
                      <w:lang w:val="en-US" w:eastAsia="zh-CN"/>
                    </w:rPr>
                  </w:pPr>
                  <w:r>
                    <w:rPr>
                      <w:bCs/>
                      <w:szCs w:val="21"/>
                    </w:rPr>
                    <w:t>1</w:t>
                  </w:r>
                  <w:r>
                    <w:rPr>
                      <w:rFonts w:hint="eastAsia"/>
                      <w:bCs/>
                      <w:szCs w:val="21"/>
                      <w:lang w:val="en-US" w:eastAsia="zh-CN"/>
                    </w:rPr>
                    <w:t>100</w:t>
                  </w:r>
                </w:p>
              </w:tc>
              <w:tc>
                <w:tcPr>
                  <w:tcW w:w="716" w:type="pct"/>
                  <w:vAlign w:val="center"/>
                </w:tcPr>
                <w:p>
                  <w:pPr>
                    <w:keepNext w:val="0"/>
                    <w:keepLines w:val="0"/>
                    <w:suppressLineNumbers w:val="0"/>
                    <w:snapToGrid w:val="0"/>
                    <w:spacing w:before="0" w:beforeAutospacing="0" w:after="0" w:afterAutospacing="0"/>
                    <w:ind w:left="0" w:right="0"/>
                    <w:jc w:val="center"/>
                    <w:rPr>
                      <w:bCs/>
                      <w:szCs w:val="21"/>
                    </w:rPr>
                  </w:pPr>
                  <w:r>
                    <w:rPr>
                      <w:bCs/>
                      <w:szCs w:val="21"/>
                    </w:rPr>
                    <w:t>4000</w:t>
                  </w:r>
                </w:p>
              </w:tc>
              <w:tc>
                <w:tcPr>
                  <w:tcW w:w="609" w:type="pct"/>
                  <w:vAlign w:val="center"/>
                </w:tcPr>
                <w:p>
                  <w:pPr>
                    <w:keepNext w:val="0"/>
                    <w:keepLines w:val="0"/>
                    <w:suppressLineNumbers w:val="0"/>
                    <w:snapToGrid w:val="0"/>
                    <w:spacing w:before="0" w:beforeAutospacing="0" w:after="0" w:afterAutospacing="0"/>
                    <w:ind w:left="0" w:right="0"/>
                    <w:jc w:val="center"/>
                    <w:rPr>
                      <w:bCs/>
                      <w:szCs w:val="21"/>
                    </w:rPr>
                  </w:pPr>
                  <w:r>
                    <w:rPr>
                      <w:bCs/>
                      <w:szCs w:val="21"/>
                    </w:rPr>
                    <w:t>/</w:t>
                  </w:r>
                </w:p>
              </w:tc>
              <w:tc>
                <w:tcPr>
                  <w:tcW w:w="561" w:type="pct"/>
                  <w:vAlign w:val="center"/>
                </w:tcPr>
                <w:p>
                  <w:pPr>
                    <w:keepNext w:val="0"/>
                    <w:keepLines w:val="0"/>
                    <w:suppressLineNumbers w:val="0"/>
                    <w:snapToGrid w:val="0"/>
                    <w:spacing w:before="0" w:beforeAutospacing="0" w:after="0" w:afterAutospacing="0"/>
                    <w:ind w:left="0" w:right="0"/>
                    <w:jc w:val="center"/>
                    <w:rPr>
                      <w:bCs/>
                      <w:szCs w:val="21"/>
                    </w:rPr>
                  </w:pPr>
                  <w:r>
                    <w:rPr>
                      <w:bCs/>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cantSplit/>
                <w:trHeight w:val="340" w:hRule="atLeast"/>
                <w:jc w:val="center"/>
              </w:trPr>
              <w:tc>
                <w:tcPr>
                  <w:tcW w:w="373" w:type="pct"/>
                  <w:vMerge w:val="continue"/>
                  <w:vAlign w:val="center"/>
                </w:tcPr>
                <w:p>
                  <w:pPr>
                    <w:keepNext w:val="0"/>
                    <w:keepLines w:val="0"/>
                    <w:suppressLineNumbers w:val="0"/>
                    <w:adjustRightInd w:val="0"/>
                    <w:snapToGrid w:val="0"/>
                    <w:spacing w:before="0" w:beforeAutospacing="0" w:after="0" w:afterAutospacing="0"/>
                    <w:ind w:left="0" w:right="92"/>
                    <w:jc w:val="center"/>
                    <w:rPr>
                      <w:bCs/>
                      <w:szCs w:val="21"/>
                    </w:rPr>
                  </w:pPr>
                </w:p>
              </w:tc>
              <w:tc>
                <w:tcPr>
                  <w:tcW w:w="472" w:type="pct"/>
                  <w:vMerge w:val="continue"/>
                  <w:vAlign w:val="center"/>
                </w:tcPr>
                <w:p>
                  <w:pPr>
                    <w:keepNext w:val="0"/>
                    <w:keepLines w:val="0"/>
                    <w:suppressLineNumbers w:val="0"/>
                    <w:adjustRightInd w:val="0"/>
                    <w:snapToGrid w:val="0"/>
                    <w:spacing w:before="0" w:beforeAutospacing="0" w:after="0" w:afterAutospacing="0"/>
                    <w:ind w:left="0" w:right="92"/>
                    <w:jc w:val="center"/>
                    <w:rPr>
                      <w:bCs/>
                      <w:szCs w:val="21"/>
                    </w:rPr>
                  </w:pPr>
                </w:p>
              </w:tc>
              <w:tc>
                <w:tcPr>
                  <w:tcW w:w="1417" w:type="pct"/>
                  <w:vAlign w:val="center"/>
                </w:tcPr>
                <w:p>
                  <w:pPr>
                    <w:keepNext w:val="0"/>
                    <w:keepLines w:val="0"/>
                    <w:suppressLineNumbers w:val="0"/>
                    <w:snapToGrid w:val="0"/>
                    <w:spacing w:before="0" w:beforeAutospacing="0" w:after="0" w:afterAutospacing="0"/>
                    <w:ind w:left="0" w:right="0"/>
                    <w:jc w:val="center"/>
                    <w:rPr>
                      <w:bCs/>
                      <w:szCs w:val="21"/>
                    </w:rPr>
                  </w:pPr>
                  <w:r>
                    <w:rPr>
                      <w:bCs/>
                      <w:szCs w:val="21"/>
                    </w:rPr>
                    <w:t>日均值浓度范围</w:t>
                  </w:r>
                </w:p>
              </w:tc>
              <w:tc>
                <w:tcPr>
                  <w:tcW w:w="847" w:type="pct"/>
                  <w:vAlign w:val="center"/>
                </w:tcPr>
                <w:p>
                  <w:pPr>
                    <w:keepNext w:val="0"/>
                    <w:keepLines w:val="0"/>
                    <w:suppressLineNumbers w:val="0"/>
                    <w:snapToGrid w:val="0"/>
                    <w:spacing w:before="0" w:beforeAutospacing="0" w:after="0" w:afterAutospacing="0"/>
                    <w:ind w:left="0" w:right="0"/>
                    <w:jc w:val="center"/>
                    <w:rPr>
                      <w:bCs/>
                      <w:szCs w:val="21"/>
                    </w:rPr>
                  </w:pPr>
                  <w:r>
                    <w:rPr>
                      <w:rFonts w:hint="eastAsia"/>
                      <w:bCs/>
                      <w:szCs w:val="21"/>
                      <w:lang w:val="en-US" w:eastAsia="zh-CN"/>
                    </w:rPr>
                    <w:t>4</w:t>
                  </w:r>
                  <w:r>
                    <w:rPr>
                      <w:bCs/>
                      <w:szCs w:val="21"/>
                    </w:rPr>
                    <w:t>00～1</w:t>
                  </w:r>
                  <w:r>
                    <w:rPr>
                      <w:rFonts w:hint="eastAsia"/>
                      <w:bCs/>
                      <w:szCs w:val="21"/>
                      <w:lang w:val="en-US" w:eastAsia="zh-CN"/>
                    </w:rPr>
                    <w:t>6</w:t>
                  </w:r>
                  <w:r>
                    <w:rPr>
                      <w:bCs/>
                      <w:szCs w:val="21"/>
                    </w:rPr>
                    <w:t>00</w:t>
                  </w:r>
                </w:p>
              </w:tc>
              <w:tc>
                <w:tcPr>
                  <w:tcW w:w="716" w:type="pct"/>
                  <w:vAlign w:val="center"/>
                </w:tcPr>
                <w:p>
                  <w:pPr>
                    <w:keepNext w:val="0"/>
                    <w:keepLines w:val="0"/>
                    <w:suppressLineNumbers w:val="0"/>
                    <w:snapToGrid w:val="0"/>
                    <w:spacing w:before="0" w:beforeAutospacing="0" w:after="0" w:afterAutospacing="0"/>
                    <w:ind w:left="0" w:right="0"/>
                    <w:jc w:val="center"/>
                    <w:rPr>
                      <w:bCs/>
                      <w:szCs w:val="21"/>
                    </w:rPr>
                  </w:pPr>
                  <w:r>
                    <w:rPr>
                      <w:bCs/>
                      <w:szCs w:val="21"/>
                    </w:rPr>
                    <w:t>4000</w:t>
                  </w:r>
                </w:p>
              </w:tc>
              <w:tc>
                <w:tcPr>
                  <w:tcW w:w="609" w:type="pct"/>
                  <w:vAlign w:val="center"/>
                </w:tcPr>
                <w:p>
                  <w:pPr>
                    <w:keepNext w:val="0"/>
                    <w:keepLines w:val="0"/>
                    <w:suppressLineNumbers w:val="0"/>
                    <w:snapToGrid w:val="0"/>
                    <w:spacing w:before="0" w:beforeAutospacing="0" w:after="0" w:afterAutospacing="0"/>
                    <w:ind w:left="0" w:right="0"/>
                    <w:jc w:val="center"/>
                    <w:rPr>
                      <w:bCs/>
                      <w:szCs w:val="21"/>
                    </w:rPr>
                  </w:pPr>
                  <w:r>
                    <w:rPr>
                      <w:bCs/>
                      <w:szCs w:val="21"/>
                    </w:rPr>
                    <w:t>/</w:t>
                  </w:r>
                </w:p>
              </w:tc>
              <w:tc>
                <w:tcPr>
                  <w:tcW w:w="561" w:type="pct"/>
                  <w:vAlign w:val="center"/>
                </w:tcPr>
                <w:p>
                  <w:pPr>
                    <w:keepNext w:val="0"/>
                    <w:keepLines w:val="0"/>
                    <w:suppressLineNumbers w:val="0"/>
                    <w:snapToGrid w:val="0"/>
                    <w:spacing w:before="0" w:beforeAutospacing="0" w:after="0" w:afterAutospacing="0"/>
                    <w:ind w:left="0" w:right="0"/>
                    <w:jc w:val="center"/>
                    <w:rPr>
                      <w:bCs/>
                      <w:szCs w:val="21"/>
                    </w:rPr>
                  </w:pPr>
                  <w:r>
                    <w:rPr>
                      <w:bCs/>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cantSplit/>
                <w:trHeight w:val="340" w:hRule="atLeast"/>
                <w:jc w:val="center"/>
              </w:trPr>
              <w:tc>
                <w:tcPr>
                  <w:tcW w:w="373" w:type="pct"/>
                  <w:vMerge w:val="continue"/>
                  <w:vAlign w:val="center"/>
                </w:tcPr>
                <w:p>
                  <w:pPr>
                    <w:keepNext w:val="0"/>
                    <w:keepLines w:val="0"/>
                    <w:suppressLineNumbers w:val="0"/>
                    <w:adjustRightInd w:val="0"/>
                    <w:snapToGrid w:val="0"/>
                    <w:spacing w:before="0" w:beforeAutospacing="0" w:after="0" w:afterAutospacing="0"/>
                    <w:ind w:left="0" w:right="92"/>
                    <w:jc w:val="center"/>
                    <w:rPr>
                      <w:bCs/>
                      <w:szCs w:val="21"/>
                    </w:rPr>
                  </w:pPr>
                </w:p>
              </w:tc>
              <w:tc>
                <w:tcPr>
                  <w:tcW w:w="472" w:type="pct"/>
                  <w:vAlign w:val="center"/>
                </w:tcPr>
                <w:p>
                  <w:pPr>
                    <w:keepNext w:val="0"/>
                    <w:keepLines w:val="0"/>
                    <w:suppressLineNumbers w:val="0"/>
                    <w:adjustRightInd w:val="0"/>
                    <w:snapToGrid w:val="0"/>
                    <w:spacing w:before="0" w:beforeAutospacing="0" w:after="0" w:afterAutospacing="0"/>
                    <w:ind w:left="0" w:right="92"/>
                    <w:jc w:val="center"/>
                    <w:rPr>
                      <w:bCs/>
                      <w:szCs w:val="21"/>
                    </w:rPr>
                  </w:pPr>
                  <w:r>
                    <w:rPr>
                      <w:bCs/>
                      <w:szCs w:val="21"/>
                    </w:rPr>
                    <w:t>O</w:t>
                  </w:r>
                  <w:r>
                    <w:rPr>
                      <w:bCs/>
                      <w:szCs w:val="21"/>
                      <w:vertAlign w:val="subscript"/>
                    </w:rPr>
                    <w:t>3</w:t>
                  </w:r>
                </w:p>
              </w:tc>
              <w:tc>
                <w:tcPr>
                  <w:tcW w:w="1417" w:type="pct"/>
                  <w:vAlign w:val="center"/>
                </w:tcPr>
                <w:p>
                  <w:pPr>
                    <w:keepNext w:val="0"/>
                    <w:keepLines w:val="0"/>
                    <w:suppressLineNumbers w:val="0"/>
                    <w:snapToGrid w:val="0"/>
                    <w:spacing w:before="0" w:beforeAutospacing="0" w:after="0" w:afterAutospacing="0"/>
                    <w:ind w:left="0" w:right="0"/>
                    <w:jc w:val="center"/>
                    <w:rPr>
                      <w:b/>
                      <w:szCs w:val="21"/>
                    </w:rPr>
                  </w:pPr>
                  <w:r>
                    <w:rPr>
                      <w:b/>
                      <w:szCs w:val="21"/>
                    </w:rPr>
                    <w:t>日最大8h滑动平均值第90百分位数</w:t>
                  </w:r>
                </w:p>
              </w:tc>
              <w:tc>
                <w:tcPr>
                  <w:tcW w:w="847" w:type="pct"/>
                  <w:vAlign w:val="center"/>
                </w:tcPr>
                <w:p>
                  <w:pPr>
                    <w:keepNext w:val="0"/>
                    <w:keepLines w:val="0"/>
                    <w:suppressLineNumbers w:val="0"/>
                    <w:snapToGrid w:val="0"/>
                    <w:spacing w:before="0" w:beforeAutospacing="0" w:after="0" w:afterAutospacing="0"/>
                    <w:ind w:left="0" w:right="0"/>
                    <w:jc w:val="center"/>
                    <w:rPr>
                      <w:rFonts w:hint="default" w:eastAsia="宋体"/>
                      <w:b/>
                      <w:szCs w:val="21"/>
                      <w:lang w:val="en-US" w:eastAsia="zh-CN"/>
                    </w:rPr>
                  </w:pPr>
                  <w:r>
                    <w:rPr>
                      <w:rFonts w:hint="eastAsia"/>
                      <w:b/>
                      <w:szCs w:val="21"/>
                      <w:lang w:val="en-US" w:eastAsia="zh-CN"/>
                    </w:rPr>
                    <w:t>174</w:t>
                  </w:r>
                </w:p>
              </w:tc>
              <w:tc>
                <w:tcPr>
                  <w:tcW w:w="716" w:type="pct"/>
                  <w:vAlign w:val="center"/>
                </w:tcPr>
                <w:p>
                  <w:pPr>
                    <w:keepNext w:val="0"/>
                    <w:keepLines w:val="0"/>
                    <w:suppressLineNumbers w:val="0"/>
                    <w:snapToGrid w:val="0"/>
                    <w:spacing w:before="0" w:beforeAutospacing="0" w:after="0" w:afterAutospacing="0"/>
                    <w:ind w:left="0" w:right="0"/>
                    <w:jc w:val="center"/>
                    <w:rPr>
                      <w:b/>
                      <w:szCs w:val="21"/>
                    </w:rPr>
                  </w:pPr>
                  <w:r>
                    <w:rPr>
                      <w:b/>
                      <w:szCs w:val="21"/>
                    </w:rPr>
                    <w:t>160</w:t>
                  </w:r>
                </w:p>
              </w:tc>
              <w:tc>
                <w:tcPr>
                  <w:tcW w:w="609" w:type="pct"/>
                  <w:vAlign w:val="center"/>
                </w:tcPr>
                <w:p>
                  <w:pPr>
                    <w:keepNext w:val="0"/>
                    <w:keepLines w:val="0"/>
                    <w:suppressLineNumbers w:val="0"/>
                    <w:snapToGrid w:val="0"/>
                    <w:spacing w:before="0" w:beforeAutospacing="0" w:after="0" w:afterAutospacing="0"/>
                    <w:ind w:left="0" w:right="0"/>
                    <w:jc w:val="center"/>
                    <w:rPr>
                      <w:rFonts w:hint="eastAsia" w:eastAsia="宋体"/>
                      <w:b/>
                      <w:szCs w:val="21"/>
                      <w:lang w:eastAsia="zh-CN"/>
                    </w:rPr>
                  </w:pPr>
                  <w:r>
                    <w:rPr>
                      <w:b/>
                      <w:szCs w:val="21"/>
                    </w:rPr>
                    <w:t>0.0</w:t>
                  </w:r>
                  <w:r>
                    <w:rPr>
                      <w:rFonts w:hint="eastAsia"/>
                      <w:b/>
                      <w:szCs w:val="21"/>
                      <w:lang w:val="en-US" w:eastAsia="zh-CN"/>
                    </w:rPr>
                    <w:t>9</w:t>
                  </w:r>
                </w:p>
              </w:tc>
              <w:tc>
                <w:tcPr>
                  <w:tcW w:w="561" w:type="pct"/>
                  <w:vAlign w:val="center"/>
                </w:tcPr>
                <w:p>
                  <w:pPr>
                    <w:keepNext w:val="0"/>
                    <w:keepLines w:val="0"/>
                    <w:suppressLineNumbers w:val="0"/>
                    <w:snapToGrid w:val="0"/>
                    <w:spacing w:before="0" w:beforeAutospacing="0" w:after="0" w:afterAutospacing="0"/>
                    <w:ind w:left="0" w:right="0"/>
                    <w:jc w:val="center"/>
                    <w:rPr>
                      <w:b/>
                      <w:szCs w:val="21"/>
                    </w:rPr>
                  </w:pPr>
                  <w:r>
                    <w:rPr>
                      <w:b/>
                      <w:szCs w:val="21"/>
                    </w:rPr>
                    <w:t>超标</w:t>
                  </w:r>
                </w:p>
              </w:tc>
            </w:tr>
          </w:tbl>
          <w:p>
            <w:pPr>
              <w:keepNext w:val="0"/>
              <w:keepLines w:val="0"/>
              <w:suppressLineNumbers w:val="0"/>
              <w:spacing w:before="0" w:beforeAutospacing="0" w:after="0" w:afterAutospacing="0" w:line="360" w:lineRule="auto"/>
              <w:ind w:left="0" w:right="0" w:firstLine="480" w:firstLineChars="200"/>
              <w:rPr>
                <w:color w:val="0000FF"/>
                <w:sz w:val="24"/>
              </w:rPr>
            </w:pPr>
            <w:r>
              <w:rPr>
                <w:sz w:val="24"/>
              </w:rPr>
              <w:t>202</w:t>
            </w:r>
            <w:r>
              <w:rPr>
                <w:rFonts w:hint="eastAsia"/>
                <w:sz w:val="24"/>
                <w:lang w:val="en-US" w:eastAsia="zh-CN"/>
              </w:rPr>
              <w:t>1</w:t>
            </w:r>
            <w:r>
              <w:rPr>
                <w:sz w:val="24"/>
              </w:rPr>
              <w:t>年常州市环境空气中SO</w:t>
            </w:r>
            <w:r>
              <w:rPr>
                <w:sz w:val="24"/>
                <w:vertAlign w:val="subscript"/>
              </w:rPr>
              <w:t>2</w:t>
            </w:r>
            <w:r>
              <w:rPr>
                <w:sz w:val="24"/>
              </w:rPr>
              <w:t>年均值与日均值、NO</w:t>
            </w:r>
            <w:r>
              <w:rPr>
                <w:sz w:val="24"/>
                <w:vertAlign w:val="subscript"/>
              </w:rPr>
              <w:t>2</w:t>
            </w:r>
            <w:r>
              <w:rPr>
                <w:sz w:val="24"/>
              </w:rPr>
              <w:t>年均值、PM</w:t>
            </w:r>
            <w:r>
              <w:rPr>
                <w:sz w:val="24"/>
                <w:vertAlign w:val="subscript"/>
              </w:rPr>
              <w:t>10</w:t>
            </w:r>
            <w:r>
              <w:rPr>
                <w:sz w:val="24"/>
              </w:rPr>
              <w:t>年均值</w:t>
            </w:r>
            <w:r>
              <w:rPr>
                <w:rFonts w:hint="eastAsia"/>
                <w:sz w:val="24"/>
                <w:lang w:eastAsia="zh-CN"/>
              </w:rPr>
              <w:t>、</w:t>
            </w:r>
            <w:r>
              <w:rPr>
                <w:sz w:val="24"/>
              </w:rPr>
              <w:t>PM</w:t>
            </w:r>
            <w:r>
              <w:rPr>
                <w:rFonts w:hint="eastAsia"/>
                <w:sz w:val="24"/>
                <w:vertAlign w:val="subscript"/>
                <w:lang w:val="en-US" w:eastAsia="zh-CN"/>
              </w:rPr>
              <w:t>2.5</w:t>
            </w:r>
            <w:r>
              <w:rPr>
                <w:sz w:val="24"/>
              </w:rPr>
              <w:t>年均值和CO日均值均达到环境空气质量二级标准；NO</w:t>
            </w:r>
            <w:r>
              <w:rPr>
                <w:sz w:val="24"/>
                <w:vertAlign w:val="subscript"/>
              </w:rPr>
              <w:t>2</w:t>
            </w:r>
            <w:r>
              <w:rPr>
                <w:sz w:val="24"/>
              </w:rPr>
              <w:t>日均值、PM</w:t>
            </w:r>
            <w:r>
              <w:rPr>
                <w:sz w:val="24"/>
                <w:vertAlign w:val="subscript"/>
              </w:rPr>
              <w:t>10</w:t>
            </w:r>
            <w:r>
              <w:rPr>
                <w:sz w:val="24"/>
              </w:rPr>
              <w:t>日均值、PM</w:t>
            </w:r>
            <w:r>
              <w:rPr>
                <w:sz w:val="24"/>
                <w:vertAlign w:val="subscript"/>
              </w:rPr>
              <w:t>2.5</w:t>
            </w:r>
            <w:r>
              <w:rPr>
                <w:sz w:val="24"/>
              </w:rPr>
              <w:t>日均值、臭氧日最大8小时滑动平均值第90百分位数浓度均超过环境空气质量二级标准，因此判定为</w:t>
            </w:r>
            <w:r>
              <w:rPr>
                <w:rFonts w:hint="eastAsia"/>
                <w:sz w:val="24"/>
                <w:lang w:eastAsia="zh-CN"/>
              </w:rPr>
              <w:t>非</w:t>
            </w:r>
            <w:r>
              <w:rPr>
                <w:sz w:val="24"/>
              </w:rPr>
              <w:t>达标区。</w:t>
            </w:r>
          </w:p>
          <w:p>
            <w:pPr>
              <w:keepNext w:val="0"/>
              <w:keepLines w:val="0"/>
              <w:suppressLineNumbers w:val="0"/>
              <w:snapToGrid w:val="0"/>
              <w:spacing w:before="0" w:beforeAutospacing="0" w:after="0" w:afterAutospacing="0" w:line="360" w:lineRule="auto"/>
              <w:ind w:left="0" w:right="0" w:firstLine="480" w:firstLineChars="200"/>
              <w:rPr>
                <w:sz w:val="24"/>
                <w:szCs w:val="22"/>
              </w:rPr>
            </w:pPr>
            <w:r>
              <w:rPr>
                <w:sz w:val="24"/>
                <w:szCs w:val="22"/>
              </w:rPr>
              <w:t>（2）大气环境质量改善方案</w:t>
            </w:r>
          </w:p>
          <w:p>
            <w:pPr>
              <w:keepNext w:val="0"/>
              <w:keepLines w:val="0"/>
              <w:suppressLineNumbers w:val="0"/>
              <w:spacing w:before="0" w:beforeAutospacing="0" w:after="0" w:afterAutospacing="0" w:line="360" w:lineRule="auto"/>
              <w:ind w:left="0" w:right="0" w:firstLine="480" w:firstLineChars="200"/>
              <w:rPr>
                <w:sz w:val="24"/>
              </w:rPr>
            </w:pPr>
            <w:r>
              <w:rPr>
                <w:rFonts w:hint="eastAsia"/>
                <w:sz w:val="24"/>
              </w:rPr>
              <w:t>1）</w:t>
            </w:r>
            <w:r>
              <w:rPr>
                <w:sz w:val="24"/>
              </w:rPr>
              <w:t>为改善大气环境质量，常州市大气污染防治联席会议办公室发布了《市大气办关于印发常州市提升大气环境质量强化管控方案的通知》（常大气办﹝2018﹞3号），明确采取严格燃煤电厂（含热电）排污控制、严控燃煤污染、强化施工扬尘污染控制、实施重点废气排放企业限产、停产等多项措施，强化对常州市域轻度污染以上但未达重污染天气预警启动条件污染天的管控。</w:t>
            </w:r>
          </w:p>
          <w:p>
            <w:pPr>
              <w:keepNext w:val="0"/>
              <w:keepLines w:val="0"/>
              <w:suppressLineNumbers w:val="0"/>
              <w:spacing w:before="0" w:beforeAutospacing="0" w:after="0" w:afterAutospacing="0" w:line="360" w:lineRule="auto"/>
              <w:ind w:left="0" w:right="0" w:firstLine="480" w:firstLineChars="200"/>
              <w:rPr>
                <w:sz w:val="24"/>
              </w:rPr>
            </w:pPr>
            <w:r>
              <w:rPr>
                <w:rFonts w:hint="eastAsia"/>
                <w:sz w:val="24"/>
                <w:szCs w:val="22"/>
              </w:rPr>
              <w:t>2）</w:t>
            </w:r>
            <w:r>
              <w:rPr>
                <w:sz w:val="24"/>
                <w:szCs w:val="22"/>
              </w:rPr>
              <w:t>常州市人民</w:t>
            </w:r>
            <w:r>
              <w:rPr>
                <w:sz w:val="24"/>
              </w:rPr>
              <w:t>政府2021年4月20日印发了《2021年常州市深入打好污染防治攻坚战工作方案》（常政发[2021]21号），工作方案目标为</w:t>
            </w:r>
            <w:r>
              <w:rPr>
                <w:sz w:val="24"/>
                <w:shd w:val="clear" w:color="auto" w:fill="FFFFFF"/>
              </w:rPr>
              <w:t>环境空气质量持续改善，完成省下达的约束性指标，PM</w:t>
            </w:r>
            <w:r>
              <w:rPr>
                <w:sz w:val="24"/>
                <w:shd w:val="clear" w:color="auto" w:fill="FFFFFF"/>
                <w:vertAlign w:val="subscript"/>
              </w:rPr>
              <w:t>2.5</w:t>
            </w:r>
            <w:r>
              <w:rPr>
                <w:sz w:val="24"/>
                <w:shd w:val="clear" w:color="auto" w:fill="FFFFFF"/>
              </w:rPr>
              <w:t>浓度工作目标40微克/立方米，优良天数比率工作目标80.7%。氮氧化物和VOC</w:t>
            </w:r>
            <w:r>
              <w:rPr>
                <w:sz w:val="24"/>
                <w:shd w:val="clear" w:color="auto" w:fill="FFFFFF"/>
                <w:vertAlign w:val="subscript"/>
              </w:rPr>
              <w:t>S</w:t>
            </w:r>
            <w:r>
              <w:rPr>
                <w:sz w:val="24"/>
                <w:shd w:val="clear" w:color="auto" w:fill="FFFFFF"/>
              </w:rPr>
              <w:t>排放量较2020年分</w:t>
            </w:r>
            <w:r>
              <w:rPr>
                <w:sz w:val="24"/>
              </w:rPr>
              <w:t>别削减8%以上和10%以</w:t>
            </w:r>
            <w:r>
              <w:rPr>
                <w:sz w:val="24"/>
                <w:shd w:val="clear" w:color="auto" w:fill="FFFFFF"/>
              </w:rPr>
              <w:t>上。重点任务：</w:t>
            </w:r>
          </w:p>
          <w:p>
            <w:pPr>
              <w:keepNext w:val="0"/>
              <w:keepLines w:val="0"/>
              <w:suppressLineNumbers w:val="0"/>
              <w:spacing w:before="0" w:beforeAutospacing="0" w:after="0" w:afterAutospacing="0" w:line="360" w:lineRule="auto"/>
              <w:ind w:left="0" w:right="0" w:firstLine="480" w:firstLineChars="200"/>
              <w:rPr>
                <w:sz w:val="24"/>
              </w:rPr>
            </w:pPr>
            <w:r>
              <w:rPr>
                <w:sz w:val="24"/>
              </w:rPr>
              <w:t>①深入推进VOCs治理：有序推进各类涉VOCs产品质量标准和要求的推广实施和执行，完成涉VOCs各类园区、企业集群的排查整治及VOCs储罐排查治理，做好相应台账资料和管理信息登记，开展工程机械、交通工具（汽车、摩托车、自行车总成及零部件）制造行业排查整治。</w:t>
            </w:r>
          </w:p>
          <w:p>
            <w:pPr>
              <w:keepNext w:val="0"/>
              <w:keepLines w:val="0"/>
              <w:suppressLineNumbers w:val="0"/>
              <w:spacing w:before="0" w:beforeAutospacing="0" w:after="0" w:afterAutospacing="0" w:line="360" w:lineRule="auto"/>
              <w:ind w:left="0" w:right="0" w:firstLine="480" w:firstLineChars="200"/>
              <w:rPr>
                <w:sz w:val="24"/>
              </w:rPr>
            </w:pPr>
            <w:r>
              <w:rPr>
                <w:sz w:val="24"/>
              </w:rPr>
              <w:t>②深化重点行业污染治理：推进燃煤、燃气、生物质锅炉和工业炉窑的超低排放改造工作，开展重点废气排放企业提升整治，继续开展铸造行业产能清理和综合整治。</w:t>
            </w:r>
          </w:p>
          <w:p>
            <w:pPr>
              <w:keepNext w:val="0"/>
              <w:keepLines w:val="0"/>
              <w:suppressLineNumbers w:val="0"/>
              <w:spacing w:before="0" w:beforeAutospacing="0" w:after="0" w:afterAutospacing="0" w:line="360" w:lineRule="auto"/>
              <w:ind w:left="0" w:right="0" w:firstLine="480" w:firstLineChars="200"/>
              <w:rPr>
                <w:sz w:val="24"/>
              </w:rPr>
            </w:pPr>
            <w:r>
              <w:rPr>
                <w:sz w:val="24"/>
              </w:rPr>
              <w:t>③实施精细化扬尘管控：严控各类工地、道路、码头堆场等重点区域扬尘污染，确保码头堆场和工地扬尘治理全</w:t>
            </w:r>
            <w:r>
              <w:rPr>
                <w:rFonts w:hint="eastAsia"/>
                <w:sz w:val="24"/>
                <w:lang w:eastAsia="zh-CN"/>
              </w:rPr>
              <w:t>敷</w:t>
            </w:r>
            <w:r>
              <w:rPr>
                <w:sz w:val="24"/>
              </w:rPr>
              <w:t>盖。</w:t>
            </w:r>
          </w:p>
          <w:p>
            <w:pPr>
              <w:keepNext w:val="0"/>
              <w:keepLines w:val="0"/>
              <w:suppressLineNumbers w:val="0"/>
              <w:spacing w:before="0" w:beforeAutospacing="0" w:after="0" w:afterAutospacing="0" w:line="360" w:lineRule="auto"/>
              <w:ind w:left="0" w:right="0" w:firstLine="480" w:firstLineChars="200"/>
              <w:rPr>
                <w:sz w:val="24"/>
              </w:rPr>
            </w:pPr>
            <w:r>
              <w:rPr>
                <w:sz w:val="24"/>
              </w:rPr>
              <w:t>④全面推进生活源治理：强化餐饮油烟监管，重点单位安装在线监控。</w:t>
            </w:r>
          </w:p>
          <w:p>
            <w:pPr>
              <w:keepNext w:val="0"/>
              <w:keepLines w:val="0"/>
              <w:suppressLineNumbers w:val="0"/>
              <w:spacing w:before="0" w:beforeAutospacing="0" w:after="0" w:afterAutospacing="0" w:line="360" w:lineRule="auto"/>
              <w:ind w:left="0" w:right="0" w:firstLine="480" w:firstLineChars="200"/>
              <w:rPr>
                <w:sz w:val="24"/>
              </w:rPr>
            </w:pPr>
            <w:r>
              <w:rPr>
                <w:sz w:val="24"/>
              </w:rPr>
              <w:t>⑤加强移动源污染防治：加快机动车结构升级，强化机动车监管，全面开展在用柴油车等各类机动车监督抽测，加强船舶和非道路移动机械污染防治，推进陆上和水上加油站、储油库油气回收在线监控建设，开展油气回收设施检查。</w:t>
            </w:r>
          </w:p>
          <w:p>
            <w:pPr>
              <w:keepNext w:val="0"/>
              <w:keepLines w:val="0"/>
              <w:suppressLineNumbers w:val="0"/>
              <w:spacing w:before="0" w:beforeAutospacing="0" w:after="0" w:afterAutospacing="0" w:line="360" w:lineRule="auto"/>
              <w:ind w:left="0" w:right="0" w:firstLine="480" w:firstLineChars="200"/>
              <w:rPr>
                <w:sz w:val="24"/>
              </w:rPr>
            </w:pPr>
            <w:r>
              <w:rPr>
                <w:sz w:val="24"/>
              </w:rPr>
              <w:t>⑥加强重污染天气应对：完成省定春夏季、秋冬季阶段性空气质量改善目标，优化预警流程，实现“分级预警，及时响应”。</w:t>
            </w:r>
          </w:p>
          <w:p>
            <w:pPr>
              <w:keepNext w:val="0"/>
              <w:keepLines w:val="0"/>
              <w:suppressLineNumbers w:val="0"/>
              <w:spacing w:before="0" w:beforeAutospacing="0" w:after="0" w:afterAutospacing="0" w:line="360" w:lineRule="auto"/>
              <w:ind w:left="0" w:right="0" w:firstLine="480" w:firstLineChars="200"/>
              <w:rPr>
                <w:sz w:val="24"/>
              </w:rPr>
            </w:pPr>
            <w:r>
              <w:rPr>
                <w:sz w:val="24"/>
              </w:rPr>
              <w:t>⑦开展重点区域排查整治：充分发挥热点网格精准溯源系统作用，建立健全工作机制，对网格报警问题实施报警、巡查、处置、反馈、复核的闭环管理工作流程，有效提升污染源管控水平。</w:t>
            </w:r>
          </w:p>
          <w:p>
            <w:pPr>
              <w:keepNext w:val="0"/>
              <w:keepLines w:val="0"/>
              <w:suppressLineNumbers w:val="0"/>
              <w:spacing w:before="0" w:beforeAutospacing="0" w:after="0" w:afterAutospacing="0" w:line="360" w:lineRule="auto"/>
              <w:ind w:left="0" w:right="0" w:firstLine="480" w:firstLineChars="200"/>
              <w:rPr>
                <w:sz w:val="24"/>
              </w:rPr>
            </w:pPr>
            <w:r>
              <w:rPr>
                <w:sz w:val="24"/>
              </w:rPr>
              <w:t>⑧努力打造碳达峰先行区：加快推进国家低碳城市试点任务，开展碳排放权有偿使用制度和低碳综合管理体系建设，推进碳达峰先行区建设。</w:t>
            </w:r>
          </w:p>
          <w:p>
            <w:pPr>
              <w:keepNext w:val="0"/>
              <w:keepLines w:val="0"/>
              <w:suppressLineNumbers w:val="0"/>
              <w:spacing w:before="0" w:beforeAutospacing="0" w:after="0" w:afterAutospacing="0" w:line="360" w:lineRule="auto"/>
              <w:ind w:left="0" w:right="0" w:firstLine="480" w:firstLineChars="200"/>
              <w:rPr>
                <w:sz w:val="24"/>
              </w:rPr>
            </w:pPr>
            <w:r>
              <w:rPr>
                <w:sz w:val="24"/>
              </w:rPr>
              <w:t>⑨优化调整四大结构，推动绿色低碳转型发展：优化调整空间结构，优化调整产业结构，优化调整能源结构，优化调整运输结构。</w:t>
            </w:r>
          </w:p>
          <w:p>
            <w:pPr>
              <w:keepNext w:val="0"/>
              <w:keepLines w:val="0"/>
              <w:suppressLineNumbers w:val="0"/>
              <w:spacing w:before="0" w:beforeAutospacing="0" w:after="0" w:afterAutospacing="0" w:line="360" w:lineRule="auto"/>
              <w:ind w:left="0" w:right="0" w:firstLine="480" w:firstLineChars="200"/>
              <w:rPr>
                <w:rFonts w:hAnsi="宋体"/>
                <w:sz w:val="24"/>
              </w:rPr>
            </w:pPr>
            <w:r>
              <w:rPr>
                <w:sz w:val="24"/>
              </w:rPr>
              <w:t>通过上述工作的不断推进实施，常州市环境空气质量将得到持续改善。</w:t>
            </w:r>
          </w:p>
          <w:p>
            <w:pPr>
              <w:keepNext w:val="0"/>
              <w:keepLines w:val="0"/>
              <w:suppressLineNumbers w:val="0"/>
              <w:spacing w:before="0" w:beforeAutospacing="0" w:after="0" w:afterAutospacing="0" w:line="360" w:lineRule="auto"/>
              <w:ind w:left="0" w:right="0" w:firstLine="480" w:firstLineChars="200"/>
              <w:rPr>
                <w:sz w:val="24"/>
                <w:szCs w:val="22"/>
              </w:rPr>
            </w:pPr>
            <w:r>
              <w:rPr>
                <w:sz w:val="24"/>
                <w:szCs w:val="22"/>
              </w:rPr>
              <w:t>（</w:t>
            </w:r>
            <w:r>
              <w:rPr>
                <w:rFonts w:hint="eastAsia"/>
                <w:sz w:val="24"/>
                <w:szCs w:val="22"/>
              </w:rPr>
              <w:t>3</w:t>
            </w:r>
            <w:r>
              <w:rPr>
                <w:sz w:val="24"/>
                <w:szCs w:val="22"/>
              </w:rPr>
              <w:t>）其他污染物环境质量现状评价</w:t>
            </w:r>
          </w:p>
          <w:p>
            <w:pPr>
              <w:keepNext w:val="0"/>
              <w:keepLines w:val="0"/>
              <w:suppressLineNumbers w:val="0"/>
              <w:spacing w:before="0" w:beforeAutospacing="0" w:after="0" w:afterAutospacing="0" w:line="360" w:lineRule="auto"/>
              <w:ind w:left="0" w:right="0" w:firstLine="480" w:firstLineChars="200"/>
              <w:rPr>
                <w:sz w:val="24"/>
                <w:szCs w:val="22"/>
              </w:rPr>
            </w:pPr>
            <w:r>
              <w:rPr>
                <w:sz w:val="24"/>
              </w:rPr>
              <w:t>本次环</w:t>
            </w:r>
            <w:r>
              <w:rPr>
                <w:sz w:val="24"/>
                <w:szCs w:val="22"/>
              </w:rPr>
              <w:t>境空气质量现状布设1个引用点G1，引用《</w:t>
            </w:r>
            <w:r>
              <w:rPr>
                <w:rFonts w:hint="eastAsia"/>
                <w:sz w:val="24"/>
                <w:szCs w:val="22"/>
              </w:rPr>
              <w:t>常州市京航机械表面处理有限公司</w:t>
            </w:r>
            <w:r>
              <w:rPr>
                <w:sz w:val="24"/>
                <w:szCs w:val="22"/>
              </w:rPr>
              <w:t>》中</w:t>
            </w:r>
            <w:r>
              <w:rPr>
                <w:rFonts w:hint="eastAsia"/>
                <w:sz w:val="24"/>
                <w:szCs w:val="22"/>
              </w:rPr>
              <w:t>江苏久诚检验检测有限公司</w:t>
            </w:r>
            <w:r>
              <w:rPr>
                <w:sz w:val="24"/>
                <w:szCs w:val="22"/>
              </w:rPr>
              <w:t>于20</w:t>
            </w:r>
            <w:r>
              <w:rPr>
                <w:rFonts w:hint="eastAsia"/>
                <w:sz w:val="24"/>
                <w:szCs w:val="22"/>
              </w:rPr>
              <w:t>21</w:t>
            </w:r>
            <w:r>
              <w:rPr>
                <w:sz w:val="24"/>
                <w:szCs w:val="22"/>
              </w:rPr>
              <w:t>年</w:t>
            </w:r>
            <w:r>
              <w:rPr>
                <w:rFonts w:hint="eastAsia"/>
                <w:sz w:val="24"/>
                <w:szCs w:val="22"/>
              </w:rPr>
              <w:t>11</w:t>
            </w:r>
            <w:r>
              <w:rPr>
                <w:sz w:val="24"/>
                <w:szCs w:val="22"/>
              </w:rPr>
              <w:t>月</w:t>
            </w:r>
            <w:r>
              <w:rPr>
                <w:rFonts w:hint="eastAsia"/>
                <w:sz w:val="24"/>
                <w:szCs w:val="22"/>
              </w:rPr>
              <w:t>2</w:t>
            </w:r>
            <w:r>
              <w:rPr>
                <w:sz w:val="24"/>
                <w:szCs w:val="22"/>
              </w:rPr>
              <w:t>日</w:t>
            </w:r>
            <w:r>
              <w:rPr>
                <w:rFonts w:hint="eastAsia"/>
                <w:sz w:val="24"/>
                <w:szCs w:val="22"/>
                <w:lang w:eastAsia="zh-CN"/>
              </w:rPr>
              <w:t>－</w:t>
            </w:r>
            <w:r>
              <w:rPr>
                <w:rFonts w:hint="eastAsia"/>
                <w:sz w:val="24"/>
                <w:szCs w:val="22"/>
              </w:rPr>
              <w:t>11</w:t>
            </w:r>
            <w:r>
              <w:rPr>
                <w:sz w:val="24"/>
                <w:szCs w:val="22"/>
              </w:rPr>
              <w:t>月</w:t>
            </w:r>
            <w:r>
              <w:rPr>
                <w:rFonts w:hint="eastAsia"/>
                <w:sz w:val="24"/>
                <w:szCs w:val="22"/>
              </w:rPr>
              <w:t>4</w:t>
            </w:r>
            <w:r>
              <w:rPr>
                <w:sz w:val="24"/>
                <w:szCs w:val="22"/>
              </w:rPr>
              <w:t>日对G1点位（</w:t>
            </w:r>
            <w:r>
              <w:rPr>
                <w:rFonts w:hint="eastAsia"/>
                <w:sz w:val="24"/>
                <w:szCs w:val="22"/>
              </w:rPr>
              <w:t>项目所在地</w:t>
            </w:r>
            <w:r>
              <w:rPr>
                <w:sz w:val="24"/>
                <w:szCs w:val="22"/>
              </w:rPr>
              <w:t>）连续</w:t>
            </w:r>
            <w:r>
              <w:rPr>
                <w:rFonts w:hint="eastAsia"/>
                <w:sz w:val="24"/>
                <w:szCs w:val="22"/>
              </w:rPr>
              <w:t>3</w:t>
            </w:r>
            <w:r>
              <w:rPr>
                <w:sz w:val="24"/>
                <w:szCs w:val="22"/>
              </w:rPr>
              <w:t>天的监测数据，报告编号：</w:t>
            </w:r>
            <w:r>
              <w:rPr>
                <w:rFonts w:hint="eastAsia"/>
                <w:sz w:val="24"/>
                <w:szCs w:val="22"/>
              </w:rPr>
              <w:t>JCH20210158</w:t>
            </w:r>
            <w:r>
              <w:rPr>
                <w:sz w:val="24"/>
                <w:szCs w:val="22"/>
              </w:rPr>
              <w:t>。引用点位见表</w:t>
            </w:r>
            <w:r>
              <w:rPr>
                <w:rFonts w:hint="eastAsia"/>
                <w:sz w:val="24"/>
                <w:szCs w:val="22"/>
              </w:rPr>
              <w:t>3-2</w:t>
            </w:r>
            <w:r>
              <w:rPr>
                <w:sz w:val="24"/>
                <w:szCs w:val="22"/>
              </w:rPr>
              <w:t>，监测数据结果见</w:t>
            </w:r>
            <w:r>
              <w:rPr>
                <w:rFonts w:hint="eastAsia"/>
                <w:sz w:val="24"/>
                <w:szCs w:val="22"/>
              </w:rPr>
              <w:t>3-3</w:t>
            </w:r>
            <w:r>
              <w:rPr>
                <w:sz w:val="24"/>
                <w:szCs w:val="22"/>
              </w:rPr>
              <w:t>。</w:t>
            </w:r>
          </w:p>
          <w:p>
            <w:pPr>
              <w:keepNext w:val="0"/>
              <w:keepLines w:val="0"/>
              <w:suppressLineNumbers w:val="0"/>
              <w:autoSpaceDE w:val="0"/>
              <w:autoSpaceDN w:val="0"/>
              <w:snapToGrid w:val="0"/>
              <w:spacing w:before="0" w:beforeAutospacing="0" w:after="0" w:afterAutospacing="0"/>
              <w:ind w:left="0" w:right="0"/>
              <w:jc w:val="center"/>
              <w:rPr>
                <w:b/>
                <w:bCs/>
                <w:sz w:val="24"/>
              </w:rPr>
            </w:pPr>
            <w:r>
              <w:rPr>
                <w:b/>
                <w:bCs/>
                <w:sz w:val="24"/>
              </w:rPr>
              <w:t>表</w:t>
            </w:r>
            <w:r>
              <w:rPr>
                <w:rFonts w:hint="eastAsia"/>
                <w:b/>
                <w:bCs/>
                <w:sz w:val="24"/>
              </w:rPr>
              <w:t xml:space="preserve">3-2 </w:t>
            </w:r>
            <w:r>
              <w:rPr>
                <w:b/>
                <w:bCs/>
                <w:sz w:val="24"/>
              </w:rPr>
              <w:t>大气环境质量引用点位、引用项目一览表</w:t>
            </w:r>
          </w:p>
          <w:tbl>
            <w:tblPr>
              <w:tblStyle w:val="21"/>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20"/>
              <w:gridCol w:w="2477"/>
              <w:gridCol w:w="1424"/>
              <w:gridCol w:w="1498"/>
              <w:gridCol w:w="155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0" w:type="pct"/>
                  <w:vAlign w:val="center"/>
                </w:tcPr>
                <w:p>
                  <w:pPr>
                    <w:keepNext w:val="0"/>
                    <w:keepLines w:val="0"/>
                    <w:suppressLineNumbers w:val="0"/>
                    <w:adjustRightInd w:val="0"/>
                    <w:snapToGrid w:val="0"/>
                    <w:spacing w:before="0" w:beforeAutospacing="0" w:after="0" w:afterAutospacing="0"/>
                    <w:ind w:left="0" w:right="92"/>
                    <w:jc w:val="center"/>
                    <w:rPr>
                      <w:b/>
                      <w:szCs w:val="21"/>
                    </w:rPr>
                  </w:pPr>
                  <w:r>
                    <w:rPr>
                      <w:b/>
                      <w:szCs w:val="21"/>
                    </w:rPr>
                    <w:t>序号</w:t>
                  </w:r>
                </w:p>
              </w:tc>
              <w:tc>
                <w:tcPr>
                  <w:tcW w:w="1553" w:type="pct"/>
                  <w:vAlign w:val="center"/>
                </w:tcPr>
                <w:p>
                  <w:pPr>
                    <w:keepNext w:val="0"/>
                    <w:keepLines w:val="0"/>
                    <w:suppressLineNumbers w:val="0"/>
                    <w:adjustRightInd w:val="0"/>
                    <w:snapToGrid w:val="0"/>
                    <w:spacing w:before="0" w:beforeAutospacing="0" w:after="0" w:afterAutospacing="0"/>
                    <w:ind w:left="0" w:right="92"/>
                    <w:jc w:val="center"/>
                    <w:rPr>
                      <w:b/>
                      <w:szCs w:val="21"/>
                    </w:rPr>
                  </w:pPr>
                  <w:r>
                    <w:rPr>
                      <w:b/>
                      <w:szCs w:val="21"/>
                    </w:rPr>
                    <w:t>引用点</w:t>
                  </w:r>
                </w:p>
              </w:tc>
              <w:tc>
                <w:tcPr>
                  <w:tcW w:w="893" w:type="pct"/>
                  <w:vAlign w:val="center"/>
                </w:tcPr>
                <w:p>
                  <w:pPr>
                    <w:keepNext w:val="0"/>
                    <w:keepLines w:val="0"/>
                    <w:suppressLineNumbers w:val="0"/>
                    <w:adjustRightInd w:val="0"/>
                    <w:snapToGrid w:val="0"/>
                    <w:spacing w:before="0" w:beforeAutospacing="0" w:after="0" w:afterAutospacing="0"/>
                    <w:ind w:left="0" w:right="92"/>
                    <w:jc w:val="center"/>
                    <w:rPr>
                      <w:b/>
                      <w:szCs w:val="21"/>
                    </w:rPr>
                  </w:pPr>
                  <w:r>
                    <w:rPr>
                      <w:b/>
                      <w:szCs w:val="21"/>
                    </w:rPr>
                    <w:t>相对方位</w:t>
                  </w:r>
                </w:p>
              </w:tc>
              <w:tc>
                <w:tcPr>
                  <w:tcW w:w="939" w:type="pct"/>
                  <w:vAlign w:val="center"/>
                </w:tcPr>
                <w:p>
                  <w:pPr>
                    <w:keepNext w:val="0"/>
                    <w:keepLines w:val="0"/>
                    <w:suppressLineNumbers w:val="0"/>
                    <w:adjustRightInd w:val="0"/>
                    <w:snapToGrid w:val="0"/>
                    <w:spacing w:before="0" w:beforeAutospacing="0" w:after="0" w:afterAutospacing="0"/>
                    <w:ind w:left="0" w:right="92"/>
                    <w:jc w:val="center"/>
                    <w:rPr>
                      <w:b/>
                      <w:szCs w:val="21"/>
                    </w:rPr>
                  </w:pPr>
                  <w:r>
                    <w:rPr>
                      <w:b/>
                      <w:szCs w:val="21"/>
                    </w:rPr>
                    <w:t>直线距离</w:t>
                  </w:r>
                </w:p>
              </w:tc>
              <w:tc>
                <w:tcPr>
                  <w:tcW w:w="973" w:type="pct"/>
                  <w:vAlign w:val="center"/>
                </w:tcPr>
                <w:p>
                  <w:pPr>
                    <w:keepNext w:val="0"/>
                    <w:keepLines w:val="0"/>
                    <w:suppressLineNumbers w:val="0"/>
                    <w:adjustRightInd w:val="0"/>
                    <w:snapToGrid w:val="0"/>
                    <w:spacing w:before="0" w:beforeAutospacing="0" w:after="0" w:afterAutospacing="0"/>
                    <w:ind w:left="0" w:right="92"/>
                    <w:jc w:val="center"/>
                    <w:rPr>
                      <w:b/>
                      <w:szCs w:val="21"/>
                    </w:rPr>
                  </w:pPr>
                  <w:r>
                    <w:rPr>
                      <w:b/>
                      <w:szCs w:val="21"/>
                    </w:rPr>
                    <w:t>引用项目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0" w:type="pct"/>
                  <w:vAlign w:val="center"/>
                </w:tcPr>
                <w:p>
                  <w:pPr>
                    <w:keepNext w:val="0"/>
                    <w:keepLines w:val="0"/>
                    <w:suppressLineNumbers w:val="0"/>
                    <w:adjustRightInd w:val="0"/>
                    <w:snapToGrid w:val="0"/>
                    <w:spacing w:before="0" w:beforeAutospacing="0" w:after="0" w:afterAutospacing="0"/>
                    <w:ind w:left="0" w:right="92"/>
                    <w:jc w:val="center"/>
                    <w:rPr>
                      <w:bCs/>
                      <w:szCs w:val="21"/>
                    </w:rPr>
                  </w:pPr>
                  <w:r>
                    <w:rPr>
                      <w:bCs/>
                      <w:szCs w:val="21"/>
                    </w:rPr>
                    <w:t>G1</w:t>
                  </w:r>
                </w:p>
              </w:tc>
              <w:tc>
                <w:tcPr>
                  <w:tcW w:w="1553" w:type="pct"/>
                  <w:vAlign w:val="center"/>
                </w:tcPr>
                <w:p>
                  <w:pPr>
                    <w:keepNext w:val="0"/>
                    <w:keepLines w:val="0"/>
                    <w:suppressLineNumbers w:val="0"/>
                    <w:adjustRightInd w:val="0"/>
                    <w:snapToGrid w:val="0"/>
                    <w:spacing w:before="0" w:beforeAutospacing="0" w:after="0" w:afterAutospacing="0"/>
                    <w:ind w:left="0" w:right="92"/>
                    <w:jc w:val="center"/>
                    <w:rPr>
                      <w:bCs/>
                      <w:szCs w:val="21"/>
                    </w:rPr>
                  </w:pPr>
                  <w:r>
                    <w:rPr>
                      <w:rFonts w:hint="eastAsia"/>
                      <w:szCs w:val="21"/>
                    </w:rPr>
                    <w:t>常州市京航机械表面处理有限公司项目所在地</w:t>
                  </w:r>
                </w:p>
              </w:tc>
              <w:tc>
                <w:tcPr>
                  <w:tcW w:w="893" w:type="pct"/>
                  <w:vAlign w:val="center"/>
                </w:tcPr>
                <w:p>
                  <w:pPr>
                    <w:keepNext w:val="0"/>
                    <w:keepLines w:val="0"/>
                    <w:suppressLineNumbers w:val="0"/>
                    <w:adjustRightInd w:val="0"/>
                    <w:snapToGrid w:val="0"/>
                    <w:spacing w:before="0" w:beforeAutospacing="0" w:after="0" w:afterAutospacing="0"/>
                    <w:ind w:left="0" w:right="92"/>
                    <w:jc w:val="center"/>
                    <w:rPr>
                      <w:bCs/>
                      <w:szCs w:val="21"/>
                    </w:rPr>
                  </w:pPr>
                  <w:r>
                    <w:rPr>
                      <w:rFonts w:hint="eastAsia"/>
                      <w:bCs/>
                      <w:szCs w:val="21"/>
                    </w:rPr>
                    <w:t>NE</w:t>
                  </w:r>
                </w:p>
              </w:tc>
              <w:tc>
                <w:tcPr>
                  <w:tcW w:w="939" w:type="pct"/>
                  <w:vAlign w:val="center"/>
                </w:tcPr>
                <w:p>
                  <w:pPr>
                    <w:keepNext w:val="0"/>
                    <w:keepLines w:val="0"/>
                    <w:suppressLineNumbers w:val="0"/>
                    <w:adjustRightInd w:val="0"/>
                    <w:snapToGrid w:val="0"/>
                    <w:spacing w:before="0" w:beforeAutospacing="0" w:after="0" w:afterAutospacing="0"/>
                    <w:ind w:left="0" w:right="92"/>
                    <w:jc w:val="center"/>
                    <w:rPr>
                      <w:bCs/>
                      <w:szCs w:val="21"/>
                    </w:rPr>
                  </w:pPr>
                  <w:r>
                    <w:rPr>
                      <w:rFonts w:hint="eastAsia"/>
                      <w:bCs/>
                      <w:szCs w:val="21"/>
                    </w:rPr>
                    <w:t>1550</w:t>
                  </w:r>
                  <w:r>
                    <w:rPr>
                      <w:bCs/>
                      <w:szCs w:val="21"/>
                    </w:rPr>
                    <w:t>m</w:t>
                  </w:r>
                </w:p>
              </w:tc>
              <w:tc>
                <w:tcPr>
                  <w:tcW w:w="973" w:type="pct"/>
                  <w:vAlign w:val="center"/>
                </w:tcPr>
                <w:p>
                  <w:pPr>
                    <w:keepNext w:val="0"/>
                    <w:keepLines w:val="0"/>
                    <w:suppressLineNumbers w:val="0"/>
                    <w:adjustRightInd w:val="0"/>
                    <w:snapToGrid w:val="0"/>
                    <w:spacing w:before="0" w:beforeAutospacing="0" w:after="0" w:afterAutospacing="0"/>
                    <w:ind w:left="0" w:right="92"/>
                    <w:jc w:val="center"/>
                    <w:rPr>
                      <w:bCs/>
                      <w:szCs w:val="21"/>
                    </w:rPr>
                  </w:pPr>
                  <w:r>
                    <w:rPr>
                      <w:color w:val="000000"/>
                      <w:szCs w:val="21"/>
                    </w:rPr>
                    <w:t>非甲烷总烃</w:t>
                  </w:r>
                </w:p>
              </w:tc>
            </w:tr>
          </w:tbl>
          <w:p>
            <w:pPr>
              <w:keepNext w:val="0"/>
              <w:keepLines w:val="0"/>
              <w:suppressLineNumbers w:val="0"/>
              <w:autoSpaceDE w:val="0"/>
              <w:autoSpaceDN w:val="0"/>
              <w:spacing w:before="0" w:beforeAutospacing="0" w:after="0" w:afterAutospacing="0"/>
              <w:ind w:left="0" w:right="0"/>
              <w:jc w:val="center"/>
              <w:rPr>
                <w:b/>
                <w:bCs/>
                <w:sz w:val="24"/>
                <w:vertAlign w:val="superscript"/>
              </w:rPr>
            </w:pPr>
            <w:r>
              <w:rPr>
                <w:b/>
                <w:bCs/>
                <w:sz w:val="24"/>
              </w:rPr>
              <w:t>表</w:t>
            </w:r>
            <w:r>
              <w:rPr>
                <w:rFonts w:hint="eastAsia"/>
                <w:b/>
                <w:bCs/>
                <w:sz w:val="24"/>
              </w:rPr>
              <w:t>3-3</w:t>
            </w:r>
            <w:r>
              <w:rPr>
                <w:b/>
                <w:bCs/>
                <w:sz w:val="24"/>
              </w:rPr>
              <w:t xml:space="preserve"> 其他污染物环境质量现状监测结果  单位：mg/m</w:t>
            </w:r>
            <w:r>
              <w:rPr>
                <w:b/>
                <w:bCs/>
                <w:sz w:val="24"/>
                <w:vertAlign w:val="superscript"/>
              </w:rPr>
              <w:t>3</w:t>
            </w:r>
            <w:r>
              <w:rPr>
                <w:rFonts w:hint="eastAsia"/>
                <w:b/>
                <w:bCs/>
                <w:sz w:val="24"/>
                <w:vertAlign w:val="superscript"/>
              </w:rPr>
              <w:t xml:space="preserve"> </w:t>
            </w:r>
          </w:p>
          <w:tbl>
            <w:tblPr>
              <w:tblStyle w:val="21"/>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80"/>
              <w:gridCol w:w="1453"/>
              <w:gridCol w:w="1287"/>
              <w:gridCol w:w="1324"/>
              <w:gridCol w:w="1112"/>
              <w:gridCol w:w="151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03" w:type="pct"/>
                  <w:vMerge w:val="restart"/>
                  <w:vAlign w:val="center"/>
                </w:tcPr>
                <w:p>
                  <w:pPr>
                    <w:keepNext w:val="0"/>
                    <w:keepLines w:val="0"/>
                    <w:suppressLineNumbers w:val="0"/>
                    <w:adjustRightInd w:val="0"/>
                    <w:snapToGrid w:val="0"/>
                    <w:spacing w:before="0" w:beforeAutospacing="0" w:after="0" w:afterAutospacing="0"/>
                    <w:ind w:left="0" w:right="92"/>
                    <w:jc w:val="center"/>
                    <w:rPr>
                      <w:b/>
                      <w:szCs w:val="21"/>
                    </w:rPr>
                  </w:pPr>
                  <w:r>
                    <w:rPr>
                      <w:b/>
                      <w:szCs w:val="21"/>
                    </w:rPr>
                    <w:t>点位编号</w:t>
                  </w:r>
                </w:p>
              </w:tc>
              <w:tc>
                <w:tcPr>
                  <w:tcW w:w="911" w:type="pct"/>
                  <w:vMerge w:val="restart"/>
                  <w:vAlign w:val="center"/>
                </w:tcPr>
                <w:p>
                  <w:pPr>
                    <w:keepNext w:val="0"/>
                    <w:keepLines w:val="0"/>
                    <w:suppressLineNumbers w:val="0"/>
                    <w:adjustRightInd w:val="0"/>
                    <w:snapToGrid w:val="0"/>
                    <w:spacing w:before="0" w:beforeAutospacing="0" w:after="0" w:afterAutospacing="0"/>
                    <w:ind w:left="0" w:right="92"/>
                    <w:jc w:val="center"/>
                    <w:rPr>
                      <w:b/>
                      <w:szCs w:val="21"/>
                      <w:vertAlign w:val="subscript"/>
                    </w:rPr>
                  </w:pPr>
                  <w:r>
                    <w:rPr>
                      <w:b/>
                      <w:szCs w:val="21"/>
                    </w:rPr>
                    <w:t>点位名称</w:t>
                  </w:r>
                </w:p>
              </w:tc>
              <w:tc>
                <w:tcPr>
                  <w:tcW w:w="807" w:type="pct"/>
                  <w:vMerge w:val="restart"/>
                  <w:vAlign w:val="center"/>
                </w:tcPr>
                <w:p>
                  <w:pPr>
                    <w:keepNext w:val="0"/>
                    <w:keepLines w:val="0"/>
                    <w:suppressLineNumbers w:val="0"/>
                    <w:adjustRightInd w:val="0"/>
                    <w:snapToGrid w:val="0"/>
                    <w:spacing w:before="0" w:beforeAutospacing="0" w:after="0" w:afterAutospacing="0"/>
                    <w:ind w:left="0" w:right="92"/>
                    <w:jc w:val="center"/>
                    <w:rPr>
                      <w:b/>
                      <w:szCs w:val="21"/>
                      <w:vertAlign w:val="subscript"/>
                    </w:rPr>
                  </w:pPr>
                  <w:r>
                    <w:rPr>
                      <w:b/>
                      <w:szCs w:val="21"/>
                    </w:rPr>
                    <w:t>污染物名称</w:t>
                  </w:r>
                </w:p>
              </w:tc>
              <w:tc>
                <w:tcPr>
                  <w:tcW w:w="2477" w:type="pct"/>
                  <w:gridSpan w:val="3"/>
                  <w:vAlign w:val="center"/>
                </w:tcPr>
                <w:p>
                  <w:pPr>
                    <w:keepNext w:val="0"/>
                    <w:keepLines w:val="0"/>
                    <w:suppressLineNumbers w:val="0"/>
                    <w:adjustRightInd w:val="0"/>
                    <w:snapToGrid w:val="0"/>
                    <w:spacing w:before="0" w:beforeAutospacing="0" w:after="0" w:afterAutospacing="0"/>
                    <w:ind w:left="0" w:right="92"/>
                    <w:jc w:val="center"/>
                    <w:rPr>
                      <w:b/>
                      <w:szCs w:val="21"/>
                    </w:rPr>
                  </w:pPr>
                  <w:r>
                    <w:rPr>
                      <w:b/>
                      <w:szCs w:val="21"/>
                    </w:rPr>
                    <w:t>小时浓度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03" w:type="pct"/>
                  <w:vMerge w:val="continue"/>
                  <w:vAlign w:val="center"/>
                </w:tcPr>
                <w:p>
                  <w:pPr>
                    <w:keepNext w:val="0"/>
                    <w:keepLines w:val="0"/>
                    <w:suppressLineNumbers w:val="0"/>
                    <w:adjustRightInd w:val="0"/>
                    <w:snapToGrid w:val="0"/>
                    <w:spacing w:before="0" w:beforeAutospacing="0" w:after="0" w:afterAutospacing="0"/>
                    <w:ind w:left="0" w:right="92"/>
                    <w:jc w:val="center"/>
                    <w:rPr>
                      <w:b/>
                      <w:szCs w:val="21"/>
                    </w:rPr>
                  </w:pPr>
                </w:p>
              </w:tc>
              <w:tc>
                <w:tcPr>
                  <w:tcW w:w="911" w:type="pct"/>
                  <w:vMerge w:val="continue"/>
                  <w:vAlign w:val="center"/>
                </w:tcPr>
                <w:p>
                  <w:pPr>
                    <w:keepNext w:val="0"/>
                    <w:keepLines w:val="0"/>
                    <w:suppressLineNumbers w:val="0"/>
                    <w:adjustRightInd w:val="0"/>
                    <w:snapToGrid w:val="0"/>
                    <w:spacing w:before="0" w:beforeAutospacing="0" w:after="0" w:afterAutospacing="0"/>
                    <w:ind w:left="0" w:right="92"/>
                    <w:jc w:val="center"/>
                    <w:rPr>
                      <w:b/>
                      <w:szCs w:val="21"/>
                    </w:rPr>
                  </w:pPr>
                </w:p>
              </w:tc>
              <w:tc>
                <w:tcPr>
                  <w:tcW w:w="807" w:type="pct"/>
                  <w:vMerge w:val="continue"/>
                  <w:vAlign w:val="center"/>
                </w:tcPr>
                <w:p>
                  <w:pPr>
                    <w:keepNext w:val="0"/>
                    <w:keepLines w:val="0"/>
                    <w:suppressLineNumbers w:val="0"/>
                    <w:adjustRightInd w:val="0"/>
                    <w:snapToGrid w:val="0"/>
                    <w:spacing w:before="0" w:beforeAutospacing="0" w:after="0" w:afterAutospacing="0"/>
                    <w:ind w:left="0" w:right="92"/>
                    <w:jc w:val="center"/>
                    <w:rPr>
                      <w:b/>
                      <w:szCs w:val="21"/>
                    </w:rPr>
                  </w:pPr>
                </w:p>
              </w:tc>
              <w:tc>
                <w:tcPr>
                  <w:tcW w:w="830" w:type="pct"/>
                  <w:vAlign w:val="center"/>
                </w:tcPr>
                <w:p>
                  <w:pPr>
                    <w:keepNext w:val="0"/>
                    <w:keepLines w:val="0"/>
                    <w:suppressLineNumbers w:val="0"/>
                    <w:adjustRightInd w:val="0"/>
                    <w:snapToGrid w:val="0"/>
                    <w:spacing w:before="0" w:beforeAutospacing="0" w:after="0" w:afterAutospacing="0"/>
                    <w:ind w:left="0" w:right="92"/>
                    <w:jc w:val="center"/>
                    <w:rPr>
                      <w:b/>
                      <w:szCs w:val="21"/>
                    </w:rPr>
                  </w:pPr>
                  <w:r>
                    <w:rPr>
                      <w:b/>
                      <w:szCs w:val="21"/>
                    </w:rPr>
                    <w:t>浓度范围</w:t>
                  </w:r>
                </w:p>
              </w:tc>
              <w:tc>
                <w:tcPr>
                  <w:tcW w:w="697" w:type="pct"/>
                  <w:vAlign w:val="center"/>
                </w:tcPr>
                <w:p>
                  <w:pPr>
                    <w:keepNext w:val="0"/>
                    <w:keepLines w:val="0"/>
                    <w:suppressLineNumbers w:val="0"/>
                    <w:adjustRightInd w:val="0"/>
                    <w:snapToGrid w:val="0"/>
                    <w:spacing w:before="0" w:beforeAutospacing="0" w:after="0" w:afterAutospacing="0"/>
                    <w:ind w:left="0" w:right="92"/>
                    <w:jc w:val="center"/>
                    <w:rPr>
                      <w:b/>
                      <w:szCs w:val="21"/>
                    </w:rPr>
                  </w:pPr>
                  <w:r>
                    <w:rPr>
                      <w:b/>
                      <w:szCs w:val="21"/>
                    </w:rPr>
                    <w:t>超标率%</w:t>
                  </w:r>
                </w:p>
              </w:tc>
              <w:tc>
                <w:tcPr>
                  <w:tcW w:w="949" w:type="pct"/>
                  <w:vAlign w:val="center"/>
                </w:tcPr>
                <w:p>
                  <w:pPr>
                    <w:keepNext w:val="0"/>
                    <w:keepLines w:val="0"/>
                    <w:suppressLineNumbers w:val="0"/>
                    <w:adjustRightInd w:val="0"/>
                    <w:snapToGrid w:val="0"/>
                    <w:spacing w:before="0" w:beforeAutospacing="0" w:after="0" w:afterAutospacing="0"/>
                    <w:ind w:left="-199" w:leftChars="-95" w:right="-138"/>
                    <w:jc w:val="center"/>
                    <w:rPr>
                      <w:b/>
                      <w:szCs w:val="21"/>
                    </w:rPr>
                  </w:pPr>
                  <w:r>
                    <w:rPr>
                      <w:b/>
                      <w:szCs w:val="21"/>
                    </w:rPr>
                    <w:t>最大超标倍数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03" w:type="pct"/>
                  <w:vAlign w:val="center"/>
                </w:tcPr>
                <w:p>
                  <w:pPr>
                    <w:keepNext w:val="0"/>
                    <w:keepLines w:val="0"/>
                    <w:suppressLineNumbers w:val="0"/>
                    <w:adjustRightInd w:val="0"/>
                    <w:snapToGrid w:val="0"/>
                    <w:spacing w:before="0" w:beforeAutospacing="0" w:after="0" w:afterAutospacing="0"/>
                    <w:ind w:left="0" w:right="92"/>
                    <w:jc w:val="center"/>
                    <w:rPr>
                      <w:bCs/>
                      <w:szCs w:val="21"/>
                    </w:rPr>
                  </w:pPr>
                  <w:r>
                    <w:rPr>
                      <w:bCs/>
                      <w:szCs w:val="21"/>
                    </w:rPr>
                    <w:t>G1</w:t>
                  </w:r>
                </w:p>
              </w:tc>
              <w:tc>
                <w:tcPr>
                  <w:tcW w:w="911" w:type="pct"/>
                  <w:vAlign w:val="center"/>
                </w:tcPr>
                <w:p>
                  <w:pPr>
                    <w:keepNext w:val="0"/>
                    <w:keepLines w:val="0"/>
                    <w:suppressLineNumbers w:val="0"/>
                    <w:adjustRightInd w:val="0"/>
                    <w:snapToGrid w:val="0"/>
                    <w:spacing w:before="0" w:beforeAutospacing="0" w:after="0" w:afterAutospacing="0"/>
                    <w:ind w:left="0" w:right="-55"/>
                    <w:jc w:val="center"/>
                    <w:rPr>
                      <w:bCs/>
                      <w:szCs w:val="21"/>
                    </w:rPr>
                  </w:pPr>
                  <w:r>
                    <w:rPr>
                      <w:rFonts w:hint="eastAsia"/>
                      <w:szCs w:val="21"/>
                    </w:rPr>
                    <w:t>常州市京航机械表面处理有限公司项目所在地</w:t>
                  </w:r>
                </w:p>
              </w:tc>
              <w:tc>
                <w:tcPr>
                  <w:tcW w:w="807" w:type="pct"/>
                  <w:vAlign w:val="center"/>
                </w:tcPr>
                <w:p>
                  <w:pPr>
                    <w:keepNext w:val="0"/>
                    <w:keepLines w:val="0"/>
                    <w:suppressLineNumbers w:val="0"/>
                    <w:adjustRightInd w:val="0"/>
                    <w:snapToGrid w:val="0"/>
                    <w:spacing w:before="0" w:beforeAutospacing="0" w:after="0" w:afterAutospacing="0"/>
                    <w:ind w:left="0" w:right="92"/>
                    <w:jc w:val="center"/>
                    <w:rPr>
                      <w:bCs/>
                      <w:szCs w:val="21"/>
                    </w:rPr>
                  </w:pPr>
                  <w:r>
                    <w:rPr>
                      <w:bCs/>
                      <w:szCs w:val="21"/>
                    </w:rPr>
                    <w:t>非甲烷总烃</w:t>
                  </w:r>
                </w:p>
              </w:tc>
              <w:tc>
                <w:tcPr>
                  <w:tcW w:w="830" w:type="pct"/>
                  <w:vAlign w:val="center"/>
                </w:tcPr>
                <w:p>
                  <w:pPr>
                    <w:keepNext w:val="0"/>
                    <w:keepLines w:val="0"/>
                    <w:suppressLineNumbers w:val="0"/>
                    <w:adjustRightInd w:val="0"/>
                    <w:snapToGrid w:val="0"/>
                    <w:spacing w:before="0" w:beforeAutospacing="0" w:after="0" w:afterAutospacing="0"/>
                    <w:ind w:left="0" w:right="92"/>
                    <w:jc w:val="center"/>
                    <w:rPr>
                      <w:bCs/>
                      <w:szCs w:val="21"/>
                    </w:rPr>
                  </w:pPr>
                  <w:r>
                    <w:rPr>
                      <w:rFonts w:hint="eastAsia"/>
                      <w:bCs/>
                      <w:szCs w:val="21"/>
                    </w:rPr>
                    <w:t>0.58-0.73</w:t>
                  </w:r>
                </w:p>
              </w:tc>
              <w:tc>
                <w:tcPr>
                  <w:tcW w:w="697" w:type="pct"/>
                  <w:vAlign w:val="center"/>
                </w:tcPr>
                <w:p>
                  <w:pPr>
                    <w:keepNext w:val="0"/>
                    <w:keepLines w:val="0"/>
                    <w:suppressLineNumbers w:val="0"/>
                    <w:adjustRightInd w:val="0"/>
                    <w:snapToGrid w:val="0"/>
                    <w:spacing w:before="0" w:beforeAutospacing="0" w:after="0" w:afterAutospacing="0"/>
                    <w:ind w:left="0" w:right="92"/>
                    <w:jc w:val="center"/>
                    <w:rPr>
                      <w:bCs/>
                      <w:szCs w:val="21"/>
                    </w:rPr>
                  </w:pPr>
                  <w:r>
                    <w:rPr>
                      <w:bCs/>
                      <w:szCs w:val="21"/>
                    </w:rPr>
                    <w:t>0</w:t>
                  </w:r>
                </w:p>
              </w:tc>
              <w:tc>
                <w:tcPr>
                  <w:tcW w:w="949" w:type="pct"/>
                  <w:vAlign w:val="center"/>
                </w:tcPr>
                <w:p>
                  <w:pPr>
                    <w:keepNext w:val="0"/>
                    <w:keepLines w:val="0"/>
                    <w:suppressLineNumbers w:val="0"/>
                    <w:adjustRightInd w:val="0"/>
                    <w:snapToGrid w:val="0"/>
                    <w:spacing w:before="0" w:beforeAutospacing="0" w:after="0" w:afterAutospacing="0"/>
                    <w:ind w:left="0" w:right="92"/>
                    <w:jc w:val="center"/>
                    <w:rPr>
                      <w:bCs/>
                      <w:szCs w:val="21"/>
                    </w:rPr>
                  </w:pPr>
                  <w:r>
                    <w:rPr>
                      <w:bCs/>
                      <w:szCs w:val="21"/>
                    </w:rPr>
                    <w:t>0</w:t>
                  </w:r>
                </w:p>
              </w:tc>
            </w:tr>
          </w:tbl>
          <w:p>
            <w:pPr>
              <w:keepNext w:val="0"/>
              <w:keepLines w:val="0"/>
              <w:suppressLineNumbers w:val="0"/>
              <w:spacing w:before="0" w:beforeAutospacing="0" w:after="0" w:afterAutospacing="0" w:line="360" w:lineRule="auto"/>
              <w:ind w:left="0" w:right="0" w:firstLine="480" w:firstLineChars="200"/>
              <w:rPr>
                <w:sz w:val="24"/>
                <w:szCs w:val="22"/>
              </w:rPr>
            </w:pPr>
            <w:r>
              <w:rPr>
                <w:sz w:val="24"/>
                <w:szCs w:val="22"/>
              </w:rPr>
              <w:t>根据上表</w:t>
            </w:r>
            <w:r>
              <w:rPr>
                <w:rFonts w:hint="eastAsia"/>
                <w:sz w:val="24"/>
                <w:szCs w:val="22"/>
              </w:rPr>
              <w:t>可以看出</w:t>
            </w:r>
            <w:r>
              <w:rPr>
                <w:sz w:val="24"/>
                <w:szCs w:val="22"/>
              </w:rPr>
              <w:t>，特征因子非甲烷总烃在G1点均未出现超标现象，现状引用值基本满足项目所在地区的环境功能区划要求。</w:t>
            </w:r>
          </w:p>
          <w:p>
            <w:pPr>
              <w:keepNext w:val="0"/>
              <w:keepLines w:val="0"/>
              <w:suppressLineNumbers w:val="0"/>
              <w:spacing w:before="0" w:beforeAutospacing="0" w:after="0" w:afterAutospacing="0" w:line="360" w:lineRule="auto"/>
              <w:ind w:left="0" w:right="0" w:firstLine="480" w:firstLineChars="200"/>
              <w:rPr>
                <w:sz w:val="24"/>
                <w:szCs w:val="22"/>
              </w:rPr>
            </w:pPr>
            <w:r>
              <w:rPr>
                <w:sz w:val="24"/>
                <w:szCs w:val="22"/>
              </w:rPr>
              <w:t>引用数据有效性分析：本项目引用</w:t>
            </w:r>
            <w:r>
              <w:rPr>
                <w:rFonts w:hint="eastAsia"/>
                <w:sz w:val="24"/>
                <w:szCs w:val="22"/>
              </w:rPr>
              <w:t>江苏久诚检验检测有限公司</w:t>
            </w:r>
            <w:r>
              <w:rPr>
                <w:sz w:val="24"/>
                <w:szCs w:val="22"/>
              </w:rPr>
              <w:t>于20</w:t>
            </w:r>
            <w:r>
              <w:rPr>
                <w:rFonts w:hint="eastAsia"/>
                <w:sz w:val="24"/>
                <w:szCs w:val="22"/>
              </w:rPr>
              <w:t>21</w:t>
            </w:r>
            <w:r>
              <w:rPr>
                <w:sz w:val="24"/>
                <w:szCs w:val="22"/>
              </w:rPr>
              <w:t>年</w:t>
            </w:r>
            <w:r>
              <w:rPr>
                <w:rFonts w:hint="eastAsia"/>
                <w:sz w:val="24"/>
                <w:szCs w:val="22"/>
              </w:rPr>
              <w:t>11</w:t>
            </w:r>
            <w:r>
              <w:rPr>
                <w:sz w:val="24"/>
                <w:szCs w:val="22"/>
              </w:rPr>
              <w:t>月</w:t>
            </w:r>
            <w:r>
              <w:rPr>
                <w:rFonts w:hint="eastAsia"/>
                <w:sz w:val="24"/>
                <w:szCs w:val="22"/>
              </w:rPr>
              <w:t>2</w:t>
            </w:r>
            <w:r>
              <w:rPr>
                <w:sz w:val="24"/>
                <w:szCs w:val="22"/>
              </w:rPr>
              <w:t>日</w:t>
            </w:r>
            <w:r>
              <w:rPr>
                <w:rFonts w:hint="eastAsia"/>
                <w:sz w:val="24"/>
                <w:szCs w:val="22"/>
                <w:lang w:eastAsia="zh-CN"/>
              </w:rPr>
              <w:t>－</w:t>
            </w:r>
            <w:r>
              <w:rPr>
                <w:rFonts w:hint="eastAsia"/>
                <w:sz w:val="24"/>
                <w:szCs w:val="22"/>
              </w:rPr>
              <w:t>11</w:t>
            </w:r>
            <w:r>
              <w:rPr>
                <w:sz w:val="24"/>
                <w:szCs w:val="22"/>
              </w:rPr>
              <w:t>月</w:t>
            </w:r>
            <w:r>
              <w:rPr>
                <w:rFonts w:hint="eastAsia"/>
                <w:sz w:val="24"/>
                <w:szCs w:val="22"/>
              </w:rPr>
              <w:t>4</w:t>
            </w:r>
            <w:r>
              <w:rPr>
                <w:sz w:val="24"/>
                <w:szCs w:val="22"/>
              </w:rPr>
              <w:t>日对项目</w:t>
            </w:r>
            <w:r>
              <w:rPr>
                <w:rFonts w:hint="eastAsia"/>
                <w:sz w:val="24"/>
                <w:szCs w:val="22"/>
              </w:rPr>
              <w:t>东北</w:t>
            </w:r>
            <w:r>
              <w:rPr>
                <w:sz w:val="24"/>
                <w:szCs w:val="22"/>
              </w:rPr>
              <w:t>侧约</w:t>
            </w:r>
            <w:r>
              <w:rPr>
                <w:rFonts w:hint="eastAsia"/>
                <w:sz w:val="24"/>
                <w:szCs w:val="22"/>
              </w:rPr>
              <w:t>155</w:t>
            </w:r>
            <w:r>
              <w:rPr>
                <w:sz w:val="24"/>
                <w:szCs w:val="22"/>
              </w:rPr>
              <w:t>0m处“</w:t>
            </w:r>
            <w:r>
              <w:rPr>
                <w:rFonts w:hint="eastAsia"/>
                <w:sz w:val="24"/>
                <w:szCs w:val="22"/>
              </w:rPr>
              <w:t>常州市京航机械表面处理有限公司项目所在地</w:t>
            </w:r>
            <w:r>
              <w:rPr>
                <w:sz w:val="24"/>
                <w:szCs w:val="22"/>
              </w:rPr>
              <w:t>”</w:t>
            </w:r>
            <w:r>
              <w:rPr>
                <w:rFonts w:hint="eastAsia"/>
                <w:sz w:val="24"/>
                <w:szCs w:val="22"/>
              </w:rPr>
              <w:t>的监测数据</w:t>
            </w:r>
            <w:r>
              <w:rPr>
                <w:sz w:val="24"/>
                <w:szCs w:val="22"/>
              </w:rPr>
              <w:t>，引用时间不超过3年，大气环境引用时间有效；项目所在区域污染源未发生重大变化，可引用3年内环境空气的监测数据；引用点位在项目相关评价范围内，则大气环境引用点位有效。</w:t>
            </w:r>
          </w:p>
          <w:p>
            <w:pPr>
              <w:keepNext w:val="0"/>
              <w:keepLines w:val="0"/>
              <w:suppressLineNumbers w:val="0"/>
              <w:adjustRightInd w:val="0"/>
              <w:snapToGrid w:val="0"/>
              <w:spacing w:before="0" w:beforeAutospacing="0" w:after="0" w:afterAutospacing="0" w:line="360" w:lineRule="auto"/>
              <w:ind w:left="0" w:right="0"/>
              <w:rPr>
                <w:b/>
                <w:sz w:val="24"/>
              </w:rPr>
            </w:pPr>
            <w:r>
              <w:rPr>
                <w:rFonts w:hint="eastAsia"/>
                <w:b/>
                <w:sz w:val="24"/>
              </w:rPr>
              <w:t>2、地表水现状</w:t>
            </w:r>
          </w:p>
          <w:p>
            <w:pPr>
              <w:keepNext w:val="0"/>
              <w:keepLines w:val="0"/>
              <w:suppressLineNumbers w:val="0"/>
              <w:adjustRightInd w:val="0"/>
              <w:snapToGrid w:val="0"/>
              <w:spacing w:before="0" w:beforeAutospacing="0" w:after="0" w:afterAutospacing="0" w:line="360" w:lineRule="auto"/>
              <w:ind w:left="0" w:right="0" w:firstLine="480" w:firstLineChars="200"/>
              <w:rPr>
                <w:rFonts w:hint="eastAsia"/>
                <w:sz w:val="24"/>
              </w:rPr>
            </w:pPr>
            <w:r>
              <w:rPr>
                <w:sz w:val="24"/>
              </w:rPr>
              <w:t>根据《</w:t>
            </w:r>
            <w:r>
              <w:rPr>
                <w:rFonts w:hint="eastAsia"/>
                <w:sz w:val="24"/>
                <w:szCs w:val="22"/>
              </w:rPr>
              <w:t>202</w:t>
            </w:r>
            <w:r>
              <w:rPr>
                <w:rFonts w:hint="eastAsia"/>
                <w:sz w:val="24"/>
                <w:szCs w:val="22"/>
                <w:lang w:val="en-US" w:eastAsia="zh-CN"/>
              </w:rPr>
              <w:t>1</w:t>
            </w:r>
            <w:r>
              <w:rPr>
                <w:rFonts w:hint="eastAsia"/>
                <w:sz w:val="24"/>
                <w:szCs w:val="22"/>
              </w:rPr>
              <w:t>常州市生态环境状况公报</w:t>
            </w:r>
            <w:r>
              <w:rPr>
                <w:sz w:val="24"/>
              </w:rPr>
              <w:t>》中相关内容，</w:t>
            </w:r>
            <w:r>
              <w:rPr>
                <w:rFonts w:hint="eastAsia"/>
                <w:sz w:val="24"/>
              </w:rPr>
              <w:t>2021年，我市地表水环境稳中趋好，国考、省考断面水质均达到国家年度考核目标要求，太湖治理连续14年实现“两个确保”。</w:t>
            </w:r>
          </w:p>
          <w:p>
            <w:pPr>
              <w:keepNext w:val="0"/>
              <w:keepLines w:val="0"/>
              <w:suppressLineNumbers w:val="0"/>
              <w:adjustRightInd w:val="0"/>
              <w:snapToGrid w:val="0"/>
              <w:spacing w:before="0" w:beforeAutospacing="0" w:after="0" w:afterAutospacing="0" w:line="360" w:lineRule="auto"/>
              <w:ind w:left="0" w:right="0" w:firstLine="480" w:firstLineChars="200"/>
              <w:rPr>
                <w:rFonts w:hint="eastAsia"/>
                <w:sz w:val="24"/>
              </w:rPr>
            </w:pPr>
            <w:r>
              <w:rPr>
                <w:rFonts w:hint="eastAsia"/>
                <w:sz w:val="24"/>
              </w:rPr>
              <w:t>2.1国省考断面</w:t>
            </w:r>
          </w:p>
          <w:p>
            <w:pPr>
              <w:keepNext w:val="0"/>
              <w:keepLines w:val="0"/>
              <w:suppressLineNumbers w:val="0"/>
              <w:adjustRightInd w:val="0"/>
              <w:snapToGrid w:val="0"/>
              <w:spacing w:before="0" w:beforeAutospacing="0" w:after="0" w:afterAutospacing="0" w:line="360" w:lineRule="auto"/>
              <w:ind w:left="0" w:right="0" w:firstLine="480" w:firstLineChars="200"/>
              <w:rPr>
                <w:rFonts w:hint="eastAsia"/>
                <w:sz w:val="24"/>
              </w:rPr>
            </w:pPr>
            <w:r>
              <w:rPr>
                <w:rFonts w:hint="eastAsia"/>
                <w:sz w:val="24"/>
              </w:rPr>
              <w:t>2021年，常州市纳入“十四五”国家地表水环境质量考核的20个断面中，年均水质达到或好于《地表水环境质量标准》（GB3838—2002）Ⅲ类标准的断面比例为80%，无劣于Ⅴ类断面，水质达到或好于Ⅲ类比例超额完成省定目标。纳入江苏省“十四五”水环境质量目标考核的51个断面，年均水质达到或好于Ⅲ类的比例为92.2%，无劣于Ⅴ类断面，水质达到或好于Ⅲ类比例超额完成省定目标。</w:t>
            </w:r>
          </w:p>
          <w:p>
            <w:pPr>
              <w:keepNext w:val="0"/>
              <w:keepLines w:val="0"/>
              <w:suppressLineNumbers w:val="0"/>
              <w:adjustRightInd w:val="0"/>
              <w:snapToGrid w:val="0"/>
              <w:spacing w:before="0" w:beforeAutospacing="0" w:after="0" w:afterAutospacing="0" w:line="360" w:lineRule="auto"/>
              <w:ind w:left="0" w:right="0" w:firstLine="480" w:firstLineChars="200"/>
              <w:rPr>
                <w:rFonts w:hint="eastAsia"/>
                <w:sz w:val="24"/>
              </w:rPr>
            </w:pPr>
            <w:r>
              <w:rPr>
                <w:rFonts w:hint="eastAsia"/>
                <w:sz w:val="24"/>
              </w:rPr>
              <w:t>2.2饮用水水源地</w:t>
            </w:r>
          </w:p>
          <w:p>
            <w:pPr>
              <w:keepNext w:val="0"/>
              <w:keepLines w:val="0"/>
              <w:suppressLineNumbers w:val="0"/>
              <w:adjustRightInd w:val="0"/>
              <w:snapToGrid w:val="0"/>
              <w:spacing w:before="0" w:beforeAutospacing="0" w:after="0" w:afterAutospacing="0" w:line="360" w:lineRule="auto"/>
              <w:ind w:left="0" w:right="0" w:firstLine="480" w:firstLineChars="200"/>
              <w:rPr>
                <w:rFonts w:hint="eastAsia"/>
                <w:sz w:val="24"/>
              </w:rPr>
            </w:pPr>
            <w:r>
              <w:rPr>
                <w:rFonts w:hint="eastAsia"/>
                <w:sz w:val="24"/>
              </w:rPr>
              <w:t>全市饮用水以集中式供水为主。根据《江苏省2021年水污染防治工作计划》（苏水治办〔2021〕5号），2021年，全市4个县级及以上在用城市集中式饮用水水源地，取水总量约为2.67亿吨。依据《地表水环境质量标准》（GB3838—2002）评价，全市县级及以上城市集中式饮用水水源地达标（达到或好于Ⅲ类标准）水量为2.63亿吨，占取水总量的98.5%。长江魏村、大溪水库、沙河水库全年各次监测均达标。</w:t>
            </w:r>
          </w:p>
          <w:p>
            <w:pPr>
              <w:keepNext w:val="0"/>
              <w:keepLines w:val="0"/>
              <w:suppressLineNumbers w:val="0"/>
              <w:adjustRightInd w:val="0"/>
              <w:snapToGrid w:val="0"/>
              <w:spacing w:before="0" w:beforeAutospacing="0" w:after="0" w:afterAutospacing="0" w:line="360" w:lineRule="auto"/>
              <w:ind w:left="0" w:right="0" w:firstLine="480" w:firstLineChars="200"/>
              <w:rPr>
                <w:rFonts w:hint="eastAsia"/>
                <w:sz w:val="24"/>
              </w:rPr>
            </w:pPr>
            <w:r>
              <w:rPr>
                <w:rFonts w:hint="eastAsia"/>
                <w:sz w:val="24"/>
              </w:rPr>
              <w:t>2.3太湖流域</w:t>
            </w:r>
          </w:p>
          <w:p>
            <w:pPr>
              <w:keepNext w:val="0"/>
              <w:keepLines w:val="0"/>
              <w:suppressLineNumbers w:val="0"/>
              <w:adjustRightInd w:val="0"/>
              <w:snapToGrid w:val="0"/>
              <w:spacing w:before="0" w:beforeAutospacing="0" w:after="0" w:afterAutospacing="0" w:line="360" w:lineRule="auto"/>
              <w:ind w:left="0" w:right="0" w:firstLine="480" w:firstLineChars="200"/>
              <w:rPr>
                <w:rFonts w:hint="eastAsia"/>
                <w:sz w:val="24"/>
              </w:rPr>
            </w:pPr>
            <w:r>
              <w:rPr>
                <w:rFonts w:hint="eastAsia"/>
                <w:sz w:val="24"/>
              </w:rPr>
              <w:t>2021年，我市太湖湖心区断面总磷0.061mg/L，同比下降20.8%，太湖西部区断面0.085mg/L，同比下降19.8%。高锰酸盐指数和氨氮分别处于Ⅱ类和Ⅰ类。竺山湖综合营养状态指数为59.5，处于轻度富营养状态。2021年5-9 月，竺山湖水域出现水华现象53次，同比减少12次；平均面积约26平方千米，同比减少约2平方千米。期间人工巡测蓝藻密度均值2037万个/L，同比减少1091万个/L，藻密度超过10000万个/L的高值点位（次）数为1次，同比减少26次。武进港、漕桥河、太滆运河、雅浦港等4条主要入湖河流水质均达到或好于Ⅲ类，总磷均达0.15mg/L省定目标。</w:t>
            </w:r>
          </w:p>
          <w:p>
            <w:pPr>
              <w:keepNext w:val="0"/>
              <w:keepLines w:val="0"/>
              <w:suppressLineNumbers w:val="0"/>
              <w:adjustRightInd w:val="0"/>
              <w:snapToGrid w:val="0"/>
              <w:spacing w:before="0" w:beforeAutospacing="0" w:after="0" w:afterAutospacing="0" w:line="360" w:lineRule="auto"/>
              <w:ind w:left="0" w:right="0" w:firstLine="480" w:firstLineChars="200"/>
              <w:rPr>
                <w:rFonts w:hint="eastAsia"/>
                <w:sz w:val="24"/>
              </w:rPr>
            </w:pPr>
            <w:r>
              <w:rPr>
                <w:rFonts w:hint="eastAsia"/>
                <w:sz w:val="24"/>
              </w:rPr>
              <w:t>2.4长江流域</w:t>
            </w:r>
          </w:p>
          <w:p>
            <w:pPr>
              <w:keepNext w:val="0"/>
              <w:keepLines w:val="0"/>
              <w:suppressLineNumbers w:val="0"/>
              <w:adjustRightInd w:val="0"/>
              <w:snapToGrid w:val="0"/>
              <w:spacing w:before="0" w:beforeAutospacing="0" w:after="0" w:afterAutospacing="0" w:line="360" w:lineRule="auto"/>
              <w:ind w:left="0" w:right="0" w:firstLine="480" w:firstLineChars="200"/>
              <w:rPr>
                <w:rFonts w:hint="eastAsia"/>
                <w:sz w:val="24"/>
              </w:rPr>
            </w:pPr>
            <w:r>
              <w:rPr>
                <w:rFonts w:hint="eastAsia"/>
                <w:sz w:val="24"/>
              </w:rPr>
              <w:t>2021年，我市长江流域总体水质为优。长江干流魏村（右岸）断面水质达到Ⅱ类；5个主要入江支流断面年均水质均达到或好于Ⅲ类。</w:t>
            </w:r>
          </w:p>
          <w:p>
            <w:pPr>
              <w:keepNext w:val="0"/>
              <w:keepLines w:val="0"/>
              <w:suppressLineNumbers w:val="0"/>
              <w:adjustRightInd w:val="0"/>
              <w:snapToGrid w:val="0"/>
              <w:spacing w:before="0" w:beforeAutospacing="0" w:after="0" w:afterAutospacing="0" w:line="360" w:lineRule="auto"/>
              <w:ind w:left="0" w:right="0" w:firstLine="480" w:firstLineChars="200"/>
              <w:rPr>
                <w:rFonts w:hint="eastAsia"/>
                <w:sz w:val="24"/>
              </w:rPr>
            </w:pPr>
            <w:r>
              <w:rPr>
                <w:rFonts w:hint="eastAsia"/>
                <w:sz w:val="24"/>
              </w:rPr>
              <w:t>2.5京杭大运河</w:t>
            </w:r>
          </w:p>
          <w:p>
            <w:pPr>
              <w:keepNext w:val="0"/>
              <w:keepLines w:val="0"/>
              <w:suppressLineNumbers w:val="0"/>
              <w:adjustRightInd w:val="0"/>
              <w:snapToGrid w:val="0"/>
              <w:spacing w:before="0" w:beforeAutospacing="0" w:after="0" w:afterAutospacing="0" w:line="360" w:lineRule="auto"/>
              <w:ind w:left="0" w:right="0" w:firstLine="480" w:firstLineChars="200"/>
              <w:rPr>
                <w:rFonts w:hint="eastAsia"/>
                <w:sz w:val="24"/>
              </w:rPr>
            </w:pPr>
            <w:r>
              <w:rPr>
                <w:rFonts w:hint="eastAsia"/>
                <w:sz w:val="24"/>
              </w:rPr>
              <w:t>2021年，京杭大运河常州段沿线3个断面水质均达到或好于Ⅲ类，五牧断面水质首次达到Ⅲ类。与2020年相比，水质达到或好于Ⅲ类比例上升33.3个百分点。</w:t>
            </w:r>
          </w:p>
          <w:p>
            <w:pPr>
              <w:keepNext w:val="0"/>
              <w:keepLines w:val="0"/>
              <w:suppressLineNumbers w:val="0"/>
              <w:adjustRightInd w:val="0"/>
              <w:snapToGrid w:val="0"/>
              <w:spacing w:before="0" w:beforeAutospacing="0" w:after="0" w:afterAutospacing="0" w:line="360" w:lineRule="auto"/>
              <w:ind w:left="0" w:right="0" w:firstLine="480" w:firstLineChars="200"/>
              <w:rPr>
                <w:b/>
                <w:bCs/>
                <w:snapToGrid w:val="0"/>
                <w:kern w:val="0"/>
                <w:sz w:val="24"/>
              </w:rPr>
            </w:pPr>
            <w:r>
              <w:rPr>
                <w:sz w:val="24"/>
                <w:szCs w:val="22"/>
              </w:rPr>
              <w:t>本项目地表水环境现状数据引用</w:t>
            </w:r>
            <w:r>
              <w:rPr>
                <w:rFonts w:hint="eastAsia"/>
                <w:sz w:val="24"/>
                <w:szCs w:val="22"/>
              </w:rPr>
              <w:t>江苏久诚检验检测有限公司</w:t>
            </w:r>
            <w:r>
              <w:rPr>
                <w:bCs/>
                <w:sz w:val="24"/>
              </w:rPr>
              <w:t>于202</w:t>
            </w:r>
            <w:r>
              <w:rPr>
                <w:rFonts w:hint="eastAsia"/>
                <w:bCs/>
                <w:sz w:val="24"/>
              </w:rPr>
              <w:t>1</w:t>
            </w:r>
            <w:r>
              <w:rPr>
                <w:bCs/>
                <w:sz w:val="24"/>
              </w:rPr>
              <w:t>年</w:t>
            </w:r>
            <w:r>
              <w:rPr>
                <w:rFonts w:hint="eastAsia"/>
                <w:bCs/>
                <w:sz w:val="24"/>
              </w:rPr>
              <w:t>2</w:t>
            </w:r>
            <w:r>
              <w:rPr>
                <w:bCs/>
                <w:sz w:val="24"/>
              </w:rPr>
              <w:t>月</w:t>
            </w:r>
            <w:r>
              <w:rPr>
                <w:rFonts w:hint="eastAsia"/>
                <w:bCs/>
                <w:sz w:val="24"/>
              </w:rPr>
              <w:t>24</w:t>
            </w:r>
            <w:r>
              <w:rPr>
                <w:bCs/>
                <w:sz w:val="24"/>
              </w:rPr>
              <w:t>日～</w:t>
            </w:r>
            <w:r>
              <w:rPr>
                <w:rFonts w:hint="eastAsia"/>
                <w:bCs/>
                <w:sz w:val="24"/>
              </w:rPr>
              <w:t>2</w:t>
            </w:r>
            <w:r>
              <w:rPr>
                <w:bCs/>
                <w:sz w:val="24"/>
              </w:rPr>
              <w:t>月</w:t>
            </w:r>
            <w:r>
              <w:rPr>
                <w:rFonts w:hint="eastAsia"/>
                <w:bCs/>
                <w:sz w:val="24"/>
              </w:rPr>
              <w:t>25</w:t>
            </w:r>
            <w:r>
              <w:rPr>
                <w:bCs/>
                <w:sz w:val="24"/>
              </w:rPr>
              <w:t>日</w:t>
            </w:r>
            <w:r>
              <w:rPr>
                <w:rFonts w:hint="eastAsia"/>
                <w:bCs/>
                <w:sz w:val="24"/>
              </w:rPr>
              <w:t>对武南河</w:t>
            </w:r>
            <w:r>
              <w:rPr>
                <w:sz w:val="24"/>
                <w:szCs w:val="22"/>
              </w:rPr>
              <w:t>的水质监测</w:t>
            </w:r>
            <w:r>
              <w:rPr>
                <w:rFonts w:hint="eastAsia"/>
                <w:sz w:val="24"/>
                <w:szCs w:val="22"/>
              </w:rPr>
              <w:t>数据</w:t>
            </w:r>
            <w:r>
              <w:rPr>
                <w:sz w:val="24"/>
                <w:szCs w:val="22"/>
              </w:rPr>
              <w:t>，</w:t>
            </w:r>
            <w:r>
              <w:rPr>
                <w:rFonts w:hint="eastAsia"/>
                <w:bCs/>
                <w:sz w:val="24"/>
              </w:rPr>
              <w:t>监测断面</w:t>
            </w:r>
            <w:r>
              <w:rPr>
                <w:bCs/>
                <w:sz w:val="24"/>
              </w:rPr>
              <w:t>W</w:t>
            </w:r>
            <w:r>
              <w:rPr>
                <w:bCs/>
                <w:sz w:val="24"/>
                <w:vertAlign w:val="subscript"/>
              </w:rPr>
              <w:t>1</w:t>
            </w:r>
            <w:r>
              <w:rPr>
                <w:rFonts w:hint="eastAsia"/>
                <w:bCs/>
                <w:sz w:val="24"/>
              </w:rPr>
              <w:t>（武南</w:t>
            </w:r>
            <w:r>
              <w:rPr>
                <w:bCs/>
                <w:sz w:val="24"/>
              </w:rPr>
              <w:t>污水处理厂排口上游500m</w:t>
            </w:r>
            <w:r>
              <w:rPr>
                <w:rFonts w:hint="eastAsia"/>
                <w:bCs/>
                <w:sz w:val="24"/>
              </w:rPr>
              <w:t>）</w:t>
            </w:r>
            <w:r>
              <w:rPr>
                <w:bCs/>
                <w:sz w:val="24"/>
              </w:rPr>
              <w:t>、W</w:t>
            </w:r>
            <w:r>
              <w:rPr>
                <w:rFonts w:hint="eastAsia"/>
                <w:bCs/>
                <w:sz w:val="24"/>
                <w:vertAlign w:val="subscript"/>
              </w:rPr>
              <w:t>2</w:t>
            </w:r>
            <w:r>
              <w:rPr>
                <w:rFonts w:hint="eastAsia"/>
                <w:bCs/>
                <w:sz w:val="24"/>
              </w:rPr>
              <w:t>（武南</w:t>
            </w:r>
            <w:r>
              <w:rPr>
                <w:bCs/>
                <w:sz w:val="24"/>
              </w:rPr>
              <w:t>污水处理厂排口</w:t>
            </w:r>
            <w:r>
              <w:rPr>
                <w:rFonts w:hint="eastAsia"/>
                <w:bCs/>
                <w:sz w:val="24"/>
              </w:rPr>
              <w:t>）、</w:t>
            </w:r>
            <w:r>
              <w:rPr>
                <w:bCs/>
                <w:sz w:val="24"/>
              </w:rPr>
              <w:t>W</w:t>
            </w:r>
            <w:r>
              <w:rPr>
                <w:rFonts w:hint="eastAsia"/>
                <w:bCs/>
                <w:sz w:val="24"/>
                <w:vertAlign w:val="subscript"/>
              </w:rPr>
              <w:t>3</w:t>
            </w:r>
            <w:r>
              <w:rPr>
                <w:rFonts w:hint="eastAsia"/>
                <w:bCs/>
                <w:sz w:val="24"/>
              </w:rPr>
              <w:t>（武南</w:t>
            </w:r>
            <w:r>
              <w:rPr>
                <w:bCs/>
                <w:sz w:val="24"/>
              </w:rPr>
              <w:t>污水处理厂排口下游1</w:t>
            </w:r>
            <w:r>
              <w:rPr>
                <w:rFonts w:hint="eastAsia"/>
                <w:bCs/>
                <w:sz w:val="24"/>
              </w:rPr>
              <w:t>5</w:t>
            </w:r>
            <w:r>
              <w:rPr>
                <w:bCs/>
                <w:sz w:val="24"/>
              </w:rPr>
              <w:t>00m</w:t>
            </w:r>
            <w:r>
              <w:rPr>
                <w:rFonts w:hint="eastAsia"/>
                <w:bCs/>
                <w:sz w:val="24"/>
              </w:rPr>
              <w:t>）。</w:t>
            </w:r>
            <w:r>
              <w:rPr>
                <w:sz w:val="24"/>
                <w:szCs w:val="22"/>
              </w:rPr>
              <w:t>引用报告号：JCH20210014</w:t>
            </w:r>
            <w:r>
              <w:rPr>
                <w:rFonts w:hint="eastAsia"/>
                <w:sz w:val="24"/>
                <w:szCs w:val="22"/>
              </w:rPr>
              <w:t>，</w:t>
            </w:r>
            <w:r>
              <w:rPr>
                <w:sz w:val="24"/>
                <w:szCs w:val="22"/>
              </w:rPr>
              <w:t>监测统计结果如下：</w:t>
            </w:r>
          </w:p>
          <w:p>
            <w:pPr>
              <w:keepNext w:val="0"/>
              <w:keepLines w:val="0"/>
              <w:suppressLineNumbers w:val="0"/>
              <w:snapToGrid w:val="0"/>
              <w:spacing w:before="0" w:beforeAutospacing="0" w:after="0" w:afterAutospacing="0"/>
              <w:ind w:left="0" w:right="0"/>
              <w:jc w:val="center"/>
              <w:rPr>
                <w:b/>
                <w:bCs/>
                <w:kern w:val="0"/>
                <w:sz w:val="24"/>
              </w:rPr>
            </w:pPr>
            <w:r>
              <w:rPr>
                <w:b/>
                <w:bCs/>
                <w:kern w:val="0"/>
                <w:sz w:val="24"/>
              </w:rPr>
              <w:t xml:space="preserve">表3-4  </w:t>
            </w:r>
            <w:r>
              <w:rPr>
                <w:b/>
                <w:bCs/>
                <w:sz w:val="24"/>
              </w:rPr>
              <w:t>地表水环境质量现状引用结果  mg/L</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99"/>
              <w:gridCol w:w="1726"/>
              <w:gridCol w:w="1503"/>
              <w:gridCol w:w="1231"/>
              <w:gridCol w:w="171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137" w:type="pct"/>
                  <w:vMerge w:val="restart"/>
                  <w:tcBorders>
                    <w:top w:val="single" w:color="auto" w:sz="12" w:space="0"/>
                    <w:left w:val="nil"/>
                    <w:right w:val="single" w:color="auto" w:sz="2" w:space="0"/>
                  </w:tcBorders>
                  <w:vAlign w:val="center"/>
                </w:tcPr>
                <w:p>
                  <w:pPr>
                    <w:keepNext w:val="0"/>
                    <w:keepLines w:val="0"/>
                    <w:suppressLineNumbers w:val="0"/>
                    <w:snapToGrid w:val="0"/>
                    <w:spacing w:before="0" w:beforeAutospacing="0" w:after="0" w:afterAutospacing="0"/>
                    <w:ind w:left="0" w:right="0"/>
                    <w:jc w:val="center"/>
                    <w:rPr>
                      <w:b/>
                      <w:bCs/>
                    </w:rPr>
                  </w:pPr>
                  <w:r>
                    <w:rPr>
                      <w:b/>
                      <w:bCs/>
                    </w:rPr>
                    <w:t>监测断面</w:t>
                  </w:r>
                </w:p>
              </w:tc>
              <w:tc>
                <w:tcPr>
                  <w:tcW w:w="3863" w:type="pct"/>
                  <w:gridSpan w:val="4"/>
                  <w:tcBorders>
                    <w:top w:val="single" w:color="auto" w:sz="12" w:space="0"/>
                    <w:left w:val="single" w:color="auto" w:sz="2" w:space="0"/>
                    <w:bottom w:val="single" w:color="auto" w:sz="2" w:space="0"/>
                    <w:right w:val="nil"/>
                  </w:tcBorders>
                  <w:vAlign w:val="center"/>
                </w:tcPr>
                <w:p>
                  <w:pPr>
                    <w:keepNext w:val="0"/>
                    <w:keepLines w:val="0"/>
                    <w:suppressLineNumbers w:val="0"/>
                    <w:snapToGrid w:val="0"/>
                    <w:spacing w:before="0" w:beforeAutospacing="0" w:after="0" w:afterAutospacing="0"/>
                    <w:ind w:left="0" w:right="0"/>
                    <w:jc w:val="center"/>
                    <w:rPr>
                      <w:b/>
                      <w:bCs/>
                    </w:rPr>
                  </w:pPr>
                  <w:r>
                    <w:rPr>
                      <w:b/>
                      <w:bCs/>
                    </w:rPr>
                    <w:t>监测项目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137" w:type="pct"/>
                  <w:vMerge w:val="continue"/>
                  <w:tcBorders>
                    <w:left w:val="nil"/>
                    <w:bottom w:val="single" w:color="auto" w:sz="4" w:space="0"/>
                    <w:right w:val="single" w:color="auto" w:sz="4" w:space="0"/>
                  </w:tcBorders>
                  <w:vAlign w:val="center"/>
                </w:tcPr>
                <w:p>
                  <w:pPr>
                    <w:keepNext w:val="0"/>
                    <w:keepLines w:val="0"/>
                    <w:suppressLineNumbers w:val="0"/>
                    <w:snapToGrid w:val="0"/>
                    <w:spacing w:before="0" w:beforeAutospacing="0" w:after="0" w:afterAutospacing="0"/>
                    <w:ind w:left="0" w:right="0"/>
                    <w:jc w:val="center"/>
                    <w:rPr>
                      <w:b/>
                      <w:bCs/>
                      <w:szCs w:val="21"/>
                    </w:rPr>
                  </w:pPr>
                </w:p>
              </w:tc>
              <w:tc>
                <w:tcPr>
                  <w:tcW w:w="1091" w:type="pct"/>
                  <w:tcBorders>
                    <w:top w:val="single" w:color="auto" w:sz="2"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ind w:left="0" w:right="0"/>
                    <w:jc w:val="center"/>
                    <w:rPr>
                      <w:b/>
                      <w:bCs/>
                      <w:szCs w:val="21"/>
                    </w:rPr>
                  </w:pPr>
                  <w:r>
                    <w:rPr>
                      <w:b/>
                      <w:bCs/>
                    </w:rPr>
                    <w:t>pH</w:t>
                  </w:r>
                </w:p>
              </w:tc>
              <w:tc>
                <w:tcPr>
                  <w:tcW w:w="951" w:type="pct"/>
                  <w:tcBorders>
                    <w:top w:val="single" w:color="auto" w:sz="2"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ind w:left="0" w:right="0"/>
                    <w:jc w:val="center"/>
                    <w:rPr>
                      <w:b/>
                      <w:bCs/>
                      <w:szCs w:val="21"/>
                    </w:rPr>
                  </w:pPr>
                  <w:r>
                    <w:rPr>
                      <w:b/>
                      <w:bCs/>
                    </w:rPr>
                    <w:t>COD</w:t>
                  </w:r>
                </w:p>
              </w:tc>
              <w:tc>
                <w:tcPr>
                  <w:tcW w:w="737" w:type="pct"/>
                  <w:tcBorders>
                    <w:top w:val="single" w:color="auto" w:sz="2"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ind w:left="0" w:right="0"/>
                    <w:jc w:val="center"/>
                    <w:rPr>
                      <w:b/>
                      <w:bCs/>
                      <w:szCs w:val="21"/>
                    </w:rPr>
                  </w:pPr>
                  <w:r>
                    <w:rPr>
                      <w:b/>
                      <w:bCs/>
                    </w:rPr>
                    <w:t>NH</w:t>
                  </w:r>
                  <w:r>
                    <w:rPr>
                      <w:b/>
                      <w:bCs/>
                      <w:vertAlign w:val="subscript"/>
                    </w:rPr>
                    <w:t>3</w:t>
                  </w:r>
                  <w:r>
                    <w:rPr>
                      <w:b/>
                      <w:bCs/>
                    </w:rPr>
                    <w:t>-N</w:t>
                  </w:r>
                </w:p>
              </w:tc>
              <w:tc>
                <w:tcPr>
                  <w:tcW w:w="1084" w:type="pct"/>
                  <w:tcBorders>
                    <w:top w:val="single" w:color="auto" w:sz="2" w:space="0"/>
                    <w:left w:val="single" w:color="auto" w:sz="4" w:space="0"/>
                    <w:bottom w:val="single" w:color="auto" w:sz="4" w:space="0"/>
                    <w:right w:val="nil"/>
                  </w:tcBorders>
                  <w:vAlign w:val="center"/>
                </w:tcPr>
                <w:p>
                  <w:pPr>
                    <w:keepNext w:val="0"/>
                    <w:keepLines w:val="0"/>
                    <w:suppressLineNumbers w:val="0"/>
                    <w:snapToGrid w:val="0"/>
                    <w:spacing w:before="0" w:beforeAutospacing="0" w:after="0" w:afterAutospacing="0"/>
                    <w:ind w:left="0" w:right="0"/>
                    <w:jc w:val="center"/>
                    <w:rPr>
                      <w:b/>
                      <w:bCs/>
                      <w:szCs w:val="21"/>
                    </w:rPr>
                  </w:pPr>
                  <w:r>
                    <w:rPr>
                      <w:b/>
                      <w:bCs/>
                    </w:rPr>
                    <w:t>TP</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137" w:type="pct"/>
                  <w:tcBorders>
                    <w:top w:val="single" w:color="auto" w:sz="4" w:space="0"/>
                    <w:left w:val="nil"/>
                    <w:bottom w:val="single" w:color="auto" w:sz="4" w:space="0"/>
                    <w:right w:val="single" w:color="auto" w:sz="4" w:space="0"/>
                  </w:tcBorders>
                  <w:vAlign w:val="center"/>
                </w:tcPr>
                <w:p>
                  <w:pPr>
                    <w:keepNext w:val="0"/>
                    <w:keepLines w:val="0"/>
                    <w:suppressLineNumbers w:val="0"/>
                    <w:snapToGrid w:val="0"/>
                    <w:spacing w:before="0" w:beforeAutospacing="0" w:after="0" w:afterAutospacing="0"/>
                    <w:ind w:left="0" w:right="0"/>
                    <w:jc w:val="center"/>
                    <w:rPr>
                      <w:szCs w:val="21"/>
                    </w:rPr>
                  </w:pPr>
                  <w:r>
                    <w:t>W</w:t>
                  </w:r>
                  <w:r>
                    <w:rPr>
                      <w:vertAlign w:val="subscript"/>
                    </w:rPr>
                    <w:t>1</w:t>
                  </w:r>
                </w:p>
              </w:tc>
              <w:tc>
                <w:tcPr>
                  <w:tcW w:w="109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ind w:left="0" w:right="0"/>
                    <w:jc w:val="center"/>
                    <w:rPr>
                      <w:szCs w:val="21"/>
                    </w:rPr>
                  </w:pPr>
                  <w:r>
                    <w:t>7.</w:t>
                  </w:r>
                  <w:r>
                    <w:rPr>
                      <w:rFonts w:hint="eastAsia"/>
                    </w:rPr>
                    <w:t>89</w:t>
                  </w:r>
                  <w:r>
                    <w:t>-7.</w:t>
                  </w:r>
                  <w:r>
                    <w:rPr>
                      <w:rFonts w:hint="eastAsia"/>
                    </w:rPr>
                    <w:t>97</w:t>
                  </w:r>
                </w:p>
              </w:tc>
              <w:tc>
                <w:tcPr>
                  <w:tcW w:w="95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ind w:left="0" w:right="0"/>
                    <w:jc w:val="center"/>
                    <w:rPr>
                      <w:szCs w:val="21"/>
                    </w:rPr>
                  </w:pPr>
                  <w:r>
                    <w:t>1</w:t>
                  </w:r>
                  <w:r>
                    <w:rPr>
                      <w:rFonts w:hint="eastAsia"/>
                    </w:rPr>
                    <w:t>2</w:t>
                  </w:r>
                  <w:r>
                    <w:t>-1</w:t>
                  </w:r>
                  <w:r>
                    <w:rPr>
                      <w:rFonts w:hint="eastAsia"/>
                    </w:rPr>
                    <w:t>7</w:t>
                  </w:r>
                </w:p>
              </w:tc>
              <w:tc>
                <w:tcPr>
                  <w:tcW w:w="737"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szCs w:val="21"/>
                    </w:rPr>
                  </w:pPr>
                  <w:r>
                    <w:rPr>
                      <w:rFonts w:hint="eastAsia"/>
                    </w:rPr>
                    <w:t>0.929-0.966</w:t>
                  </w:r>
                </w:p>
              </w:tc>
              <w:tc>
                <w:tcPr>
                  <w:tcW w:w="1084" w:type="pct"/>
                  <w:tcBorders>
                    <w:top w:val="single" w:color="auto" w:sz="4" w:space="0"/>
                    <w:left w:val="single" w:color="auto" w:sz="4" w:space="0"/>
                    <w:bottom w:val="single" w:color="auto" w:sz="4" w:space="0"/>
                    <w:right w:val="nil"/>
                  </w:tcBorders>
                  <w:vAlign w:val="center"/>
                </w:tcPr>
                <w:p>
                  <w:pPr>
                    <w:keepNext w:val="0"/>
                    <w:keepLines w:val="0"/>
                    <w:suppressLineNumbers w:val="0"/>
                    <w:spacing w:before="0" w:beforeAutospacing="0" w:after="0" w:afterAutospacing="0"/>
                    <w:ind w:left="0" w:right="0"/>
                    <w:jc w:val="center"/>
                    <w:rPr>
                      <w:szCs w:val="21"/>
                    </w:rPr>
                  </w:pPr>
                  <w:r>
                    <w:rPr>
                      <w:rFonts w:hint="eastAsia"/>
                    </w:rPr>
                    <w:t>0.13-0.16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137" w:type="pct"/>
                  <w:tcBorders>
                    <w:top w:val="single" w:color="auto" w:sz="4" w:space="0"/>
                    <w:left w:val="nil"/>
                    <w:bottom w:val="single" w:color="auto" w:sz="4" w:space="0"/>
                    <w:right w:val="single" w:color="auto" w:sz="4" w:space="0"/>
                  </w:tcBorders>
                  <w:vAlign w:val="center"/>
                </w:tcPr>
                <w:p>
                  <w:pPr>
                    <w:keepNext w:val="0"/>
                    <w:keepLines w:val="0"/>
                    <w:suppressLineNumbers w:val="0"/>
                    <w:snapToGrid w:val="0"/>
                    <w:spacing w:before="0" w:beforeAutospacing="0" w:after="0" w:afterAutospacing="0"/>
                    <w:ind w:left="0" w:right="0"/>
                    <w:jc w:val="center"/>
                    <w:rPr>
                      <w:szCs w:val="21"/>
                    </w:rPr>
                  </w:pPr>
                  <w:r>
                    <w:t>W</w:t>
                  </w:r>
                  <w:r>
                    <w:rPr>
                      <w:vertAlign w:val="subscript"/>
                    </w:rPr>
                    <w:t>2</w:t>
                  </w:r>
                </w:p>
              </w:tc>
              <w:tc>
                <w:tcPr>
                  <w:tcW w:w="109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rPr>
                    <w:t>7.90-7.97</w:t>
                  </w:r>
                </w:p>
              </w:tc>
              <w:tc>
                <w:tcPr>
                  <w:tcW w:w="95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rPr>
                    <w:t>13-19</w:t>
                  </w:r>
                </w:p>
              </w:tc>
              <w:tc>
                <w:tcPr>
                  <w:tcW w:w="737"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szCs w:val="21"/>
                    </w:rPr>
                  </w:pPr>
                  <w:r>
                    <w:rPr>
                      <w:rFonts w:hint="eastAsia"/>
                      <w:szCs w:val="21"/>
                    </w:rPr>
                    <w:t>0.814-0.954</w:t>
                  </w:r>
                </w:p>
              </w:tc>
              <w:tc>
                <w:tcPr>
                  <w:tcW w:w="1084" w:type="pct"/>
                  <w:tcBorders>
                    <w:top w:val="single" w:color="auto" w:sz="4" w:space="0"/>
                    <w:left w:val="single" w:color="auto" w:sz="4" w:space="0"/>
                    <w:bottom w:val="single" w:color="auto" w:sz="4" w:space="0"/>
                    <w:right w:val="nil"/>
                  </w:tcBorders>
                  <w:vAlign w:val="center"/>
                </w:tcPr>
                <w:p>
                  <w:pPr>
                    <w:keepNext w:val="0"/>
                    <w:keepLines w:val="0"/>
                    <w:suppressLineNumbers w:val="0"/>
                    <w:spacing w:before="0" w:beforeAutospacing="0" w:after="0" w:afterAutospacing="0"/>
                    <w:ind w:left="0" w:right="0"/>
                    <w:jc w:val="center"/>
                    <w:rPr>
                      <w:szCs w:val="21"/>
                    </w:rPr>
                  </w:pPr>
                  <w:r>
                    <w:rPr>
                      <w:rFonts w:hint="eastAsia"/>
                      <w:szCs w:val="21"/>
                    </w:rPr>
                    <w:t>0.16-0.19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137" w:type="pct"/>
                  <w:tcBorders>
                    <w:top w:val="single" w:color="auto" w:sz="4" w:space="0"/>
                    <w:left w:val="nil"/>
                    <w:bottom w:val="single" w:color="auto" w:sz="4" w:space="0"/>
                    <w:right w:val="single" w:color="auto" w:sz="4" w:space="0"/>
                  </w:tcBorders>
                  <w:vAlign w:val="center"/>
                </w:tcPr>
                <w:p>
                  <w:pPr>
                    <w:keepNext w:val="0"/>
                    <w:keepLines w:val="0"/>
                    <w:suppressLineNumbers w:val="0"/>
                    <w:snapToGrid w:val="0"/>
                    <w:spacing w:before="0" w:beforeAutospacing="0" w:after="0" w:afterAutospacing="0"/>
                    <w:ind w:left="0" w:right="0"/>
                    <w:jc w:val="center"/>
                  </w:pPr>
                  <w:r>
                    <w:t>W</w:t>
                  </w:r>
                  <w:r>
                    <w:rPr>
                      <w:rFonts w:hint="eastAsia"/>
                      <w:vertAlign w:val="subscript"/>
                    </w:rPr>
                    <w:t>3</w:t>
                  </w:r>
                </w:p>
              </w:tc>
              <w:tc>
                <w:tcPr>
                  <w:tcW w:w="109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rPr>
                    <w:t>7.91-7.99</w:t>
                  </w:r>
                </w:p>
              </w:tc>
              <w:tc>
                <w:tcPr>
                  <w:tcW w:w="95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rPr>
                    <w:t>12-19</w:t>
                  </w:r>
                </w:p>
              </w:tc>
              <w:tc>
                <w:tcPr>
                  <w:tcW w:w="737"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szCs w:val="21"/>
                    </w:rPr>
                  </w:pPr>
                  <w:r>
                    <w:rPr>
                      <w:rFonts w:hint="eastAsia"/>
                      <w:szCs w:val="21"/>
                    </w:rPr>
                    <w:t>0.803-0.846</w:t>
                  </w:r>
                </w:p>
              </w:tc>
              <w:tc>
                <w:tcPr>
                  <w:tcW w:w="1084" w:type="pct"/>
                  <w:tcBorders>
                    <w:top w:val="single" w:color="auto" w:sz="4" w:space="0"/>
                    <w:left w:val="single" w:color="auto" w:sz="4" w:space="0"/>
                    <w:bottom w:val="single" w:color="auto" w:sz="4" w:space="0"/>
                    <w:right w:val="nil"/>
                  </w:tcBorders>
                  <w:vAlign w:val="center"/>
                </w:tcPr>
                <w:p>
                  <w:pPr>
                    <w:keepNext w:val="0"/>
                    <w:keepLines w:val="0"/>
                    <w:suppressLineNumbers w:val="0"/>
                    <w:spacing w:before="0" w:beforeAutospacing="0" w:after="0" w:afterAutospacing="0"/>
                    <w:ind w:left="0" w:right="0"/>
                    <w:jc w:val="center"/>
                    <w:rPr>
                      <w:szCs w:val="21"/>
                    </w:rPr>
                  </w:pPr>
                  <w:r>
                    <w:rPr>
                      <w:rFonts w:hint="eastAsia"/>
                      <w:szCs w:val="21"/>
                    </w:rPr>
                    <w:t>0.16-0.18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137" w:type="pct"/>
                  <w:tcBorders>
                    <w:top w:val="single" w:color="auto" w:sz="4" w:space="0"/>
                    <w:left w:val="nil"/>
                    <w:bottom w:val="single" w:color="auto" w:sz="12" w:space="0"/>
                    <w:right w:val="single" w:color="auto" w:sz="4" w:space="0"/>
                  </w:tcBorders>
                  <w:vAlign w:val="center"/>
                </w:tcPr>
                <w:p>
                  <w:pPr>
                    <w:keepNext w:val="0"/>
                    <w:keepLines w:val="0"/>
                    <w:suppressLineNumbers w:val="0"/>
                    <w:snapToGrid w:val="0"/>
                    <w:spacing w:before="0" w:beforeAutospacing="0" w:after="0" w:afterAutospacing="0"/>
                    <w:ind w:left="0" w:right="0"/>
                    <w:jc w:val="center"/>
                    <w:rPr>
                      <w:szCs w:val="21"/>
                    </w:rPr>
                  </w:pPr>
                  <w:r>
                    <w:rPr>
                      <w:rFonts w:hint="eastAsia" w:ascii="宋体" w:hAnsi="宋体" w:cs="宋体"/>
                    </w:rPr>
                    <w:t>Ⅲ</w:t>
                  </w:r>
                  <w:r>
                    <w:t>类标准值</w:t>
                  </w:r>
                </w:p>
              </w:tc>
              <w:tc>
                <w:tcPr>
                  <w:tcW w:w="1091" w:type="pct"/>
                  <w:tcBorders>
                    <w:top w:val="single" w:color="auto" w:sz="4" w:space="0"/>
                    <w:left w:val="single" w:color="auto" w:sz="4" w:space="0"/>
                    <w:bottom w:val="single" w:color="auto" w:sz="12" w:space="0"/>
                    <w:right w:val="single" w:color="auto" w:sz="4" w:space="0"/>
                  </w:tcBorders>
                  <w:vAlign w:val="center"/>
                </w:tcPr>
                <w:p>
                  <w:pPr>
                    <w:keepNext w:val="0"/>
                    <w:keepLines w:val="0"/>
                    <w:suppressLineNumbers w:val="0"/>
                    <w:snapToGrid w:val="0"/>
                    <w:spacing w:before="0" w:beforeAutospacing="0" w:after="0" w:afterAutospacing="0"/>
                    <w:ind w:left="0" w:right="0"/>
                    <w:jc w:val="center"/>
                    <w:rPr>
                      <w:szCs w:val="21"/>
                    </w:rPr>
                  </w:pPr>
                  <w:r>
                    <w:rPr>
                      <w:kern w:val="24"/>
                    </w:rPr>
                    <w:t>6～9</w:t>
                  </w:r>
                </w:p>
              </w:tc>
              <w:tc>
                <w:tcPr>
                  <w:tcW w:w="951" w:type="pct"/>
                  <w:tcBorders>
                    <w:top w:val="single" w:color="auto" w:sz="4" w:space="0"/>
                    <w:left w:val="single" w:color="auto" w:sz="4" w:space="0"/>
                    <w:bottom w:val="single" w:color="auto" w:sz="12" w:space="0"/>
                    <w:right w:val="single" w:color="auto" w:sz="4" w:space="0"/>
                  </w:tcBorders>
                  <w:vAlign w:val="center"/>
                </w:tcPr>
                <w:p>
                  <w:pPr>
                    <w:keepNext w:val="0"/>
                    <w:keepLines w:val="0"/>
                    <w:suppressLineNumbers w:val="0"/>
                    <w:snapToGrid w:val="0"/>
                    <w:spacing w:before="0" w:beforeAutospacing="0" w:after="0" w:afterAutospacing="0"/>
                    <w:ind w:left="0" w:right="0"/>
                    <w:jc w:val="center"/>
                    <w:rPr>
                      <w:szCs w:val="21"/>
                    </w:rPr>
                  </w:pPr>
                  <w:r>
                    <w:t>≤</w:t>
                  </w:r>
                  <w:r>
                    <w:rPr>
                      <w:rFonts w:hint="eastAsia"/>
                    </w:rPr>
                    <w:t>2</w:t>
                  </w:r>
                  <w:r>
                    <w:t>0</w:t>
                  </w:r>
                </w:p>
              </w:tc>
              <w:tc>
                <w:tcPr>
                  <w:tcW w:w="737" w:type="pct"/>
                  <w:tcBorders>
                    <w:top w:val="single" w:color="auto" w:sz="4" w:space="0"/>
                    <w:left w:val="single" w:color="auto" w:sz="4" w:space="0"/>
                    <w:bottom w:val="single" w:color="auto" w:sz="12" w:space="0"/>
                    <w:right w:val="single" w:color="auto" w:sz="4" w:space="0"/>
                  </w:tcBorders>
                  <w:vAlign w:val="center"/>
                </w:tcPr>
                <w:p>
                  <w:pPr>
                    <w:keepNext w:val="0"/>
                    <w:keepLines w:val="0"/>
                    <w:suppressLineNumbers w:val="0"/>
                    <w:snapToGrid w:val="0"/>
                    <w:spacing w:before="0" w:beforeAutospacing="0" w:after="0" w:afterAutospacing="0"/>
                    <w:ind w:left="0" w:right="0"/>
                    <w:jc w:val="center"/>
                    <w:rPr>
                      <w:szCs w:val="21"/>
                    </w:rPr>
                  </w:pPr>
                  <w:r>
                    <w:t>≤1</w:t>
                  </w:r>
                  <w:r>
                    <w:rPr>
                      <w:rFonts w:hint="eastAsia"/>
                    </w:rPr>
                    <w:t>.0</w:t>
                  </w:r>
                </w:p>
              </w:tc>
              <w:tc>
                <w:tcPr>
                  <w:tcW w:w="1084" w:type="pct"/>
                  <w:tcBorders>
                    <w:top w:val="single" w:color="auto" w:sz="4" w:space="0"/>
                    <w:left w:val="single" w:color="auto" w:sz="4" w:space="0"/>
                    <w:bottom w:val="single" w:color="auto" w:sz="12" w:space="0"/>
                    <w:right w:val="nil"/>
                  </w:tcBorders>
                  <w:vAlign w:val="center"/>
                </w:tcPr>
                <w:p>
                  <w:pPr>
                    <w:keepNext w:val="0"/>
                    <w:keepLines w:val="0"/>
                    <w:suppressLineNumbers w:val="0"/>
                    <w:snapToGrid w:val="0"/>
                    <w:spacing w:before="0" w:beforeAutospacing="0" w:after="0" w:afterAutospacing="0"/>
                    <w:ind w:left="0" w:right="0"/>
                    <w:jc w:val="center"/>
                    <w:rPr>
                      <w:szCs w:val="21"/>
                    </w:rPr>
                  </w:pPr>
                  <w:r>
                    <w:t>≤0.</w:t>
                  </w:r>
                  <w:r>
                    <w:rPr>
                      <w:rFonts w:hint="eastAsia"/>
                    </w:rPr>
                    <w:t>2</w:t>
                  </w:r>
                </w:p>
              </w:tc>
            </w:tr>
          </w:tbl>
          <w:p>
            <w:pPr>
              <w:keepNext w:val="0"/>
              <w:keepLines w:val="0"/>
              <w:suppressLineNumbers w:val="0"/>
              <w:spacing w:before="0" w:beforeAutospacing="0" w:after="0" w:afterAutospacing="0" w:line="360" w:lineRule="auto"/>
              <w:ind w:left="0" w:right="0" w:firstLine="480" w:firstLineChars="200"/>
              <w:rPr>
                <w:bCs/>
                <w:sz w:val="24"/>
              </w:rPr>
            </w:pPr>
            <w:r>
              <w:rPr>
                <w:bCs/>
                <w:sz w:val="24"/>
              </w:rPr>
              <w:t>引用统计结果表明，W</w:t>
            </w:r>
            <w:r>
              <w:rPr>
                <w:bCs/>
                <w:sz w:val="24"/>
                <w:vertAlign w:val="subscript"/>
              </w:rPr>
              <w:t>1</w:t>
            </w:r>
            <w:r>
              <w:rPr>
                <w:bCs/>
                <w:sz w:val="24"/>
              </w:rPr>
              <w:t>、W</w:t>
            </w:r>
            <w:r>
              <w:rPr>
                <w:bCs/>
                <w:sz w:val="24"/>
                <w:vertAlign w:val="subscript"/>
              </w:rPr>
              <w:t>2</w:t>
            </w:r>
            <w:r>
              <w:rPr>
                <w:rFonts w:hint="eastAsia"/>
                <w:bCs/>
                <w:sz w:val="24"/>
              </w:rPr>
              <w:t>、</w:t>
            </w:r>
            <w:r>
              <w:rPr>
                <w:bCs/>
                <w:sz w:val="24"/>
              </w:rPr>
              <w:t>W</w:t>
            </w:r>
            <w:r>
              <w:rPr>
                <w:rFonts w:hint="eastAsia"/>
                <w:bCs/>
                <w:sz w:val="24"/>
                <w:vertAlign w:val="subscript"/>
              </w:rPr>
              <w:t>3</w:t>
            </w:r>
            <w:r>
              <w:rPr>
                <w:bCs/>
                <w:sz w:val="24"/>
              </w:rPr>
              <w:t>断面水质满足《地表水环境质量标准》（GB3838-2002）</w:t>
            </w:r>
            <w:r>
              <w:rPr>
                <w:rFonts w:hint="eastAsia" w:ascii="宋体" w:hAnsi="宋体" w:cs="宋体"/>
                <w:bCs/>
                <w:sz w:val="24"/>
              </w:rPr>
              <w:t>Ⅲ</w:t>
            </w:r>
            <w:r>
              <w:rPr>
                <w:bCs/>
                <w:sz w:val="24"/>
              </w:rPr>
              <w:t>类标准。</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sz w:val="24"/>
                <w:szCs w:val="22"/>
              </w:rPr>
              <w:t>引用数据有效性分析：</w:t>
            </w:r>
            <w:r>
              <w:rPr>
                <w:rFonts w:hint="eastAsia"/>
                <w:sz w:val="24"/>
                <w:szCs w:val="22"/>
              </w:rPr>
              <w:t>本项目引用江苏久诚检验检测有限公司</w:t>
            </w:r>
            <w:r>
              <w:rPr>
                <w:sz w:val="24"/>
                <w:szCs w:val="22"/>
              </w:rPr>
              <w:t>于</w:t>
            </w:r>
            <w:r>
              <w:rPr>
                <w:bCs/>
                <w:sz w:val="24"/>
              </w:rPr>
              <w:t>202</w:t>
            </w:r>
            <w:r>
              <w:rPr>
                <w:rFonts w:hint="eastAsia"/>
                <w:bCs/>
                <w:sz w:val="24"/>
              </w:rPr>
              <w:t>1</w:t>
            </w:r>
            <w:r>
              <w:rPr>
                <w:bCs/>
                <w:sz w:val="24"/>
              </w:rPr>
              <w:t>年</w:t>
            </w:r>
            <w:r>
              <w:rPr>
                <w:rFonts w:hint="eastAsia"/>
                <w:bCs/>
                <w:sz w:val="24"/>
              </w:rPr>
              <w:t>2</w:t>
            </w:r>
            <w:r>
              <w:rPr>
                <w:bCs/>
                <w:sz w:val="24"/>
              </w:rPr>
              <w:t>月</w:t>
            </w:r>
            <w:r>
              <w:rPr>
                <w:rFonts w:hint="eastAsia"/>
                <w:bCs/>
                <w:sz w:val="24"/>
              </w:rPr>
              <w:t>24</w:t>
            </w:r>
            <w:r>
              <w:rPr>
                <w:bCs/>
                <w:sz w:val="24"/>
              </w:rPr>
              <w:t>日～</w:t>
            </w:r>
            <w:r>
              <w:rPr>
                <w:rFonts w:hint="eastAsia"/>
                <w:bCs/>
                <w:sz w:val="24"/>
              </w:rPr>
              <w:t>2</w:t>
            </w:r>
            <w:r>
              <w:rPr>
                <w:bCs/>
                <w:sz w:val="24"/>
              </w:rPr>
              <w:t>月</w:t>
            </w:r>
            <w:r>
              <w:rPr>
                <w:rFonts w:hint="eastAsia"/>
                <w:bCs/>
                <w:sz w:val="24"/>
              </w:rPr>
              <w:t>25</w:t>
            </w:r>
            <w:r>
              <w:rPr>
                <w:bCs/>
                <w:sz w:val="24"/>
              </w:rPr>
              <w:t>日</w:t>
            </w:r>
            <w:r>
              <w:rPr>
                <w:sz w:val="24"/>
                <w:szCs w:val="22"/>
              </w:rPr>
              <w:t>对</w:t>
            </w:r>
            <w:r>
              <w:rPr>
                <w:rFonts w:hint="eastAsia"/>
                <w:bCs/>
                <w:sz w:val="24"/>
              </w:rPr>
              <w:t>武南</w:t>
            </w:r>
            <w:r>
              <w:rPr>
                <w:bCs/>
                <w:sz w:val="24"/>
              </w:rPr>
              <w:t>污水处理厂排口上游500m、</w:t>
            </w:r>
            <w:r>
              <w:rPr>
                <w:rFonts w:hint="eastAsia"/>
                <w:bCs/>
                <w:sz w:val="24"/>
              </w:rPr>
              <w:t>武南</w:t>
            </w:r>
            <w:r>
              <w:rPr>
                <w:bCs/>
                <w:sz w:val="24"/>
              </w:rPr>
              <w:t>污水处理厂排口</w:t>
            </w:r>
            <w:r>
              <w:rPr>
                <w:rFonts w:hint="eastAsia"/>
                <w:bCs/>
                <w:sz w:val="24"/>
              </w:rPr>
              <w:t>、武南</w:t>
            </w:r>
            <w:r>
              <w:rPr>
                <w:bCs/>
                <w:sz w:val="24"/>
              </w:rPr>
              <w:t>污水处理厂排口下游1</w:t>
            </w:r>
            <w:r>
              <w:rPr>
                <w:rFonts w:hint="eastAsia"/>
                <w:bCs/>
                <w:sz w:val="24"/>
              </w:rPr>
              <w:t>5</w:t>
            </w:r>
            <w:r>
              <w:rPr>
                <w:bCs/>
                <w:sz w:val="24"/>
              </w:rPr>
              <w:t>00m</w:t>
            </w:r>
            <w:r>
              <w:rPr>
                <w:rFonts w:hint="eastAsia"/>
                <w:sz w:val="24"/>
                <w:szCs w:val="22"/>
              </w:rPr>
              <w:t>的</w:t>
            </w:r>
            <w:r>
              <w:rPr>
                <w:sz w:val="24"/>
                <w:szCs w:val="22"/>
              </w:rPr>
              <w:t>监测</w:t>
            </w:r>
            <w:r>
              <w:rPr>
                <w:rFonts w:hint="eastAsia"/>
                <w:sz w:val="24"/>
                <w:szCs w:val="22"/>
              </w:rPr>
              <w:t>数据</w:t>
            </w:r>
            <w:r>
              <w:rPr>
                <w:sz w:val="24"/>
                <w:szCs w:val="22"/>
              </w:rPr>
              <w:t>，引用时间不超过3年，水环境引用时间有效；项目所在区域污染源未发生重大变化，可引用3年内地表水的监测数据；引用点位在项目纳污河道评价范围内，地表水环境引用点位有效。</w:t>
            </w:r>
          </w:p>
          <w:p>
            <w:pPr>
              <w:keepNext w:val="0"/>
              <w:keepLines w:val="0"/>
              <w:suppressLineNumbers w:val="0"/>
              <w:adjustRightInd w:val="0"/>
              <w:snapToGrid w:val="0"/>
              <w:spacing w:before="0" w:beforeAutospacing="0" w:after="0" w:afterAutospacing="0" w:line="360" w:lineRule="auto"/>
              <w:ind w:left="0" w:right="0"/>
              <w:rPr>
                <w:b/>
                <w:bCs/>
                <w:sz w:val="24"/>
              </w:rPr>
            </w:pPr>
            <w:r>
              <w:rPr>
                <w:rFonts w:hint="eastAsia"/>
                <w:b/>
                <w:bCs/>
                <w:sz w:val="24"/>
              </w:rPr>
              <w:t>3、</w:t>
            </w:r>
            <w:r>
              <w:rPr>
                <w:b/>
                <w:bCs/>
                <w:sz w:val="24"/>
              </w:rPr>
              <w:t>声环境质量现状</w:t>
            </w:r>
          </w:p>
          <w:p>
            <w:pPr>
              <w:keepNext w:val="0"/>
              <w:keepLines w:val="0"/>
              <w:suppressLineNumbers w:val="0"/>
              <w:tabs>
                <w:tab w:val="left" w:pos="7776"/>
              </w:tabs>
              <w:adjustRightInd w:val="0"/>
              <w:spacing w:before="0" w:beforeAutospacing="0" w:after="0" w:afterAutospacing="0" w:line="360" w:lineRule="auto"/>
              <w:ind w:left="0" w:right="0" w:firstLine="480" w:firstLineChars="200"/>
              <w:rPr>
                <w:b/>
                <w:bCs/>
                <w:snapToGrid w:val="0"/>
                <w:kern w:val="0"/>
              </w:rPr>
            </w:pPr>
            <w:r>
              <w:rPr>
                <w:bCs/>
                <w:sz w:val="24"/>
              </w:rPr>
              <w:t>本项目委托</w:t>
            </w:r>
            <w:r>
              <w:rPr>
                <w:rFonts w:hint="eastAsia"/>
                <w:sz w:val="24"/>
                <w:szCs w:val="22"/>
              </w:rPr>
              <w:t>江苏久诚检验检测有限公司</w:t>
            </w:r>
            <w:r>
              <w:rPr>
                <w:bCs/>
                <w:sz w:val="24"/>
              </w:rPr>
              <w:t>于</w:t>
            </w:r>
            <w:r>
              <w:rPr>
                <w:sz w:val="24"/>
              </w:rPr>
              <w:t>202</w:t>
            </w:r>
            <w:r>
              <w:rPr>
                <w:rFonts w:hint="eastAsia"/>
                <w:sz w:val="24"/>
              </w:rPr>
              <w:t>2</w:t>
            </w:r>
            <w:r>
              <w:rPr>
                <w:sz w:val="24"/>
              </w:rPr>
              <w:t>.</w:t>
            </w:r>
            <w:r>
              <w:rPr>
                <w:rFonts w:hint="eastAsia"/>
                <w:sz w:val="24"/>
              </w:rPr>
              <w:t>4.20</w:t>
            </w:r>
            <w:r>
              <w:rPr>
                <w:sz w:val="24"/>
              </w:rPr>
              <w:t>在</w:t>
            </w:r>
            <w:r>
              <w:rPr>
                <w:bCs/>
                <w:sz w:val="24"/>
              </w:rPr>
              <w:t>厂界四周进行了噪声本底的实测，监测数据见下表：</w:t>
            </w:r>
          </w:p>
          <w:p>
            <w:pPr>
              <w:keepNext w:val="0"/>
              <w:keepLines w:val="0"/>
              <w:suppressLineNumbers w:val="0"/>
              <w:tabs>
                <w:tab w:val="left" w:pos="7776"/>
              </w:tabs>
              <w:adjustRightInd w:val="0"/>
              <w:spacing w:before="0" w:beforeAutospacing="0" w:after="0" w:afterAutospacing="0"/>
              <w:ind w:left="0" w:right="0" w:firstLine="482" w:firstLineChars="200"/>
              <w:jc w:val="center"/>
              <w:rPr>
                <w:b/>
                <w:bCs/>
                <w:snapToGrid w:val="0"/>
                <w:kern w:val="0"/>
                <w:sz w:val="24"/>
              </w:rPr>
            </w:pPr>
          </w:p>
          <w:p>
            <w:pPr>
              <w:keepNext w:val="0"/>
              <w:keepLines w:val="0"/>
              <w:suppressLineNumbers w:val="0"/>
              <w:tabs>
                <w:tab w:val="left" w:pos="7776"/>
              </w:tabs>
              <w:adjustRightInd w:val="0"/>
              <w:spacing w:before="0" w:beforeAutospacing="0" w:after="0" w:afterAutospacing="0"/>
              <w:ind w:left="0" w:right="0" w:firstLine="482" w:firstLineChars="200"/>
              <w:jc w:val="center"/>
              <w:rPr>
                <w:b/>
                <w:bCs/>
                <w:snapToGrid w:val="0"/>
                <w:kern w:val="0"/>
                <w:sz w:val="24"/>
              </w:rPr>
            </w:pPr>
          </w:p>
          <w:p>
            <w:pPr>
              <w:keepNext w:val="0"/>
              <w:keepLines w:val="0"/>
              <w:suppressLineNumbers w:val="0"/>
              <w:tabs>
                <w:tab w:val="left" w:pos="7776"/>
              </w:tabs>
              <w:adjustRightInd w:val="0"/>
              <w:spacing w:before="0" w:beforeAutospacing="0" w:after="0" w:afterAutospacing="0"/>
              <w:ind w:left="0" w:right="0" w:firstLine="482" w:firstLineChars="200"/>
              <w:jc w:val="center"/>
              <w:rPr>
                <w:b/>
                <w:bCs/>
                <w:snapToGrid w:val="0"/>
                <w:kern w:val="0"/>
                <w:sz w:val="24"/>
              </w:rPr>
            </w:pPr>
          </w:p>
          <w:p>
            <w:pPr>
              <w:keepNext w:val="0"/>
              <w:keepLines w:val="0"/>
              <w:suppressLineNumbers w:val="0"/>
              <w:tabs>
                <w:tab w:val="left" w:pos="7776"/>
              </w:tabs>
              <w:adjustRightInd w:val="0"/>
              <w:spacing w:before="0" w:beforeAutospacing="0" w:after="0" w:afterAutospacing="0"/>
              <w:ind w:left="0" w:right="0" w:firstLine="482" w:firstLineChars="200"/>
              <w:jc w:val="center"/>
              <w:rPr>
                <w:b/>
                <w:bCs/>
                <w:snapToGrid w:val="0"/>
                <w:kern w:val="0"/>
                <w:sz w:val="24"/>
              </w:rPr>
            </w:pPr>
          </w:p>
          <w:p>
            <w:pPr>
              <w:keepNext w:val="0"/>
              <w:keepLines w:val="0"/>
              <w:suppressLineNumbers w:val="0"/>
              <w:tabs>
                <w:tab w:val="left" w:pos="7776"/>
              </w:tabs>
              <w:adjustRightInd w:val="0"/>
              <w:spacing w:before="0" w:beforeAutospacing="0" w:after="0" w:afterAutospacing="0"/>
              <w:ind w:left="0" w:right="0" w:firstLine="482" w:firstLineChars="200"/>
              <w:jc w:val="center"/>
              <w:rPr>
                <w:b/>
                <w:bCs/>
                <w:snapToGrid w:val="0"/>
                <w:kern w:val="0"/>
                <w:sz w:val="24"/>
              </w:rPr>
            </w:pPr>
          </w:p>
          <w:p>
            <w:pPr>
              <w:keepNext w:val="0"/>
              <w:keepLines w:val="0"/>
              <w:suppressLineNumbers w:val="0"/>
              <w:tabs>
                <w:tab w:val="left" w:pos="7776"/>
              </w:tabs>
              <w:adjustRightInd w:val="0"/>
              <w:spacing w:before="0" w:beforeAutospacing="0" w:after="0" w:afterAutospacing="0"/>
              <w:ind w:left="0" w:right="0" w:firstLine="482" w:firstLineChars="200"/>
              <w:jc w:val="center"/>
              <w:rPr>
                <w:b/>
                <w:bCs/>
              </w:rPr>
            </w:pPr>
            <w:r>
              <w:rPr>
                <w:b/>
                <w:bCs/>
                <w:snapToGrid w:val="0"/>
                <w:kern w:val="0"/>
                <w:sz w:val="24"/>
              </w:rPr>
              <w:t>表</w:t>
            </w:r>
            <w:r>
              <w:rPr>
                <w:rFonts w:hint="eastAsia"/>
                <w:b/>
                <w:bCs/>
                <w:snapToGrid w:val="0"/>
                <w:kern w:val="0"/>
                <w:sz w:val="24"/>
              </w:rPr>
              <w:t xml:space="preserve">3-5  </w:t>
            </w:r>
            <w:r>
              <w:rPr>
                <w:b/>
                <w:bCs/>
                <w:snapToGrid w:val="0"/>
                <w:kern w:val="0"/>
                <w:sz w:val="24"/>
              </w:rPr>
              <w:t>声环境质量现状</w:t>
            </w:r>
          </w:p>
          <w:tbl>
            <w:tblPr>
              <w:tblStyle w:val="21"/>
              <w:tblW w:w="5000" w:type="pct"/>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autofit"/>
              <w:tblCellMar>
                <w:top w:w="0" w:type="dxa"/>
                <w:left w:w="108" w:type="dxa"/>
                <w:bottom w:w="0" w:type="dxa"/>
                <w:right w:w="108" w:type="dxa"/>
              </w:tblCellMar>
            </w:tblPr>
            <w:tblGrid>
              <w:gridCol w:w="725"/>
              <w:gridCol w:w="1705"/>
              <w:gridCol w:w="1297"/>
              <w:gridCol w:w="1295"/>
              <w:gridCol w:w="1297"/>
              <w:gridCol w:w="1655"/>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524" w:type="pct"/>
                  <w:gridSpan w:val="2"/>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监测点号</w:t>
                  </w:r>
                </w:p>
              </w:tc>
              <w:tc>
                <w:tcPr>
                  <w:tcW w:w="813" w:type="pct"/>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N1（东）</w:t>
                  </w:r>
                </w:p>
              </w:tc>
              <w:tc>
                <w:tcPr>
                  <w:tcW w:w="812" w:type="pct"/>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N2（南）</w:t>
                  </w:r>
                </w:p>
              </w:tc>
              <w:tc>
                <w:tcPr>
                  <w:tcW w:w="813" w:type="pct"/>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N3（西）</w:t>
                  </w:r>
                </w:p>
              </w:tc>
              <w:tc>
                <w:tcPr>
                  <w:tcW w:w="1038" w:type="pct"/>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N4（北）</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455"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4.20</w:t>
                  </w:r>
                </w:p>
              </w:tc>
              <w:tc>
                <w:tcPr>
                  <w:tcW w:w="1069"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昼间</w:t>
                  </w:r>
                  <w:r>
                    <w:rPr>
                      <w:rFonts w:hint="eastAsia"/>
                      <w:szCs w:val="21"/>
                    </w:rPr>
                    <w:t>Leq</w:t>
                  </w:r>
                  <w:r>
                    <w:rPr>
                      <w:szCs w:val="21"/>
                    </w:rPr>
                    <w:t>dB(A)</w:t>
                  </w:r>
                </w:p>
              </w:tc>
              <w:tc>
                <w:tcPr>
                  <w:tcW w:w="813"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57</w:t>
                  </w:r>
                </w:p>
              </w:tc>
              <w:tc>
                <w:tcPr>
                  <w:tcW w:w="812"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57</w:t>
                  </w:r>
                </w:p>
              </w:tc>
              <w:tc>
                <w:tcPr>
                  <w:tcW w:w="813"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56</w:t>
                  </w:r>
                </w:p>
              </w:tc>
              <w:tc>
                <w:tcPr>
                  <w:tcW w:w="1038"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56</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455"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4.20</w:t>
                  </w:r>
                </w:p>
              </w:tc>
              <w:tc>
                <w:tcPr>
                  <w:tcW w:w="1069"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夜</w:t>
                  </w:r>
                  <w:r>
                    <w:rPr>
                      <w:szCs w:val="21"/>
                    </w:rPr>
                    <w:t>间</w:t>
                  </w:r>
                  <w:r>
                    <w:rPr>
                      <w:rFonts w:hint="eastAsia"/>
                      <w:szCs w:val="21"/>
                    </w:rPr>
                    <w:t>Leq</w:t>
                  </w:r>
                  <w:r>
                    <w:rPr>
                      <w:szCs w:val="21"/>
                    </w:rPr>
                    <w:t>dB(A)</w:t>
                  </w:r>
                </w:p>
              </w:tc>
              <w:tc>
                <w:tcPr>
                  <w:tcW w:w="813"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45</w:t>
                  </w:r>
                </w:p>
              </w:tc>
              <w:tc>
                <w:tcPr>
                  <w:tcW w:w="812"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45</w:t>
                  </w:r>
                </w:p>
              </w:tc>
              <w:tc>
                <w:tcPr>
                  <w:tcW w:w="813"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44</w:t>
                  </w:r>
                </w:p>
              </w:tc>
              <w:tc>
                <w:tcPr>
                  <w:tcW w:w="1038"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44</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524" w:type="pct"/>
                  <w:gridSpan w:val="2"/>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噪声标准</w:t>
                  </w:r>
                </w:p>
              </w:tc>
              <w:tc>
                <w:tcPr>
                  <w:tcW w:w="3476" w:type="pct"/>
                  <w:gridSpan w:val="4"/>
                  <w:tcBorders>
                    <w:top w:val="single" w:color="000000" w:sz="6" w:space="0"/>
                    <w:bottom w:val="single" w:color="000000" w:sz="12" w:space="0"/>
                    <w:right w:val="nil"/>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昼间≤60dB(A)</w:t>
                  </w:r>
                  <w:r>
                    <w:rPr>
                      <w:rFonts w:hint="eastAsia"/>
                      <w:szCs w:val="21"/>
                    </w:rPr>
                    <w:t>，夜间</w:t>
                  </w:r>
                  <w:r>
                    <w:rPr>
                      <w:szCs w:val="21"/>
                    </w:rPr>
                    <w:t>≤</w:t>
                  </w:r>
                  <w:r>
                    <w:rPr>
                      <w:rFonts w:hint="eastAsia"/>
                      <w:szCs w:val="21"/>
                    </w:rPr>
                    <w:t>5</w:t>
                  </w:r>
                  <w:r>
                    <w:rPr>
                      <w:szCs w:val="21"/>
                    </w:rPr>
                    <w:t>0dB(A)</w:t>
                  </w:r>
                </w:p>
              </w:tc>
            </w:tr>
          </w:tbl>
          <w:p>
            <w:pPr>
              <w:keepNext w:val="0"/>
              <w:keepLines w:val="0"/>
              <w:suppressLineNumbers w:val="0"/>
              <w:adjustRightInd w:val="0"/>
              <w:snapToGrid w:val="0"/>
              <w:spacing w:before="0" w:beforeAutospacing="0" w:after="0" w:afterAutospacing="0" w:line="360" w:lineRule="auto"/>
              <w:ind w:left="0" w:right="0" w:firstLine="480" w:firstLineChars="200"/>
              <w:rPr>
                <w:rFonts w:ascii="宋体" w:hAnsi="宋体"/>
                <w:bCs/>
                <w:sz w:val="24"/>
              </w:rPr>
            </w:pPr>
            <w:r>
              <w:rPr>
                <w:bCs/>
                <w:sz w:val="24"/>
              </w:rPr>
              <w:t>由上表可知，项目各厂界昼</w:t>
            </w:r>
            <w:r>
              <w:rPr>
                <w:rFonts w:hint="eastAsia"/>
                <w:bCs/>
                <w:sz w:val="24"/>
              </w:rPr>
              <w:t>、夜</w:t>
            </w:r>
            <w:r>
              <w:rPr>
                <w:bCs/>
                <w:sz w:val="24"/>
              </w:rPr>
              <w:t>间噪声均符合《声环境质量标准》（GB3096-2008）中2类标准要求</w:t>
            </w:r>
            <w:r>
              <w:rPr>
                <w:rFonts w:hint="eastAsia" w:ascii="宋体" w:hAnsi="宋体"/>
                <w:bCs/>
                <w:sz w:val="24"/>
              </w:rPr>
              <w:t>。</w:t>
            </w:r>
          </w:p>
          <w:p>
            <w:pPr>
              <w:keepNext w:val="0"/>
              <w:keepLines w:val="0"/>
              <w:suppressLineNumbers w:val="0"/>
              <w:spacing w:before="0" w:beforeAutospacing="0" w:after="0" w:afterAutospacing="0" w:line="360" w:lineRule="auto"/>
              <w:ind w:left="0" w:right="0"/>
              <w:rPr>
                <w:b/>
                <w:bCs/>
                <w:sz w:val="24"/>
              </w:rPr>
            </w:pPr>
            <w:r>
              <w:rPr>
                <w:rFonts w:hint="eastAsia"/>
                <w:b/>
                <w:bCs/>
                <w:sz w:val="24"/>
              </w:rPr>
              <w:t>4、生态环境现状</w:t>
            </w:r>
          </w:p>
          <w:p>
            <w:pPr>
              <w:keepNext w:val="0"/>
              <w:keepLines w:val="0"/>
              <w:suppressLineNumbers w:val="0"/>
              <w:spacing w:before="0" w:beforeAutospacing="0" w:after="0" w:afterAutospacing="0" w:line="360" w:lineRule="auto"/>
              <w:ind w:left="0" w:right="0" w:firstLine="480" w:firstLineChars="200"/>
              <w:rPr>
                <w:bCs/>
                <w:sz w:val="24"/>
              </w:rPr>
            </w:pPr>
            <w:r>
              <w:rPr>
                <w:rFonts w:hint="eastAsia"/>
                <w:bCs/>
                <w:sz w:val="24"/>
              </w:rPr>
              <w:t>本项目用地范围内无生态环境保护目标。根据《建设项目环境影响报告表编制技术指南（污染影响类）》（试行），无需开展生态环境现状调查。</w:t>
            </w:r>
          </w:p>
          <w:p>
            <w:pPr>
              <w:keepNext w:val="0"/>
              <w:keepLines w:val="0"/>
              <w:suppressLineNumbers w:val="0"/>
              <w:spacing w:before="0" w:beforeAutospacing="0" w:after="0" w:afterAutospacing="0" w:line="360" w:lineRule="auto"/>
              <w:ind w:left="0" w:right="0"/>
              <w:rPr>
                <w:b/>
                <w:bCs/>
                <w:sz w:val="24"/>
              </w:rPr>
            </w:pPr>
            <w:r>
              <w:rPr>
                <w:rFonts w:hint="eastAsia"/>
                <w:b/>
                <w:bCs/>
                <w:sz w:val="24"/>
              </w:rPr>
              <w:t>5、辐射</w:t>
            </w:r>
          </w:p>
          <w:p>
            <w:pPr>
              <w:keepNext w:val="0"/>
              <w:keepLines w:val="0"/>
              <w:suppressLineNumbers w:val="0"/>
              <w:spacing w:before="0" w:beforeAutospacing="0" w:after="0" w:afterAutospacing="0" w:line="360" w:lineRule="auto"/>
              <w:ind w:left="0" w:right="0" w:firstLine="480" w:firstLineChars="200"/>
              <w:rPr>
                <w:bCs/>
                <w:sz w:val="24"/>
              </w:rPr>
            </w:pPr>
            <w:r>
              <w:rPr>
                <w:rFonts w:hint="eastAsia"/>
                <w:bCs/>
                <w:sz w:val="24"/>
              </w:rPr>
              <w:t>本项目不属于广播电台、差转台、电视塔台、卫星地球上行站、雷达等电磁辐射类项目。</w:t>
            </w:r>
          </w:p>
          <w:p>
            <w:pPr>
              <w:keepNext w:val="0"/>
              <w:keepLines w:val="0"/>
              <w:suppressLineNumbers w:val="0"/>
              <w:spacing w:before="0" w:beforeAutospacing="0" w:after="0" w:afterAutospacing="0" w:line="360" w:lineRule="auto"/>
              <w:ind w:left="0" w:right="0"/>
              <w:rPr>
                <w:b/>
                <w:bCs/>
                <w:sz w:val="24"/>
              </w:rPr>
            </w:pPr>
            <w:r>
              <w:rPr>
                <w:rFonts w:hint="eastAsia"/>
                <w:b/>
                <w:bCs/>
                <w:sz w:val="24"/>
              </w:rPr>
              <w:t>6、地下水、土壤环境质量现状</w:t>
            </w:r>
          </w:p>
          <w:p>
            <w:pPr>
              <w:keepNext w:val="0"/>
              <w:keepLines w:val="0"/>
              <w:suppressLineNumbers w:val="0"/>
              <w:spacing w:before="0" w:beforeAutospacing="0" w:after="0" w:afterAutospacing="0" w:line="360" w:lineRule="auto"/>
              <w:ind w:left="0" w:right="0" w:firstLine="480" w:firstLineChars="200"/>
              <w:rPr>
                <w:bCs/>
                <w:sz w:val="24"/>
              </w:rPr>
            </w:pPr>
            <w:r>
              <w:rPr>
                <w:rFonts w:hint="eastAsia"/>
                <w:bCs/>
                <w:sz w:val="24"/>
              </w:rPr>
              <w:t>根据《建设项目环境影响报告表编制技术指南（污染影响类）》（试行），原则上不开展地下水、土壤环境质量现状调查。本项目生产车间、危废仓库地面均已做硬化和防渗处理，故发生地下水、土壤环境问题的可能性较小，因此不开展现状调查。</w:t>
            </w:r>
          </w:p>
          <w:p>
            <w:pPr>
              <w:pStyle w:val="27"/>
              <w:keepNext w:val="0"/>
              <w:keepLines w:val="0"/>
              <w:suppressLineNumbers w:val="0"/>
              <w:ind w:left="-84" w:firstLine="560"/>
            </w:pPr>
          </w:p>
          <w:p>
            <w:pPr>
              <w:pStyle w:val="27"/>
              <w:keepNext w:val="0"/>
              <w:keepLines w:val="0"/>
              <w:suppressLineNumbers w:val="0"/>
              <w:ind w:left="-84" w:firstLine="560"/>
            </w:pPr>
          </w:p>
          <w:p>
            <w:pPr>
              <w:pStyle w:val="27"/>
              <w:keepNext w:val="0"/>
              <w:keepLines w:val="0"/>
              <w:suppressLineNumbers w:val="0"/>
              <w:ind w:left="-84" w:firstLine="560"/>
            </w:pPr>
          </w:p>
          <w:p>
            <w:pPr>
              <w:pStyle w:val="27"/>
              <w:keepNext w:val="0"/>
              <w:keepLines w:val="0"/>
              <w:suppressLineNumbers w:val="0"/>
              <w:ind w:left="-84" w:firstLine="560"/>
            </w:pPr>
          </w:p>
          <w:p>
            <w:pPr>
              <w:pStyle w:val="27"/>
              <w:keepNext w:val="0"/>
              <w:keepLines w:val="0"/>
              <w:suppressLineNumbers w:val="0"/>
              <w:ind w:left="-84" w:firstLine="560"/>
            </w:pPr>
          </w:p>
          <w:p>
            <w:pPr>
              <w:pStyle w:val="27"/>
              <w:keepNext w:val="0"/>
              <w:keepLines w:val="0"/>
              <w:suppressLineNumbers w:val="0"/>
              <w:ind w:left="-84" w:firstLine="560"/>
            </w:pPr>
          </w:p>
          <w:p>
            <w:pPr>
              <w:pStyle w:val="27"/>
              <w:keepNext w:val="0"/>
              <w:keepLines w:val="0"/>
              <w:suppressLineNumbers w:val="0"/>
              <w:ind w:left="-84" w:firstLine="560"/>
            </w:pPr>
          </w:p>
          <w:p>
            <w:pPr>
              <w:pStyle w:val="27"/>
              <w:keepNext w:val="0"/>
              <w:keepLines w:val="0"/>
              <w:suppressLineNumbers w:val="0"/>
              <w:ind w:left="-84" w:firstLine="56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0" w:hRule="atLeast"/>
          <w:jc w:val="center"/>
        </w:trPr>
        <w:tc>
          <w:tcPr>
            <w:tcW w:w="800"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kern w:val="0"/>
                <w:szCs w:val="21"/>
              </w:rPr>
            </w:pPr>
            <w:r>
              <w:rPr>
                <w:rFonts w:hint="eastAsia" w:ascii="宋体" w:hAnsi="宋体" w:cs="宋体"/>
                <w:kern w:val="0"/>
                <w:szCs w:val="21"/>
              </w:rPr>
              <w:t>环境</w:t>
            </w:r>
          </w:p>
          <w:p>
            <w:pPr>
              <w:keepNext w:val="0"/>
              <w:keepLines w:val="0"/>
              <w:suppressLineNumbers w:val="0"/>
              <w:adjustRightInd w:val="0"/>
              <w:snapToGrid w:val="0"/>
              <w:spacing w:before="0" w:beforeAutospacing="0" w:after="0" w:afterAutospacing="0"/>
              <w:ind w:left="0" w:right="0"/>
              <w:jc w:val="center"/>
              <w:rPr>
                <w:rFonts w:ascii="宋体" w:hAnsi="宋体" w:cs="宋体"/>
                <w:kern w:val="0"/>
                <w:szCs w:val="21"/>
              </w:rPr>
            </w:pPr>
            <w:r>
              <w:rPr>
                <w:rFonts w:hint="eastAsia" w:ascii="宋体" w:hAnsi="宋体" w:cs="宋体"/>
                <w:kern w:val="0"/>
                <w:szCs w:val="21"/>
              </w:rPr>
              <w:t>保护</w:t>
            </w:r>
          </w:p>
          <w:p>
            <w:pPr>
              <w:keepNext w:val="0"/>
              <w:keepLines w:val="0"/>
              <w:suppressLineNumbers w:val="0"/>
              <w:adjustRightInd w:val="0"/>
              <w:snapToGrid w:val="0"/>
              <w:spacing w:before="0" w:beforeAutospacing="0" w:after="0" w:afterAutospacing="0"/>
              <w:ind w:left="0" w:right="0"/>
              <w:jc w:val="center"/>
              <w:rPr>
                <w:rFonts w:ascii="宋体" w:hAnsi="宋体" w:cs="宋体"/>
                <w:kern w:val="0"/>
                <w:szCs w:val="21"/>
              </w:rPr>
            </w:pPr>
            <w:r>
              <w:rPr>
                <w:rFonts w:hint="eastAsia" w:ascii="宋体" w:hAnsi="宋体" w:cs="宋体"/>
                <w:kern w:val="0"/>
                <w:szCs w:val="21"/>
              </w:rPr>
              <w:t>目标</w:t>
            </w:r>
          </w:p>
        </w:tc>
        <w:tc>
          <w:tcPr>
            <w:tcW w:w="8190" w:type="dxa"/>
            <w:vAlign w:val="center"/>
          </w:tcPr>
          <w:p>
            <w:pPr>
              <w:keepNext w:val="0"/>
              <w:keepLines w:val="0"/>
              <w:suppressLineNumbers w:val="0"/>
              <w:adjustRightInd w:val="0"/>
              <w:snapToGrid w:val="0"/>
              <w:spacing w:before="0" w:beforeAutospacing="0" w:after="0" w:afterAutospacing="0" w:line="360" w:lineRule="auto"/>
              <w:ind w:left="0" w:right="0" w:firstLine="482"/>
              <w:rPr>
                <w:sz w:val="24"/>
              </w:rPr>
            </w:pPr>
            <w:r>
              <w:rPr>
                <w:rFonts w:hint="eastAsia"/>
                <w:sz w:val="24"/>
              </w:rPr>
              <w:t>1、大气环境</w:t>
            </w:r>
          </w:p>
          <w:p>
            <w:pPr>
              <w:keepNext w:val="0"/>
              <w:keepLines w:val="0"/>
              <w:suppressLineNumbers w:val="0"/>
              <w:adjustRightInd w:val="0"/>
              <w:snapToGrid w:val="0"/>
              <w:spacing w:before="0" w:beforeAutospacing="0" w:after="0" w:afterAutospacing="0" w:line="360" w:lineRule="auto"/>
              <w:ind w:left="0" w:right="0" w:firstLine="482"/>
              <w:rPr>
                <w:sz w:val="24"/>
              </w:rPr>
            </w:pPr>
            <w:r>
              <w:rPr>
                <w:sz w:val="24"/>
              </w:rPr>
              <w:t>项目周围主要环境保护目标见下表：</w:t>
            </w:r>
          </w:p>
          <w:p>
            <w:pPr>
              <w:keepNext w:val="0"/>
              <w:keepLines w:val="0"/>
              <w:suppressLineNumbers w:val="0"/>
              <w:autoSpaceDE w:val="0"/>
              <w:autoSpaceDN w:val="0"/>
              <w:adjustRightInd w:val="0"/>
              <w:snapToGrid w:val="0"/>
              <w:spacing w:before="0" w:beforeAutospacing="0" w:after="0" w:afterAutospacing="0"/>
              <w:ind w:left="0" w:right="0"/>
              <w:jc w:val="center"/>
              <w:rPr>
                <w:b/>
                <w:bCs/>
                <w:sz w:val="24"/>
              </w:rPr>
            </w:pPr>
            <w:r>
              <w:rPr>
                <w:b/>
                <w:bCs/>
                <w:sz w:val="24"/>
              </w:rPr>
              <w:t>表</w:t>
            </w:r>
            <w:r>
              <w:rPr>
                <w:rFonts w:hint="eastAsia"/>
                <w:b/>
                <w:bCs/>
                <w:sz w:val="24"/>
              </w:rPr>
              <w:t>3-6  项目</w:t>
            </w:r>
            <w:r>
              <w:rPr>
                <w:b/>
                <w:bCs/>
                <w:sz w:val="24"/>
              </w:rPr>
              <w:t>环境保护目标一览表</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30"/>
              <w:gridCol w:w="1558"/>
              <w:gridCol w:w="885"/>
              <w:gridCol w:w="992"/>
              <w:gridCol w:w="1521"/>
              <w:gridCol w:w="1132"/>
              <w:gridCol w:w="115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458" w:type="pct"/>
                  <w:vMerge w:val="restart"/>
                  <w:vAlign w:val="center"/>
                </w:tcPr>
                <w:p>
                  <w:pPr>
                    <w:keepNext w:val="0"/>
                    <w:keepLines w:val="0"/>
                    <w:suppressLineNumbers w:val="0"/>
                    <w:spacing w:before="0" w:beforeAutospacing="0" w:after="0" w:afterAutospacing="0"/>
                    <w:ind w:left="0" w:right="0"/>
                    <w:jc w:val="center"/>
                    <w:rPr>
                      <w:b/>
                      <w:szCs w:val="21"/>
                    </w:rPr>
                  </w:pPr>
                  <w:r>
                    <w:rPr>
                      <w:b/>
                      <w:szCs w:val="21"/>
                    </w:rPr>
                    <w:t>名称</w:t>
                  </w:r>
                </w:p>
              </w:tc>
              <w:tc>
                <w:tcPr>
                  <w:tcW w:w="977" w:type="pct"/>
                  <w:vMerge w:val="restart"/>
                  <w:vAlign w:val="center"/>
                </w:tcPr>
                <w:p>
                  <w:pPr>
                    <w:keepNext w:val="0"/>
                    <w:keepLines w:val="0"/>
                    <w:suppressLineNumbers w:val="0"/>
                    <w:spacing w:before="0" w:beforeAutospacing="0" w:after="0" w:afterAutospacing="0"/>
                    <w:ind w:left="0" w:right="0"/>
                    <w:jc w:val="center"/>
                    <w:rPr>
                      <w:b/>
                      <w:szCs w:val="21"/>
                    </w:rPr>
                  </w:pPr>
                  <w:r>
                    <w:rPr>
                      <w:b/>
                      <w:szCs w:val="21"/>
                    </w:rPr>
                    <w:t>保护对象</w:t>
                  </w:r>
                </w:p>
              </w:tc>
              <w:tc>
                <w:tcPr>
                  <w:tcW w:w="555" w:type="pct"/>
                  <w:vMerge w:val="restart"/>
                  <w:vAlign w:val="center"/>
                </w:tcPr>
                <w:p>
                  <w:pPr>
                    <w:keepNext w:val="0"/>
                    <w:keepLines w:val="0"/>
                    <w:suppressLineNumbers w:val="0"/>
                    <w:spacing w:before="0" w:beforeAutospacing="0" w:after="0" w:afterAutospacing="0"/>
                    <w:ind w:left="0" w:right="0"/>
                    <w:jc w:val="center"/>
                    <w:rPr>
                      <w:b/>
                      <w:szCs w:val="21"/>
                    </w:rPr>
                  </w:pPr>
                  <w:r>
                    <w:rPr>
                      <w:b/>
                      <w:szCs w:val="21"/>
                    </w:rPr>
                    <w:t>保护内容</w:t>
                  </w:r>
                </w:p>
              </w:tc>
              <w:tc>
                <w:tcPr>
                  <w:tcW w:w="622" w:type="pct"/>
                  <w:vMerge w:val="restart"/>
                  <w:vAlign w:val="center"/>
                </w:tcPr>
                <w:p>
                  <w:pPr>
                    <w:keepNext w:val="0"/>
                    <w:keepLines w:val="0"/>
                    <w:suppressLineNumbers w:val="0"/>
                    <w:spacing w:before="0" w:beforeAutospacing="0" w:after="0" w:afterAutospacing="0"/>
                    <w:ind w:left="0" w:right="0"/>
                    <w:jc w:val="center"/>
                    <w:rPr>
                      <w:b/>
                      <w:szCs w:val="21"/>
                    </w:rPr>
                  </w:pPr>
                  <w:r>
                    <w:rPr>
                      <w:b/>
                      <w:szCs w:val="21"/>
                    </w:rPr>
                    <w:t>环境功能区</w:t>
                  </w:r>
                </w:p>
              </w:tc>
              <w:tc>
                <w:tcPr>
                  <w:tcW w:w="954" w:type="pct"/>
                  <w:vMerge w:val="restart"/>
                  <w:vAlign w:val="center"/>
                </w:tcPr>
                <w:p>
                  <w:pPr>
                    <w:keepNext w:val="0"/>
                    <w:keepLines w:val="0"/>
                    <w:suppressLineNumbers w:val="0"/>
                    <w:spacing w:before="0" w:beforeAutospacing="0" w:after="0" w:afterAutospacing="0"/>
                    <w:ind w:left="0" w:right="0"/>
                    <w:jc w:val="center"/>
                    <w:rPr>
                      <w:b/>
                      <w:szCs w:val="21"/>
                    </w:rPr>
                  </w:pPr>
                  <w:r>
                    <w:rPr>
                      <w:b/>
                      <w:szCs w:val="21"/>
                    </w:rPr>
                    <w:t>相对厂址方位</w:t>
                  </w:r>
                </w:p>
              </w:tc>
              <w:tc>
                <w:tcPr>
                  <w:tcW w:w="710" w:type="pct"/>
                  <w:vMerge w:val="restart"/>
                  <w:vAlign w:val="center"/>
                </w:tcPr>
                <w:p>
                  <w:pPr>
                    <w:keepNext w:val="0"/>
                    <w:keepLines w:val="0"/>
                    <w:suppressLineNumbers w:val="0"/>
                    <w:spacing w:before="0" w:beforeAutospacing="0" w:after="0" w:afterAutospacing="0"/>
                    <w:ind w:left="0" w:right="0"/>
                    <w:jc w:val="center"/>
                    <w:rPr>
                      <w:b/>
                      <w:szCs w:val="21"/>
                    </w:rPr>
                  </w:pPr>
                  <w:r>
                    <w:rPr>
                      <w:b/>
                      <w:szCs w:val="21"/>
                    </w:rPr>
                    <w:t>相对厂界距离</w:t>
                  </w:r>
                  <w:r>
                    <w:rPr>
                      <w:rFonts w:hint="eastAsia"/>
                      <w:b/>
                      <w:szCs w:val="21"/>
                    </w:rPr>
                    <w:t>/m</w:t>
                  </w:r>
                </w:p>
              </w:tc>
              <w:tc>
                <w:tcPr>
                  <w:tcW w:w="724" w:type="pct"/>
                  <w:vMerge w:val="restart"/>
                  <w:vAlign w:val="center"/>
                </w:tcPr>
                <w:p>
                  <w:pPr>
                    <w:keepNext w:val="0"/>
                    <w:keepLines w:val="0"/>
                    <w:suppressLineNumbers w:val="0"/>
                    <w:spacing w:before="0" w:beforeAutospacing="0" w:after="0" w:afterAutospacing="0"/>
                    <w:ind w:left="0" w:right="0"/>
                    <w:jc w:val="center"/>
                    <w:rPr>
                      <w:b/>
                      <w:szCs w:val="21"/>
                    </w:rPr>
                  </w:pPr>
                  <w:r>
                    <w:rPr>
                      <w:b/>
                      <w:szCs w:val="21"/>
                    </w:rPr>
                    <w:t>规模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458" w:type="pct"/>
                  <w:vMerge w:val="continue"/>
                  <w:vAlign w:val="center"/>
                </w:tcPr>
                <w:p>
                  <w:pPr>
                    <w:keepNext w:val="0"/>
                    <w:keepLines w:val="0"/>
                    <w:suppressLineNumbers w:val="0"/>
                    <w:spacing w:before="0" w:beforeAutospacing="0" w:after="0" w:afterAutospacing="0"/>
                    <w:ind w:left="0" w:right="0"/>
                    <w:jc w:val="center"/>
                    <w:rPr>
                      <w:b/>
                      <w:szCs w:val="21"/>
                    </w:rPr>
                  </w:pPr>
                </w:p>
              </w:tc>
              <w:tc>
                <w:tcPr>
                  <w:tcW w:w="977" w:type="pct"/>
                  <w:vMerge w:val="continue"/>
                  <w:vAlign w:val="center"/>
                </w:tcPr>
                <w:p>
                  <w:pPr>
                    <w:keepNext w:val="0"/>
                    <w:keepLines w:val="0"/>
                    <w:suppressLineNumbers w:val="0"/>
                    <w:spacing w:before="0" w:beforeAutospacing="0" w:after="0" w:afterAutospacing="0"/>
                    <w:ind w:left="0" w:right="0"/>
                    <w:jc w:val="center"/>
                    <w:rPr>
                      <w:b/>
                      <w:szCs w:val="21"/>
                    </w:rPr>
                  </w:pPr>
                </w:p>
              </w:tc>
              <w:tc>
                <w:tcPr>
                  <w:tcW w:w="555" w:type="pct"/>
                  <w:vMerge w:val="continue"/>
                  <w:vAlign w:val="center"/>
                </w:tcPr>
                <w:p>
                  <w:pPr>
                    <w:keepNext w:val="0"/>
                    <w:keepLines w:val="0"/>
                    <w:suppressLineNumbers w:val="0"/>
                    <w:spacing w:before="0" w:beforeAutospacing="0" w:after="0" w:afterAutospacing="0"/>
                    <w:ind w:left="0" w:right="0"/>
                    <w:jc w:val="center"/>
                    <w:rPr>
                      <w:b/>
                      <w:szCs w:val="21"/>
                    </w:rPr>
                  </w:pPr>
                </w:p>
              </w:tc>
              <w:tc>
                <w:tcPr>
                  <w:tcW w:w="622" w:type="pct"/>
                  <w:vMerge w:val="continue"/>
                  <w:vAlign w:val="center"/>
                </w:tcPr>
                <w:p>
                  <w:pPr>
                    <w:keepNext w:val="0"/>
                    <w:keepLines w:val="0"/>
                    <w:suppressLineNumbers w:val="0"/>
                    <w:spacing w:before="0" w:beforeAutospacing="0" w:after="0" w:afterAutospacing="0"/>
                    <w:ind w:left="0" w:right="0"/>
                    <w:jc w:val="center"/>
                    <w:rPr>
                      <w:b/>
                      <w:szCs w:val="21"/>
                    </w:rPr>
                  </w:pPr>
                </w:p>
              </w:tc>
              <w:tc>
                <w:tcPr>
                  <w:tcW w:w="954" w:type="pct"/>
                  <w:vMerge w:val="continue"/>
                  <w:vAlign w:val="center"/>
                </w:tcPr>
                <w:p>
                  <w:pPr>
                    <w:keepNext w:val="0"/>
                    <w:keepLines w:val="0"/>
                    <w:suppressLineNumbers w:val="0"/>
                    <w:spacing w:before="0" w:beforeAutospacing="0" w:after="0" w:afterAutospacing="0"/>
                    <w:ind w:left="0" w:right="0"/>
                    <w:jc w:val="center"/>
                    <w:rPr>
                      <w:b/>
                      <w:szCs w:val="21"/>
                    </w:rPr>
                  </w:pPr>
                </w:p>
              </w:tc>
              <w:tc>
                <w:tcPr>
                  <w:tcW w:w="710" w:type="pct"/>
                  <w:vMerge w:val="continue"/>
                  <w:vAlign w:val="center"/>
                </w:tcPr>
                <w:p>
                  <w:pPr>
                    <w:keepNext w:val="0"/>
                    <w:keepLines w:val="0"/>
                    <w:suppressLineNumbers w:val="0"/>
                    <w:spacing w:before="0" w:beforeAutospacing="0" w:after="0" w:afterAutospacing="0"/>
                    <w:ind w:left="0" w:right="0"/>
                    <w:jc w:val="center"/>
                    <w:rPr>
                      <w:b/>
                      <w:szCs w:val="21"/>
                    </w:rPr>
                  </w:pPr>
                </w:p>
              </w:tc>
              <w:tc>
                <w:tcPr>
                  <w:tcW w:w="724" w:type="pct"/>
                  <w:vMerge w:val="continue"/>
                  <w:vAlign w:val="center"/>
                </w:tcPr>
                <w:p>
                  <w:pPr>
                    <w:keepNext w:val="0"/>
                    <w:keepLines w:val="0"/>
                    <w:suppressLineNumbers w:val="0"/>
                    <w:spacing w:before="0" w:beforeAutospacing="0" w:after="0" w:afterAutospacing="0"/>
                    <w:ind w:left="0" w:right="0"/>
                    <w:jc w:val="center"/>
                    <w:rPr>
                      <w:b/>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8" w:type="pct"/>
                  <w:vMerge w:val="restart"/>
                  <w:vAlign w:val="center"/>
                </w:tcPr>
                <w:p>
                  <w:pPr>
                    <w:keepNext w:val="0"/>
                    <w:keepLines w:val="0"/>
                    <w:suppressLineNumbers w:val="0"/>
                    <w:spacing w:before="0" w:beforeAutospacing="0" w:after="0" w:afterAutospacing="0"/>
                    <w:ind w:left="0" w:right="0"/>
                    <w:jc w:val="center"/>
                    <w:rPr>
                      <w:b/>
                      <w:szCs w:val="21"/>
                    </w:rPr>
                  </w:pPr>
                  <w:r>
                    <w:rPr>
                      <w:bCs/>
                      <w:szCs w:val="21"/>
                    </w:rPr>
                    <w:t>大气环境</w:t>
                  </w:r>
                </w:p>
              </w:tc>
              <w:tc>
                <w:tcPr>
                  <w:tcW w:w="977"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支家头</w:t>
                  </w:r>
                </w:p>
              </w:tc>
              <w:tc>
                <w:tcPr>
                  <w:tcW w:w="555" w:type="pct"/>
                  <w:vMerge w:val="restart"/>
                  <w:vAlign w:val="center"/>
                </w:tcPr>
                <w:p>
                  <w:pPr>
                    <w:keepNext w:val="0"/>
                    <w:keepLines w:val="0"/>
                    <w:suppressLineNumbers w:val="0"/>
                    <w:spacing w:before="0" w:beforeAutospacing="0" w:after="0" w:afterAutospacing="0"/>
                    <w:ind w:left="0" w:right="0"/>
                    <w:jc w:val="center"/>
                    <w:rPr>
                      <w:bCs/>
                      <w:szCs w:val="21"/>
                    </w:rPr>
                  </w:pPr>
                  <w:r>
                    <w:rPr>
                      <w:bCs/>
                      <w:szCs w:val="21"/>
                    </w:rPr>
                    <w:t>居民</w:t>
                  </w:r>
                </w:p>
              </w:tc>
              <w:tc>
                <w:tcPr>
                  <w:tcW w:w="622" w:type="pct"/>
                  <w:vMerge w:val="restart"/>
                  <w:vAlign w:val="center"/>
                </w:tcPr>
                <w:p>
                  <w:pPr>
                    <w:keepNext w:val="0"/>
                    <w:keepLines w:val="0"/>
                    <w:suppressLineNumbers w:val="0"/>
                    <w:spacing w:before="0" w:beforeAutospacing="0" w:after="0" w:afterAutospacing="0"/>
                    <w:ind w:left="0" w:right="0"/>
                    <w:jc w:val="center"/>
                    <w:rPr>
                      <w:bCs/>
                      <w:szCs w:val="21"/>
                    </w:rPr>
                  </w:pPr>
                  <w:r>
                    <w:rPr>
                      <w:bCs/>
                      <w:szCs w:val="21"/>
                    </w:rPr>
                    <w:t>二级功能区</w:t>
                  </w:r>
                </w:p>
              </w:tc>
              <w:tc>
                <w:tcPr>
                  <w:tcW w:w="954" w:type="pct"/>
                  <w:vAlign w:val="center"/>
                </w:tcPr>
                <w:p>
                  <w:pPr>
                    <w:keepNext w:val="0"/>
                    <w:keepLines w:val="0"/>
                    <w:suppressLineNumbers w:val="0"/>
                    <w:adjustRightInd w:val="0"/>
                    <w:snapToGrid w:val="0"/>
                    <w:spacing w:before="0" w:beforeAutospacing="0" w:after="0" w:afterAutospacing="0"/>
                    <w:ind w:left="0" w:right="0"/>
                    <w:jc w:val="center"/>
                    <w:rPr>
                      <w:bCs/>
                      <w:szCs w:val="21"/>
                    </w:rPr>
                  </w:pPr>
                  <w:r>
                    <w:rPr>
                      <w:rFonts w:hint="eastAsia"/>
                      <w:bCs/>
                      <w:szCs w:val="21"/>
                    </w:rPr>
                    <w:t>N</w:t>
                  </w:r>
                </w:p>
              </w:tc>
              <w:tc>
                <w:tcPr>
                  <w:tcW w:w="710" w:type="pct"/>
                  <w:vAlign w:val="center"/>
                </w:tcPr>
                <w:p>
                  <w:pPr>
                    <w:pStyle w:val="59"/>
                    <w:keepNext w:val="0"/>
                    <w:keepLines w:val="0"/>
                    <w:suppressLineNumbers w:val="0"/>
                    <w:spacing w:before="0" w:beforeAutospacing="0" w:after="0" w:afterAutospacing="0"/>
                    <w:ind w:left="0" w:right="0"/>
                    <w:rPr>
                      <w:rFonts w:ascii="Times New Roman" w:hAnsi="Times New Roman"/>
                      <w:bCs/>
                      <w:sz w:val="21"/>
                      <w:szCs w:val="21"/>
                    </w:rPr>
                  </w:pPr>
                  <w:r>
                    <w:rPr>
                      <w:rFonts w:hint="eastAsia" w:ascii="Times New Roman" w:hAnsi="Times New Roman"/>
                      <w:bCs/>
                      <w:sz w:val="21"/>
                      <w:szCs w:val="21"/>
                    </w:rPr>
                    <w:t>56</w:t>
                  </w:r>
                </w:p>
              </w:tc>
              <w:tc>
                <w:tcPr>
                  <w:tcW w:w="724" w:type="pct"/>
                  <w:vAlign w:val="center"/>
                </w:tcPr>
                <w:p>
                  <w:pPr>
                    <w:pStyle w:val="59"/>
                    <w:keepNext w:val="0"/>
                    <w:keepLines w:val="0"/>
                    <w:suppressLineNumbers w:val="0"/>
                    <w:spacing w:before="0" w:beforeAutospacing="0" w:after="0" w:afterAutospacing="0"/>
                    <w:ind w:left="0" w:right="0"/>
                    <w:rPr>
                      <w:rFonts w:ascii="Times New Roman" w:hAnsi="Times New Roman"/>
                      <w:bCs/>
                      <w:sz w:val="21"/>
                      <w:szCs w:val="21"/>
                    </w:rPr>
                  </w:pPr>
                  <w:r>
                    <w:rPr>
                      <w:rFonts w:hint="eastAsia" w:ascii="Times New Roman" w:hAnsi="Times New Roman"/>
                      <w:bCs/>
                      <w:sz w:val="21"/>
                      <w:szCs w:val="21"/>
                    </w:rPr>
                    <w:t>200人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8" w:type="pct"/>
                  <w:vMerge w:val="continue"/>
                  <w:vAlign w:val="center"/>
                </w:tcPr>
                <w:p>
                  <w:pPr>
                    <w:keepNext w:val="0"/>
                    <w:keepLines w:val="0"/>
                    <w:suppressLineNumbers w:val="0"/>
                    <w:spacing w:before="0" w:beforeAutospacing="0" w:after="0" w:afterAutospacing="0"/>
                    <w:ind w:left="0" w:right="0"/>
                    <w:jc w:val="center"/>
                    <w:rPr>
                      <w:bCs/>
                      <w:szCs w:val="21"/>
                    </w:rPr>
                  </w:pPr>
                </w:p>
              </w:tc>
              <w:tc>
                <w:tcPr>
                  <w:tcW w:w="977"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官庄头</w:t>
                  </w:r>
                </w:p>
              </w:tc>
              <w:tc>
                <w:tcPr>
                  <w:tcW w:w="555" w:type="pct"/>
                  <w:vMerge w:val="continue"/>
                  <w:vAlign w:val="center"/>
                </w:tcPr>
                <w:p>
                  <w:pPr>
                    <w:keepNext w:val="0"/>
                    <w:keepLines w:val="0"/>
                    <w:suppressLineNumbers w:val="0"/>
                    <w:spacing w:before="0" w:beforeAutospacing="0" w:after="0" w:afterAutospacing="0"/>
                    <w:ind w:left="0" w:right="0"/>
                    <w:jc w:val="center"/>
                    <w:rPr>
                      <w:bCs/>
                      <w:szCs w:val="21"/>
                    </w:rPr>
                  </w:pPr>
                </w:p>
              </w:tc>
              <w:tc>
                <w:tcPr>
                  <w:tcW w:w="622" w:type="pct"/>
                  <w:vMerge w:val="continue"/>
                  <w:vAlign w:val="center"/>
                </w:tcPr>
                <w:p>
                  <w:pPr>
                    <w:keepNext w:val="0"/>
                    <w:keepLines w:val="0"/>
                    <w:suppressLineNumbers w:val="0"/>
                    <w:spacing w:before="0" w:beforeAutospacing="0" w:after="0" w:afterAutospacing="0"/>
                    <w:ind w:left="0" w:right="0"/>
                    <w:jc w:val="center"/>
                    <w:rPr>
                      <w:bCs/>
                      <w:szCs w:val="21"/>
                    </w:rPr>
                  </w:pPr>
                </w:p>
              </w:tc>
              <w:tc>
                <w:tcPr>
                  <w:tcW w:w="954" w:type="pct"/>
                  <w:vAlign w:val="center"/>
                </w:tcPr>
                <w:p>
                  <w:pPr>
                    <w:keepNext w:val="0"/>
                    <w:keepLines w:val="0"/>
                    <w:suppressLineNumbers w:val="0"/>
                    <w:adjustRightInd w:val="0"/>
                    <w:snapToGrid w:val="0"/>
                    <w:spacing w:before="0" w:beforeAutospacing="0" w:after="0" w:afterAutospacing="0"/>
                    <w:ind w:left="0" w:right="0"/>
                    <w:jc w:val="center"/>
                    <w:rPr>
                      <w:bCs/>
                      <w:szCs w:val="21"/>
                    </w:rPr>
                  </w:pPr>
                  <w:r>
                    <w:rPr>
                      <w:rFonts w:hint="eastAsia"/>
                      <w:bCs/>
                      <w:szCs w:val="21"/>
                    </w:rPr>
                    <w:t>SW</w:t>
                  </w:r>
                </w:p>
              </w:tc>
              <w:tc>
                <w:tcPr>
                  <w:tcW w:w="710" w:type="pct"/>
                  <w:vAlign w:val="center"/>
                </w:tcPr>
                <w:p>
                  <w:pPr>
                    <w:pStyle w:val="59"/>
                    <w:keepNext w:val="0"/>
                    <w:keepLines w:val="0"/>
                    <w:suppressLineNumbers w:val="0"/>
                    <w:spacing w:before="0" w:beforeAutospacing="0" w:after="0" w:afterAutospacing="0"/>
                    <w:ind w:left="0" w:right="0"/>
                    <w:rPr>
                      <w:rFonts w:ascii="Times New Roman" w:hAnsi="Times New Roman"/>
                      <w:bCs/>
                      <w:sz w:val="21"/>
                      <w:szCs w:val="21"/>
                    </w:rPr>
                  </w:pPr>
                  <w:r>
                    <w:rPr>
                      <w:rFonts w:hint="eastAsia" w:ascii="Times New Roman" w:hAnsi="Times New Roman"/>
                      <w:bCs/>
                      <w:sz w:val="21"/>
                      <w:szCs w:val="21"/>
                    </w:rPr>
                    <w:t>90</w:t>
                  </w:r>
                </w:p>
              </w:tc>
              <w:tc>
                <w:tcPr>
                  <w:tcW w:w="724" w:type="pct"/>
                  <w:vAlign w:val="center"/>
                </w:tcPr>
                <w:p>
                  <w:pPr>
                    <w:pStyle w:val="59"/>
                    <w:keepNext w:val="0"/>
                    <w:keepLines w:val="0"/>
                    <w:suppressLineNumbers w:val="0"/>
                    <w:spacing w:before="0" w:beforeAutospacing="0" w:after="0" w:afterAutospacing="0"/>
                    <w:ind w:left="0" w:right="0"/>
                    <w:rPr>
                      <w:rFonts w:ascii="Times New Roman" w:hAnsi="Times New Roman"/>
                      <w:bCs/>
                      <w:sz w:val="21"/>
                      <w:szCs w:val="21"/>
                    </w:rPr>
                  </w:pPr>
                  <w:r>
                    <w:rPr>
                      <w:rFonts w:hint="eastAsia" w:ascii="Times New Roman" w:hAnsi="Times New Roman"/>
                      <w:bCs/>
                      <w:sz w:val="21"/>
                      <w:szCs w:val="21"/>
                    </w:rPr>
                    <w:t>100人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8" w:type="pct"/>
                  <w:vMerge w:val="continue"/>
                  <w:vAlign w:val="center"/>
                </w:tcPr>
                <w:p>
                  <w:pPr>
                    <w:keepNext w:val="0"/>
                    <w:keepLines w:val="0"/>
                    <w:suppressLineNumbers w:val="0"/>
                    <w:spacing w:before="0" w:beforeAutospacing="0" w:after="0" w:afterAutospacing="0"/>
                    <w:ind w:left="0" w:right="0"/>
                    <w:jc w:val="center"/>
                    <w:rPr>
                      <w:bCs/>
                      <w:szCs w:val="21"/>
                    </w:rPr>
                  </w:pPr>
                </w:p>
              </w:tc>
              <w:tc>
                <w:tcPr>
                  <w:tcW w:w="977"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博家头</w:t>
                  </w:r>
                </w:p>
              </w:tc>
              <w:tc>
                <w:tcPr>
                  <w:tcW w:w="555" w:type="pct"/>
                  <w:vMerge w:val="continue"/>
                  <w:vAlign w:val="center"/>
                </w:tcPr>
                <w:p>
                  <w:pPr>
                    <w:keepNext w:val="0"/>
                    <w:keepLines w:val="0"/>
                    <w:suppressLineNumbers w:val="0"/>
                    <w:spacing w:before="0" w:beforeAutospacing="0" w:after="0" w:afterAutospacing="0"/>
                    <w:ind w:left="0" w:right="0"/>
                    <w:jc w:val="center"/>
                    <w:rPr>
                      <w:bCs/>
                      <w:szCs w:val="21"/>
                    </w:rPr>
                  </w:pPr>
                </w:p>
              </w:tc>
              <w:tc>
                <w:tcPr>
                  <w:tcW w:w="622" w:type="pct"/>
                  <w:vMerge w:val="continue"/>
                  <w:vAlign w:val="center"/>
                </w:tcPr>
                <w:p>
                  <w:pPr>
                    <w:keepNext w:val="0"/>
                    <w:keepLines w:val="0"/>
                    <w:suppressLineNumbers w:val="0"/>
                    <w:spacing w:before="0" w:beforeAutospacing="0" w:after="0" w:afterAutospacing="0"/>
                    <w:ind w:left="0" w:right="0"/>
                    <w:jc w:val="center"/>
                    <w:rPr>
                      <w:bCs/>
                      <w:szCs w:val="21"/>
                    </w:rPr>
                  </w:pPr>
                </w:p>
              </w:tc>
              <w:tc>
                <w:tcPr>
                  <w:tcW w:w="954" w:type="pct"/>
                  <w:vAlign w:val="center"/>
                </w:tcPr>
                <w:p>
                  <w:pPr>
                    <w:keepNext w:val="0"/>
                    <w:keepLines w:val="0"/>
                    <w:suppressLineNumbers w:val="0"/>
                    <w:adjustRightInd w:val="0"/>
                    <w:snapToGrid w:val="0"/>
                    <w:spacing w:before="0" w:beforeAutospacing="0" w:after="0" w:afterAutospacing="0"/>
                    <w:ind w:left="0" w:right="0"/>
                    <w:jc w:val="center"/>
                    <w:rPr>
                      <w:bCs/>
                      <w:szCs w:val="21"/>
                    </w:rPr>
                  </w:pPr>
                  <w:r>
                    <w:rPr>
                      <w:rFonts w:hint="eastAsia"/>
                      <w:bCs/>
                      <w:szCs w:val="21"/>
                    </w:rPr>
                    <w:t>NW</w:t>
                  </w:r>
                </w:p>
              </w:tc>
              <w:tc>
                <w:tcPr>
                  <w:tcW w:w="710" w:type="pct"/>
                  <w:vAlign w:val="center"/>
                </w:tcPr>
                <w:p>
                  <w:pPr>
                    <w:pStyle w:val="59"/>
                    <w:keepNext w:val="0"/>
                    <w:keepLines w:val="0"/>
                    <w:suppressLineNumbers w:val="0"/>
                    <w:spacing w:before="0" w:beforeAutospacing="0" w:after="0" w:afterAutospacing="0"/>
                    <w:ind w:left="0" w:right="0"/>
                    <w:rPr>
                      <w:rFonts w:ascii="Times New Roman" w:hAnsi="Times New Roman"/>
                      <w:bCs/>
                      <w:sz w:val="21"/>
                      <w:szCs w:val="21"/>
                    </w:rPr>
                  </w:pPr>
                  <w:r>
                    <w:rPr>
                      <w:rFonts w:hint="eastAsia" w:ascii="Times New Roman" w:hAnsi="Times New Roman"/>
                      <w:bCs/>
                      <w:sz w:val="21"/>
                      <w:szCs w:val="21"/>
                    </w:rPr>
                    <w:t>163</w:t>
                  </w:r>
                </w:p>
              </w:tc>
              <w:tc>
                <w:tcPr>
                  <w:tcW w:w="724" w:type="pct"/>
                  <w:vAlign w:val="center"/>
                </w:tcPr>
                <w:p>
                  <w:pPr>
                    <w:pStyle w:val="59"/>
                    <w:keepNext w:val="0"/>
                    <w:keepLines w:val="0"/>
                    <w:suppressLineNumbers w:val="0"/>
                    <w:spacing w:before="0" w:beforeAutospacing="0" w:after="0" w:afterAutospacing="0"/>
                    <w:ind w:left="0" w:right="0"/>
                    <w:rPr>
                      <w:rFonts w:ascii="Times New Roman" w:hAnsi="Times New Roman"/>
                      <w:bCs/>
                      <w:sz w:val="21"/>
                      <w:szCs w:val="21"/>
                    </w:rPr>
                  </w:pPr>
                  <w:r>
                    <w:rPr>
                      <w:rFonts w:hint="eastAsia" w:ascii="Times New Roman" w:hAnsi="Times New Roman"/>
                      <w:bCs/>
                      <w:sz w:val="21"/>
                      <w:szCs w:val="21"/>
                    </w:rPr>
                    <w:t>150人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8" w:type="pct"/>
                  <w:vMerge w:val="continue"/>
                  <w:vAlign w:val="center"/>
                </w:tcPr>
                <w:p>
                  <w:pPr>
                    <w:keepNext w:val="0"/>
                    <w:keepLines w:val="0"/>
                    <w:suppressLineNumbers w:val="0"/>
                    <w:spacing w:before="0" w:beforeAutospacing="0" w:after="0" w:afterAutospacing="0"/>
                    <w:ind w:left="0" w:right="0"/>
                    <w:jc w:val="center"/>
                    <w:rPr>
                      <w:b/>
                      <w:szCs w:val="21"/>
                    </w:rPr>
                  </w:pPr>
                </w:p>
              </w:tc>
              <w:tc>
                <w:tcPr>
                  <w:tcW w:w="977"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史家头</w:t>
                  </w:r>
                </w:p>
              </w:tc>
              <w:tc>
                <w:tcPr>
                  <w:tcW w:w="555" w:type="pct"/>
                  <w:vMerge w:val="continue"/>
                  <w:vAlign w:val="center"/>
                </w:tcPr>
                <w:p>
                  <w:pPr>
                    <w:keepNext w:val="0"/>
                    <w:keepLines w:val="0"/>
                    <w:suppressLineNumbers w:val="0"/>
                    <w:spacing w:before="0" w:beforeAutospacing="0" w:after="0" w:afterAutospacing="0"/>
                    <w:ind w:left="0" w:right="0"/>
                    <w:jc w:val="center"/>
                    <w:rPr>
                      <w:bCs/>
                      <w:szCs w:val="21"/>
                    </w:rPr>
                  </w:pPr>
                </w:p>
              </w:tc>
              <w:tc>
                <w:tcPr>
                  <w:tcW w:w="622" w:type="pct"/>
                  <w:vMerge w:val="continue"/>
                  <w:vAlign w:val="center"/>
                </w:tcPr>
                <w:p>
                  <w:pPr>
                    <w:keepNext w:val="0"/>
                    <w:keepLines w:val="0"/>
                    <w:suppressLineNumbers w:val="0"/>
                    <w:spacing w:before="0" w:beforeAutospacing="0" w:after="0" w:afterAutospacing="0"/>
                    <w:ind w:left="0" w:right="0"/>
                    <w:jc w:val="center"/>
                    <w:rPr>
                      <w:bCs/>
                      <w:szCs w:val="21"/>
                    </w:rPr>
                  </w:pPr>
                </w:p>
              </w:tc>
              <w:tc>
                <w:tcPr>
                  <w:tcW w:w="954" w:type="pct"/>
                  <w:vAlign w:val="center"/>
                </w:tcPr>
                <w:p>
                  <w:pPr>
                    <w:keepNext w:val="0"/>
                    <w:keepLines w:val="0"/>
                    <w:suppressLineNumbers w:val="0"/>
                    <w:adjustRightInd w:val="0"/>
                    <w:snapToGrid w:val="0"/>
                    <w:spacing w:before="0" w:beforeAutospacing="0" w:after="0" w:afterAutospacing="0"/>
                    <w:ind w:left="0" w:right="0"/>
                    <w:jc w:val="center"/>
                    <w:rPr>
                      <w:bCs/>
                      <w:szCs w:val="21"/>
                    </w:rPr>
                  </w:pPr>
                  <w:r>
                    <w:rPr>
                      <w:rFonts w:hint="eastAsia"/>
                      <w:bCs/>
                      <w:szCs w:val="21"/>
                    </w:rPr>
                    <w:t>N</w:t>
                  </w:r>
                </w:p>
              </w:tc>
              <w:tc>
                <w:tcPr>
                  <w:tcW w:w="710" w:type="pct"/>
                  <w:vAlign w:val="center"/>
                </w:tcPr>
                <w:p>
                  <w:pPr>
                    <w:pStyle w:val="59"/>
                    <w:keepNext w:val="0"/>
                    <w:keepLines w:val="0"/>
                    <w:suppressLineNumbers w:val="0"/>
                    <w:spacing w:before="0" w:beforeAutospacing="0" w:after="0" w:afterAutospacing="0"/>
                    <w:ind w:left="0" w:right="0"/>
                    <w:rPr>
                      <w:rFonts w:ascii="Times New Roman" w:hAnsi="Times New Roman"/>
                      <w:bCs/>
                      <w:sz w:val="21"/>
                      <w:szCs w:val="21"/>
                    </w:rPr>
                  </w:pPr>
                  <w:r>
                    <w:rPr>
                      <w:rFonts w:hint="eastAsia" w:ascii="Times New Roman" w:hAnsi="Times New Roman"/>
                      <w:bCs/>
                      <w:sz w:val="21"/>
                      <w:szCs w:val="21"/>
                    </w:rPr>
                    <w:t>140</w:t>
                  </w:r>
                </w:p>
              </w:tc>
              <w:tc>
                <w:tcPr>
                  <w:tcW w:w="724" w:type="pct"/>
                  <w:vAlign w:val="center"/>
                </w:tcPr>
                <w:p>
                  <w:pPr>
                    <w:pStyle w:val="59"/>
                    <w:keepNext w:val="0"/>
                    <w:keepLines w:val="0"/>
                    <w:suppressLineNumbers w:val="0"/>
                    <w:spacing w:before="0" w:beforeAutospacing="0" w:after="0" w:afterAutospacing="0"/>
                    <w:ind w:left="0" w:right="0"/>
                    <w:rPr>
                      <w:rFonts w:ascii="Times New Roman" w:hAnsi="Times New Roman"/>
                      <w:bCs/>
                      <w:sz w:val="21"/>
                      <w:szCs w:val="21"/>
                    </w:rPr>
                  </w:pPr>
                  <w:r>
                    <w:rPr>
                      <w:rFonts w:hint="eastAsia" w:ascii="Times New Roman" w:hAnsi="Times New Roman"/>
                      <w:bCs/>
                      <w:sz w:val="21"/>
                      <w:szCs w:val="21"/>
                    </w:rPr>
                    <w:t>350人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8" w:type="pct"/>
                  <w:vMerge w:val="continue"/>
                  <w:vAlign w:val="center"/>
                </w:tcPr>
                <w:p>
                  <w:pPr>
                    <w:keepNext w:val="0"/>
                    <w:keepLines w:val="0"/>
                    <w:suppressLineNumbers w:val="0"/>
                    <w:spacing w:before="0" w:beforeAutospacing="0" w:after="0" w:afterAutospacing="0"/>
                    <w:ind w:left="0" w:right="0"/>
                    <w:jc w:val="center"/>
                    <w:rPr>
                      <w:bCs/>
                      <w:szCs w:val="21"/>
                    </w:rPr>
                  </w:pPr>
                </w:p>
              </w:tc>
              <w:tc>
                <w:tcPr>
                  <w:tcW w:w="977"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岸里</w:t>
                  </w:r>
                </w:p>
              </w:tc>
              <w:tc>
                <w:tcPr>
                  <w:tcW w:w="555" w:type="pct"/>
                  <w:vMerge w:val="continue"/>
                  <w:vAlign w:val="center"/>
                </w:tcPr>
                <w:p>
                  <w:pPr>
                    <w:keepNext w:val="0"/>
                    <w:keepLines w:val="0"/>
                    <w:suppressLineNumbers w:val="0"/>
                    <w:spacing w:before="0" w:beforeAutospacing="0" w:after="0" w:afterAutospacing="0"/>
                    <w:ind w:left="0" w:right="0"/>
                    <w:jc w:val="center"/>
                    <w:rPr>
                      <w:bCs/>
                      <w:szCs w:val="21"/>
                    </w:rPr>
                  </w:pPr>
                </w:p>
              </w:tc>
              <w:tc>
                <w:tcPr>
                  <w:tcW w:w="622" w:type="pct"/>
                  <w:vMerge w:val="continue"/>
                  <w:vAlign w:val="center"/>
                </w:tcPr>
                <w:p>
                  <w:pPr>
                    <w:keepNext w:val="0"/>
                    <w:keepLines w:val="0"/>
                    <w:suppressLineNumbers w:val="0"/>
                    <w:spacing w:before="0" w:beforeAutospacing="0" w:after="0" w:afterAutospacing="0"/>
                    <w:ind w:left="0" w:right="0"/>
                    <w:jc w:val="center"/>
                    <w:rPr>
                      <w:bCs/>
                      <w:szCs w:val="21"/>
                    </w:rPr>
                  </w:pPr>
                </w:p>
              </w:tc>
              <w:tc>
                <w:tcPr>
                  <w:tcW w:w="954"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NE</w:t>
                  </w:r>
                </w:p>
              </w:tc>
              <w:tc>
                <w:tcPr>
                  <w:tcW w:w="710" w:type="pct"/>
                  <w:vAlign w:val="center"/>
                </w:tcPr>
                <w:p>
                  <w:pPr>
                    <w:pStyle w:val="59"/>
                    <w:keepNext w:val="0"/>
                    <w:keepLines w:val="0"/>
                    <w:suppressLineNumbers w:val="0"/>
                    <w:spacing w:before="0" w:beforeAutospacing="0" w:after="0" w:afterAutospacing="0"/>
                    <w:ind w:left="0" w:right="0"/>
                    <w:rPr>
                      <w:rFonts w:ascii="Times New Roman" w:hAnsi="Times New Roman"/>
                      <w:sz w:val="21"/>
                      <w:szCs w:val="21"/>
                    </w:rPr>
                  </w:pPr>
                  <w:r>
                    <w:rPr>
                      <w:rFonts w:hint="eastAsia" w:ascii="Times New Roman" w:hAnsi="Times New Roman"/>
                      <w:sz w:val="21"/>
                      <w:szCs w:val="21"/>
                    </w:rPr>
                    <w:t>230</w:t>
                  </w:r>
                </w:p>
              </w:tc>
              <w:tc>
                <w:tcPr>
                  <w:tcW w:w="724" w:type="pct"/>
                  <w:vAlign w:val="center"/>
                </w:tcPr>
                <w:p>
                  <w:pPr>
                    <w:pStyle w:val="59"/>
                    <w:keepNext w:val="0"/>
                    <w:keepLines w:val="0"/>
                    <w:suppressLineNumbers w:val="0"/>
                    <w:spacing w:before="0" w:beforeAutospacing="0" w:after="0" w:afterAutospacing="0"/>
                    <w:ind w:left="0" w:right="0"/>
                    <w:rPr>
                      <w:rFonts w:ascii="Times New Roman" w:hAnsi="Times New Roman"/>
                      <w:sz w:val="21"/>
                      <w:szCs w:val="21"/>
                    </w:rPr>
                  </w:pPr>
                  <w:r>
                    <w:rPr>
                      <w:rFonts w:hint="eastAsia" w:ascii="Times New Roman" w:hAnsi="Times New Roman"/>
                      <w:sz w:val="21"/>
                      <w:szCs w:val="21"/>
                    </w:rPr>
                    <w:t>150人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8" w:type="pct"/>
                  <w:vMerge w:val="continue"/>
                  <w:vAlign w:val="center"/>
                </w:tcPr>
                <w:p>
                  <w:pPr>
                    <w:keepNext w:val="0"/>
                    <w:keepLines w:val="0"/>
                    <w:suppressLineNumbers w:val="0"/>
                    <w:spacing w:before="0" w:beforeAutospacing="0" w:after="0" w:afterAutospacing="0"/>
                    <w:ind w:left="0" w:right="0"/>
                    <w:jc w:val="center"/>
                    <w:rPr>
                      <w:bCs/>
                      <w:szCs w:val="21"/>
                    </w:rPr>
                  </w:pPr>
                </w:p>
              </w:tc>
              <w:tc>
                <w:tcPr>
                  <w:tcW w:w="977"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姚家头</w:t>
                  </w:r>
                </w:p>
              </w:tc>
              <w:tc>
                <w:tcPr>
                  <w:tcW w:w="555" w:type="pct"/>
                  <w:vMerge w:val="continue"/>
                  <w:vAlign w:val="center"/>
                </w:tcPr>
                <w:p>
                  <w:pPr>
                    <w:keepNext w:val="0"/>
                    <w:keepLines w:val="0"/>
                    <w:suppressLineNumbers w:val="0"/>
                    <w:spacing w:before="0" w:beforeAutospacing="0" w:after="0" w:afterAutospacing="0"/>
                    <w:ind w:left="0" w:right="0"/>
                    <w:jc w:val="center"/>
                    <w:rPr>
                      <w:bCs/>
                      <w:szCs w:val="21"/>
                    </w:rPr>
                  </w:pPr>
                </w:p>
              </w:tc>
              <w:tc>
                <w:tcPr>
                  <w:tcW w:w="622" w:type="pct"/>
                  <w:vMerge w:val="continue"/>
                  <w:vAlign w:val="center"/>
                </w:tcPr>
                <w:p>
                  <w:pPr>
                    <w:keepNext w:val="0"/>
                    <w:keepLines w:val="0"/>
                    <w:suppressLineNumbers w:val="0"/>
                    <w:spacing w:before="0" w:beforeAutospacing="0" w:after="0" w:afterAutospacing="0"/>
                    <w:ind w:left="0" w:right="0"/>
                    <w:jc w:val="center"/>
                    <w:rPr>
                      <w:bCs/>
                      <w:szCs w:val="21"/>
                    </w:rPr>
                  </w:pPr>
                </w:p>
              </w:tc>
              <w:tc>
                <w:tcPr>
                  <w:tcW w:w="954"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SE</w:t>
                  </w:r>
                </w:p>
              </w:tc>
              <w:tc>
                <w:tcPr>
                  <w:tcW w:w="710" w:type="pct"/>
                  <w:vAlign w:val="center"/>
                </w:tcPr>
                <w:p>
                  <w:pPr>
                    <w:pStyle w:val="59"/>
                    <w:keepNext w:val="0"/>
                    <w:keepLines w:val="0"/>
                    <w:suppressLineNumbers w:val="0"/>
                    <w:spacing w:before="0" w:beforeAutospacing="0" w:after="0" w:afterAutospacing="0"/>
                    <w:ind w:left="0" w:right="0"/>
                    <w:rPr>
                      <w:rFonts w:ascii="Times New Roman" w:hAnsi="Times New Roman"/>
                      <w:sz w:val="21"/>
                      <w:szCs w:val="21"/>
                    </w:rPr>
                  </w:pPr>
                  <w:r>
                    <w:rPr>
                      <w:rFonts w:hint="eastAsia" w:ascii="Times New Roman" w:hAnsi="Times New Roman"/>
                      <w:sz w:val="21"/>
                      <w:szCs w:val="21"/>
                    </w:rPr>
                    <w:t>400</w:t>
                  </w:r>
                </w:p>
              </w:tc>
              <w:tc>
                <w:tcPr>
                  <w:tcW w:w="724" w:type="pct"/>
                  <w:vAlign w:val="center"/>
                </w:tcPr>
                <w:p>
                  <w:pPr>
                    <w:pStyle w:val="59"/>
                    <w:keepNext w:val="0"/>
                    <w:keepLines w:val="0"/>
                    <w:suppressLineNumbers w:val="0"/>
                    <w:spacing w:before="0" w:beforeAutospacing="0" w:after="0" w:afterAutospacing="0"/>
                    <w:ind w:left="0" w:right="0"/>
                    <w:rPr>
                      <w:rFonts w:ascii="Times New Roman" w:hAnsi="Times New Roman"/>
                      <w:sz w:val="21"/>
                      <w:szCs w:val="21"/>
                    </w:rPr>
                  </w:pPr>
                  <w:r>
                    <w:rPr>
                      <w:rFonts w:hint="eastAsia" w:ascii="Times New Roman" w:hAnsi="Times New Roman"/>
                      <w:sz w:val="21"/>
                      <w:szCs w:val="21"/>
                    </w:rPr>
                    <w:t>150人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8" w:type="pct"/>
                  <w:vMerge w:val="continue"/>
                  <w:vAlign w:val="center"/>
                </w:tcPr>
                <w:p>
                  <w:pPr>
                    <w:keepNext w:val="0"/>
                    <w:keepLines w:val="0"/>
                    <w:suppressLineNumbers w:val="0"/>
                    <w:spacing w:before="0" w:beforeAutospacing="0" w:after="0" w:afterAutospacing="0"/>
                    <w:ind w:left="0" w:right="0"/>
                    <w:jc w:val="center"/>
                    <w:rPr>
                      <w:bCs/>
                      <w:szCs w:val="21"/>
                    </w:rPr>
                  </w:pPr>
                </w:p>
              </w:tc>
              <w:tc>
                <w:tcPr>
                  <w:tcW w:w="977"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孙家头</w:t>
                  </w:r>
                </w:p>
              </w:tc>
              <w:tc>
                <w:tcPr>
                  <w:tcW w:w="555" w:type="pct"/>
                  <w:vMerge w:val="continue"/>
                  <w:vAlign w:val="center"/>
                </w:tcPr>
                <w:p>
                  <w:pPr>
                    <w:keepNext w:val="0"/>
                    <w:keepLines w:val="0"/>
                    <w:suppressLineNumbers w:val="0"/>
                    <w:spacing w:before="0" w:beforeAutospacing="0" w:after="0" w:afterAutospacing="0"/>
                    <w:ind w:left="0" w:right="0"/>
                    <w:jc w:val="center"/>
                    <w:rPr>
                      <w:bCs/>
                      <w:szCs w:val="21"/>
                    </w:rPr>
                  </w:pPr>
                </w:p>
              </w:tc>
              <w:tc>
                <w:tcPr>
                  <w:tcW w:w="622" w:type="pct"/>
                  <w:vMerge w:val="continue"/>
                  <w:vAlign w:val="center"/>
                </w:tcPr>
                <w:p>
                  <w:pPr>
                    <w:keepNext w:val="0"/>
                    <w:keepLines w:val="0"/>
                    <w:suppressLineNumbers w:val="0"/>
                    <w:spacing w:before="0" w:beforeAutospacing="0" w:after="0" w:afterAutospacing="0"/>
                    <w:ind w:left="0" w:right="0"/>
                    <w:jc w:val="center"/>
                    <w:rPr>
                      <w:bCs/>
                      <w:szCs w:val="21"/>
                    </w:rPr>
                  </w:pPr>
                </w:p>
              </w:tc>
              <w:tc>
                <w:tcPr>
                  <w:tcW w:w="954"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NE</w:t>
                  </w:r>
                </w:p>
              </w:tc>
              <w:tc>
                <w:tcPr>
                  <w:tcW w:w="710" w:type="pct"/>
                  <w:vAlign w:val="center"/>
                </w:tcPr>
                <w:p>
                  <w:pPr>
                    <w:pStyle w:val="59"/>
                    <w:keepNext w:val="0"/>
                    <w:keepLines w:val="0"/>
                    <w:suppressLineNumbers w:val="0"/>
                    <w:spacing w:before="0" w:beforeAutospacing="0" w:after="0" w:afterAutospacing="0"/>
                    <w:ind w:left="0" w:right="0"/>
                    <w:rPr>
                      <w:rFonts w:ascii="Times New Roman" w:hAnsi="Times New Roman"/>
                      <w:sz w:val="21"/>
                      <w:szCs w:val="21"/>
                    </w:rPr>
                  </w:pPr>
                  <w:r>
                    <w:rPr>
                      <w:rFonts w:hint="eastAsia" w:ascii="Times New Roman" w:hAnsi="Times New Roman"/>
                      <w:sz w:val="21"/>
                      <w:szCs w:val="21"/>
                    </w:rPr>
                    <w:t>420</w:t>
                  </w:r>
                </w:p>
              </w:tc>
              <w:tc>
                <w:tcPr>
                  <w:tcW w:w="724" w:type="pct"/>
                  <w:vAlign w:val="center"/>
                </w:tcPr>
                <w:p>
                  <w:pPr>
                    <w:pStyle w:val="59"/>
                    <w:keepNext w:val="0"/>
                    <w:keepLines w:val="0"/>
                    <w:suppressLineNumbers w:val="0"/>
                    <w:spacing w:before="0" w:beforeAutospacing="0" w:after="0" w:afterAutospacing="0"/>
                    <w:ind w:left="0" w:right="0"/>
                    <w:rPr>
                      <w:rFonts w:ascii="Times New Roman" w:hAnsi="Times New Roman"/>
                      <w:sz w:val="21"/>
                      <w:szCs w:val="21"/>
                    </w:rPr>
                  </w:pPr>
                  <w:r>
                    <w:rPr>
                      <w:rFonts w:hint="eastAsia" w:ascii="Times New Roman" w:hAnsi="Times New Roman"/>
                      <w:sz w:val="21"/>
                      <w:szCs w:val="21"/>
                    </w:rPr>
                    <w:t>200人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8" w:type="pct"/>
                  <w:vMerge w:val="continue"/>
                  <w:vAlign w:val="center"/>
                </w:tcPr>
                <w:p>
                  <w:pPr>
                    <w:keepNext w:val="0"/>
                    <w:keepLines w:val="0"/>
                    <w:suppressLineNumbers w:val="0"/>
                    <w:spacing w:before="0" w:beforeAutospacing="0" w:after="0" w:afterAutospacing="0"/>
                    <w:ind w:left="0" w:right="0"/>
                    <w:jc w:val="center"/>
                    <w:rPr>
                      <w:bCs/>
                      <w:szCs w:val="21"/>
                    </w:rPr>
                  </w:pPr>
                </w:p>
              </w:tc>
              <w:tc>
                <w:tcPr>
                  <w:tcW w:w="977"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上家桥</w:t>
                  </w:r>
                </w:p>
              </w:tc>
              <w:tc>
                <w:tcPr>
                  <w:tcW w:w="555" w:type="pct"/>
                  <w:vMerge w:val="continue"/>
                  <w:vAlign w:val="center"/>
                </w:tcPr>
                <w:p>
                  <w:pPr>
                    <w:keepNext w:val="0"/>
                    <w:keepLines w:val="0"/>
                    <w:suppressLineNumbers w:val="0"/>
                    <w:spacing w:before="0" w:beforeAutospacing="0" w:after="0" w:afterAutospacing="0"/>
                    <w:ind w:left="0" w:right="0"/>
                    <w:jc w:val="center"/>
                    <w:rPr>
                      <w:bCs/>
                      <w:szCs w:val="21"/>
                    </w:rPr>
                  </w:pPr>
                </w:p>
              </w:tc>
              <w:tc>
                <w:tcPr>
                  <w:tcW w:w="622" w:type="pct"/>
                  <w:vMerge w:val="continue"/>
                  <w:vAlign w:val="center"/>
                </w:tcPr>
                <w:p>
                  <w:pPr>
                    <w:keepNext w:val="0"/>
                    <w:keepLines w:val="0"/>
                    <w:suppressLineNumbers w:val="0"/>
                    <w:spacing w:before="0" w:beforeAutospacing="0" w:after="0" w:afterAutospacing="0"/>
                    <w:ind w:left="0" w:right="0"/>
                    <w:jc w:val="center"/>
                    <w:rPr>
                      <w:bCs/>
                      <w:szCs w:val="21"/>
                    </w:rPr>
                  </w:pPr>
                </w:p>
              </w:tc>
              <w:tc>
                <w:tcPr>
                  <w:tcW w:w="954"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SW</w:t>
                  </w:r>
                </w:p>
              </w:tc>
              <w:tc>
                <w:tcPr>
                  <w:tcW w:w="710" w:type="pct"/>
                  <w:vAlign w:val="center"/>
                </w:tcPr>
                <w:p>
                  <w:pPr>
                    <w:pStyle w:val="59"/>
                    <w:keepNext w:val="0"/>
                    <w:keepLines w:val="0"/>
                    <w:suppressLineNumbers w:val="0"/>
                    <w:spacing w:before="0" w:beforeAutospacing="0" w:after="0" w:afterAutospacing="0"/>
                    <w:ind w:left="0" w:right="0"/>
                    <w:rPr>
                      <w:rFonts w:ascii="Times New Roman" w:hAnsi="Times New Roman"/>
                      <w:sz w:val="21"/>
                      <w:szCs w:val="21"/>
                    </w:rPr>
                  </w:pPr>
                  <w:r>
                    <w:rPr>
                      <w:rFonts w:hint="eastAsia" w:ascii="Times New Roman" w:hAnsi="Times New Roman"/>
                      <w:sz w:val="21"/>
                      <w:szCs w:val="21"/>
                    </w:rPr>
                    <w:t>490</w:t>
                  </w:r>
                </w:p>
              </w:tc>
              <w:tc>
                <w:tcPr>
                  <w:tcW w:w="724" w:type="pct"/>
                  <w:vAlign w:val="center"/>
                </w:tcPr>
                <w:p>
                  <w:pPr>
                    <w:pStyle w:val="59"/>
                    <w:keepNext w:val="0"/>
                    <w:keepLines w:val="0"/>
                    <w:suppressLineNumbers w:val="0"/>
                    <w:spacing w:before="0" w:beforeAutospacing="0" w:after="0" w:afterAutospacing="0"/>
                    <w:ind w:left="0" w:right="0"/>
                    <w:rPr>
                      <w:rFonts w:ascii="Times New Roman" w:hAnsi="Times New Roman"/>
                      <w:sz w:val="21"/>
                      <w:szCs w:val="21"/>
                    </w:rPr>
                  </w:pPr>
                  <w:r>
                    <w:rPr>
                      <w:rFonts w:hint="eastAsia" w:ascii="Times New Roman" w:hAnsi="Times New Roman"/>
                      <w:sz w:val="21"/>
                      <w:szCs w:val="21"/>
                    </w:rPr>
                    <w:t>80人</w:t>
                  </w:r>
                </w:p>
              </w:tc>
            </w:tr>
          </w:tbl>
          <w:p>
            <w:pPr>
              <w:keepNext w:val="0"/>
              <w:keepLines w:val="0"/>
              <w:suppressLineNumbers w:val="0"/>
              <w:spacing w:before="0" w:beforeAutospacing="0" w:after="0" w:afterAutospacing="0"/>
              <w:ind w:left="0" w:right="0"/>
              <w:jc w:val="left"/>
              <w:rPr>
                <w:rFonts w:ascii="宋体" w:hAnsi="宋体" w:cs="宋体"/>
                <w:b/>
                <w:szCs w:val="21"/>
              </w:rPr>
            </w:pPr>
            <w:r>
              <w:rPr>
                <w:rFonts w:hint="eastAsia" w:ascii="宋体" w:hAnsi="宋体" w:cs="宋体"/>
                <w:b/>
                <w:szCs w:val="21"/>
              </w:rPr>
              <w:t>注：</w:t>
            </w:r>
            <w:r>
              <w:rPr>
                <w:rFonts w:hint="eastAsia"/>
                <w:b/>
                <w:bCs/>
                <w:szCs w:val="21"/>
              </w:rPr>
              <w:t>本项目以厂区边界为起点，以敏感点中心为终点</w:t>
            </w:r>
            <w:r>
              <w:rPr>
                <w:rFonts w:hint="eastAsia" w:ascii="宋体" w:hAnsi="宋体" w:cs="宋体"/>
                <w:b/>
                <w:szCs w:val="21"/>
              </w:rPr>
              <w:t>。</w:t>
            </w:r>
          </w:p>
          <w:p>
            <w:pPr>
              <w:keepNext w:val="0"/>
              <w:keepLines w:val="0"/>
              <w:suppressLineNumbers w:val="0"/>
              <w:spacing w:before="0" w:beforeAutospacing="0" w:after="0" w:afterAutospacing="0" w:line="360" w:lineRule="auto"/>
              <w:ind w:left="0" w:right="0" w:firstLine="480" w:firstLineChars="200"/>
              <w:rPr>
                <w:bCs/>
                <w:sz w:val="24"/>
              </w:rPr>
            </w:pPr>
            <w:r>
              <w:rPr>
                <w:bCs/>
                <w:sz w:val="24"/>
              </w:rPr>
              <w:t>2、声环境</w:t>
            </w:r>
          </w:p>
          <w:p>
            <w:pPr>
              <w:keepNext w:val="0"/>
              <w:keepLines w:val="0"/>
              <w:suppressLineNumbers w:val="0"/>
              <w:spacing w:before="0" w:beforeAutospacing="0" w:after="0" w:afterAutospacing="0" w:line="360" w:lineRule="auto"/>
              <w:ind w:left="0" w:right="0" w:firstLine="480" w:firstLineChars="200"/>
              <w:rPr>
                <w:bCs/>
                <w:sz w:val="24"/>
              </w:rPr>
            </w:pPr>
            <w:r>
              <w:rPr>
                <w:bCs/>
                <w:sz w:val="24"/>
              </w:rPr>
              <w:t>本项目周边50m范围内无环境敏感点。</w:t>
            </w:r>
          </w:p>
          <w:p>
            <w:pPr>
              <w:keepNext w:val="0"/>
              <w:keepLines w:val="0"/>
              <w:suppressLineNumbers w:val="0"/>
              <w:spacing w:before="0" w:beforeAutospacing="0" w:after="0" w:afterAutospacing="0" w:line="360" w:lineRule="auto"/>
              <w:ind w:left="0" w:right="0" w:firstLine="480" w:firstLineChars="200"/>
              <w:rPr>
                <w:bCs/>
                <w:sz w:val="24"/>
              </w:rPr>
            </w:pPr>
            <w:r>
              <w:rPr>
                <w:bCs/>
                <w:sz w:val="24"/>
              </w:rPr>
              <w:t>3、地下水环境</w:t>
            </w:r>
          </w:p>
          <w:p>
            <w:pPr>
              <w:keepNext w:val="0"/>
              <w:keepLines w:val="0"/>
              <w:suppressLineNumbers w:val="0"/>
              <w:spacing w:before="0" w:beforeAutospacing="0" w:after="0" w:afterAutospacing="0" w:line="360" w:lineRule="auto"/>
              <w:ind w:left="0" w:right="0" w:firstLine="480" w:firstLineChars="200"/>
              <w:rPr>
                <w:bCs/>
                <w:sz w:val="24"/>
              </w:rPr>
            </w:pPr>
            <w:r>
              <w:rPr>
                <w:bCs/>
                <w:sz w:val="24"/>
              </w:rPr>
              <w:t>厂界外500m范围内无地下水集中式饮用水水源和热水、矿泉水、温泉等特殊地下水资源。</w:t>
            </w:r>
          </w:p>
          <w:p>
            <w:pPr>
              <w:keepNext w:val="0"/>
              <w:keepLines w:val="0"/>
              <w:suppressLineNumbers w:val="0"/>
              <w:adjustRightInd w:val="0"/>
              <w:snapToGrid w:val="0"/>
              <w:spacing w:before="0" w:beforeAutospacing="0" w:after="0" w:afterAutospacing="0" w:line="360" w:lineRule="auto"/>
              <w:ind w:left="0" w:right="0" w:firstLine="482"/>
              <w:rPr>
                <w:bCs/>
                <w:sz w:val="24"/>
              </w:rPr>
            </w:pPr>
            <w:r>
              <w:rPr>
                <w:bCs/>
                <w:sz w:val="24"/>
              </w:rPr>
              <w:t>4、生态环境</w:t>
            </w:r>
          </w:p>
          <w:p>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rPr>
                <w:bCs/>
                <w:sz w:val="24"/>
              </w:rPr>
            </w:pPr>
            <w:r>
              <w:rPr>
                <w:bCs/>
                <w:sz w:val="24"/>
              </w:rPr>
              <w:t>距离本项目最近的国家级生态保护红线区域为</w:t>
            </w:r>
            <w:r>
              <w:rPr>
                <w:rFonts w:hint="eastAsia"/>
                <w:bCs/>
                <w:sz w:val="24"/>
              </w:rPr>
              <w:t>太湖</w:t>
            </w:r>
            <w:r>
              <w:rPr>
                <w:bCs/>
                <w:sz w:val="24"/>
              </w:rPr>
              <w:t>重要湿地（武进区），位于项目</w:t>
            </w:r>
            <w:r>
              <w:rPr>
                <w:rFonts w:hint="eastAsia"/>
                <w:bCs/>
                <w:sz w:val="24"/>
              </w:rPr>
              <w:t>西</w:t>
            </w:r>
            <w:r>
              <w:rPr>
                <w:bCs/>
                <w:sz w:val="24"/>
              </w:rPr>
              <w:t>南侧</w:t>
            </w:r>
            <w:r>
              <w:rPr>
                <w:rFonts w:hint="eastAsia"/>
                <w:bCs/>
                <w:sz w:val="24"/>
                <w:lang w:val="en-US" w:eastAsia="zh-CN"/>
              </w:rPr>
              <w:t>86</w:t>
            </w:r>
            <w:r>
              <w:rPr>
                <w:rFonts w:hint="eastAsia"/>
                <w:bCs/>
                <w:sz w:val="24"/>
              </w:rPr>
              <w:t>0</w:t>
            </w:r>
            <w:r>
              <w:rPr>
                <w:bCs/>
                <w:sz w:val="24"/>
              </w:rPr>
              <w:t>0m处；距离本项目最近的江苏省生态空间管控区域为宋剑湖湿地公园，位于项目</w:t>
            </w:r>
            <w:r>
              <w:rPr>
                <w:rFonts w:hint="eastAsia"/>
                <w:bCs/>
                <w:sz w:val="24"/>
              </w:rPr>
              <w:t>西北</w:t>
            </w:r>
            <w:r>
              <w:rPr>
                <w:bCs/>
                <w:sz w:val="24"/>
              </w:rPr>
              <w:t>侧</w:t>
            </w:r>
            <w:r>
              <w:rPr>
                <w:rFonts w:hint="eastAsia"/>
                <w:bCs/>
                <w:sz w:val="24"/>
                <w:lang w:val="en-US" w:eastAsia="zh-CN"/>
              </w:rPr>
              <w:t>45</w:t>
            </w:r>
            <w:r>
              <w:rPr>
                <w:rFonts w:hint="eastAsia"/>
                <w:bCs/>
                <w:sz w:val="24"/>
              </w:rPr>
              <w:t>0</w:t>
            </w:r>
            <w:r>
              <w:rPr>
                <w:bCs/>
                <w:sz w:val="24"/>
              </w:rPr>
              <w:t>0m处</w:t>
            </w:r>
            <w:r>
              <w:rPr>
                <w:rFonts w:hint="eastAsia"/>
                <w:bCs/>
                <w:sz w:val="24"/>
              </w:rPr>
              <w:t>，故不涉及生态环境保护目标。</w:t>
            </w:r>
          </w:p>
          <w:p>
            <w:pPr>
              <w:pStyle w:val="27"/>
              <w:keepNext w:val="0"/>
              <w:keepLines w:val="0"/>
              <w:suppressLineNumbers w:val="0"/>
              <w:ind w:left="-84" w:firstLine="560"/>
            </w:pPr>
          </w:p>
          <w:p>
            <w:pPr>
              <w:pStyle w:val="27"/>
              <w:keepNext w:val="0"/>
              <w:keepLines w:val="0"/>
              <w:suppressLineNumbers w:val="0"/>
              <w:ind w:left="-84" w:firstLine="560"/>
            </w:pPr>
          </w:p>
          <w:p>
            <w:pPr>
              <w:pStyle w:val="27"/>
              <w:keepNext w:val="0"/>
              <w:keepLines w:val="0"/>
              <w:suppressLineNumbers w:val="0"/>
              <w:ind w:left="-84" w:firstLine="560"/>
            </w:pPr>
          </w:p>
          <w:p>
            <w:pPr>
              <w:pStyle w:val="27"/>
              <w:keepNext w:val="0"/>
              <w:keepLines w:val="0"/>
              <w:suppressLineNumbers w:val="0"/>
              <w:ind w:left="-84" w:firstLine="560"/>
            </w:pPr>
          </w:p>
          <w:p>
            <w:pPr>
              <w:pStyle w:val="27"/>
              <w:keepNext w:val="0"/>
              <w:keepLines w:val="0"/>
              <w:suppressLineNumbers w:val="0"/>
              <w:ind w:left="-84" w:firstLine="560"/>
            </w:pPr>
          </w:p>
          <w:p>
            <w:pPr>
              <w:pStyle w:val="27"/>
              <w:keepNext w:val="0"/>
              <w:keepLines w:val="0"/>
              <w:suppressLineNumbers w:val="0"/>
              <w:ind w:left="0" w:leftChars="0" w:firstLine="383" w:firstLineChars="137"/>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800" w:type="dxa"/>
            <w:tcMar>
              <w:left w:w="28" w:type="dxa"/>
              <w:right w:w="28" w:type="dxa"/>
            </w:tcMar>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kern w:val="0"/>
                <w:szCs w:val="21"/>
              </w:rPr>
            </w:pPr>
            <w:r>
              <w:rPr>
                <w:rFonts w:hint="eastAsia" w:ascii="宋体" w:hAnsi="宋体" w:cs="宋体"/>
                <w:kern w:val="0"/>
                <w:szCs w:val="21"/>
              </w:rPr>
              <w:t>污染</w:t>
            </w:r>
          </w:p>
          <w:p>
            <w:pPr>
              <w:keepNext w:val="0"/>
              <w:keepLines w:val="0"/>
              <w:suppressLineNumbers w:val="0"/>
              <w:adjustRightInd w:val="0"/>
              <w:snapToGrid w:val="0"/>
              <w:spacing w:before="0" w:beforeAutospacing="0" w:after="0" w:afterAutospacing="0"/>
              <w:ind w:left="0" w:right="0"/>
              <w:jc w:val="center"/>
              <w:rPr>
                <w:rFonts w:ascii="宋体" w:hAnsi="宋体" w:cs="宋体"/>
                <w:kern w:val="0"/>
                <w:szCs w:val="21"/>
              </w:rPr>
            </w:pPr>
            <w:r>
              <w:rPr>
                <w:rFonts w:hint="eastAsia" w:ascii="宋体" w:hAnsi="宋体" w:cs="宋体"/>
                <w:kern w:val="0"/>
                <w:szCs w:val="21"/>
              </w:rPr>
              <w:t>物排</w:t>
            </w:r>
          </w:p>
          <w:p>
            <w:pPr>
              <w:keepNext w:val="0"/>
              <w:keepLines w:val="0"/>
              <w:suppressLineNumbers w:val="0"/>
              <w:adjustRightInd w:val="0"/>
              <w:snapToGrid w:val="0"/>
              <w:spacing w:before="0" w:beforeAutospacing="0" w:after="0" w:afterAutospacing="0"/>
              <w:ind w:left="0" w:right="0"/>
              <w:jc w:val="center"/>
              <w:rPr>
                <w:rFonts w:ascii="宋体" w:hAnsi="宋体" w:cs="宋体"/>
                <w:kern w:val="0"/>
                <w:szCs w:val="21"/>
              </w:rPr>
            </w:pPr>
            <w:r>
              <w:rPr>
                <w:rFonts w:hint="eastAsia" w:ascii="宋体" w:hAnsi="宋体" w:cs="宋体"/>
                <w:kern w:val="0"/>
                <w:szCs w:val="21"/>
              </w:rPr>
              <w:t>放控</w:t>
            </w:r>
          </w:p>
          <w:p>
            <w:pPr>
              <w:keepNext w:val="0"/>
              <w:keepLines w:val="0"/>
              <w:suppressLineNumbers w:val="0"/>
              <w:adjustRightInd w:val="0"/>
              <w:snapToGrid w:val="0"/>
              <w:spacing w:before="0" w:beforeAutospacing="0" w:after="0" w:afterAutospacing="0"/>
              <w:ind w:left="0" w:right="0"/>
              <w:jc w:val="center"/>
              <w:rPr>
                <w:rFonts w:ascii="宋体" w:hAnsi="宋体" w:cs="宋体"/>
                <w:kern w:val="0"/>
                <w:szCs w:val="21"/>
              </w:rPr>
            </w:pPr>
            <w:r>
              <w:rPr>
                <w:rFonts w:hint="eastAsia" w:ascii="宋体" w:hAnsi="宋体" w:cs="宋体"/>
                <w:kern w:val="0"/>
                <w:szCs w:val="21"/>
              </w:rPr>
              <w:t>制标</w:t>
            </w:r>
          </w:p>
          <w:p>
            <w:pPr>
              <w:keepNext w:val="0"/>
              <w:keepLines w:val="0"/>
              <w:suppressLineNumbers w:val="0"/>
              <w:adjustRightInd w:val="0"/>
              <w:snapToGrid w:val="0"/>
              <w:spacing w:before="0" w:beforeAutospacing="0" w:after="0" w:afterAutospacing="0"/>
              <w:ind w:left="0" w:right="0"/>
              <w:jc w:val="center"/>
              <w:rPr>
                <w:rFonts w:ascii="宋体" w:hAnsi="宋体" w:cs="宋体"/>
                <w:kern w:val="0"/>
                <w:szCs w:val="21"/>
              </w:rPr>
            </w:pPr>
            <w:r>
              <w:rPr>
                <w:rFonts w:hint="eastAsia" w:ascii="宋体" w:hAnsi="宋体" w:cs="宋体"/>
                <w:kern w:val="0"/>
                <w:szCs w:val="21"/>
              </w:rPr>
              <w:t>准</w:t>
            </w:r>
          </w:p>
        </w:tc>
        <w:tc>
          <w:tcPr>
            <w:tcW w:w="8190" w:type="dxa"/>
            <w:vAlign w:val="center"/>
          </w:tcPr>
          <w:p>
            <w:pPr>
              <w:keepNext w:val="0"/>
              <w:keepLines w:val="0"/>
              <w:suppressLineNumbers w:val="0"/>
              <w:spacing w:before="0" w:beforeAutospacing="0" w:after="0" w:afterAutospacing="0" w:line="360" w:lineRule="auto"/>
              <w:ind w:left="0" w:right="0"/>
              <w:rPr>
                <w:b/>
                <w:sz w:val="24"/>
              </w:rPr>
            </w:pPr>
            <w:r>
              <w:rPr>
                <w:rFonts w:hint="eastAsia"/>
                <w:b/>
                <w:sz w:val="24"/>
              </w:rPr>
              <w:t>1</w:t>
            </w:r>
            <w:r>
              <w:rPr>
                <w:b/>
                <w:sz w:val="24"/>
              </w:rPr>
              <w:t>、废气</w:t>
            </w:r>
            <w:r>
              <w:rPr>
                <w:rFonts w:hint="eastAsia"/>
                <w:b/>
                <w:sz w:val="24"/>
              </w:rPr>
              <w:t>排放标准</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rFonts w:hint="eastAsia" w:ascii="宋体" w:hAnsi="宋体"/>
                <w:sz w:val="24"/>
              </w:rPr>
              <w:t>本项目注塑成型</w:t>
            </w:r>
            <w:r>
              <w:rPr>
                <w:rFonts w:hint="eastAsia" w:ascii="宋体" w:hAnsi="宋体"/>
                <w:sz w:val="24"/>
                <w:lang w:eastAsia="zh-CN"/>
              </w:rPr>
              <w:t>、</w:t>
            </w:r>
            <w:r>
              <w:rPr>
                <w:rFonts w:hAnsi="宋体"/>
                <w:sz w:val="24"/>
              </w:rPr>
              <w:t>涂敷、固化过程中产生的非甲烷总烃和颗粒物执行</w:t>
            </w:r>
            <w:r>
              <w:rPr>
                <w:sz w:val="24"/>
              </w:rPr>
              <w:t>《大气污染物综合排放标准》（DB32/4041-2021）中表1和表3标准；</w:t>
            </w:r>
            <w:r>
              <w:rPr>
                <w:rFonts w:hint="eastAsia"/>
                <w:sz w:val="24"/>
                <w:lang w:eastAsia="zh-CN"/>
              </w:rPr>
              <w:t>厂区内非甲烷总烃</w:t>
            </w:r>
            <w:r>
              <w:rPr>
                <w:sz w:val="24"/>
              </w:rPr>
              <w:t>执行《大气污染物综合排放标准》（DB32/4041-2021）中表2标准；</w:t>
            </w:r>
            <w:r>
              <w:rPr>
                <w:rFonts w:hAnsi="宋体"/>
                <w:sz w:val="24"/>
              </w:rPr>
              <w:t>食堂产生的油烟</w:t>
            </w:r>
            <w:r>
              <w:rPr>
                <w:rFonts w:hAnsi="宋体"/>
                <w:sz w:val="24"/>
                <w:lang w:val="zh-CN"/>
              </w:rPr>
              <w:t>废气执行《饮食业油烟排放标准（试行）》（</w:t>
            </w:r>
            <w:r>
              <w:rPr>
                <w:sz w:val="24"/>
                <w:lang w:val="zh-CN"/>
              </w:rPr>
              <w:t>GB18483-2001</w:t>
            </w:r>
            <w:r>
              <w:rPr>
                <w:rFonts w:hAnsi="宋体"/>
                <w:sz w:val="24"/>
                <w:lang w:val="zh-CN"/>
              </w:rPr>
              <w:t>）中</w:t>
            </w:r>
            <w:r>
              <w:rPr>
                <w:rFonts w:hAnsi="宋体"/>
                <w:sz w:val="24"/>
              </w:rPr>
              <w:t>小</w:t>
            </w:r>
            <w:r>
              <w:rPr>
                <w:rFonts w:hAnsi="宋体"/>
                <w:sz w:val="24"/>
                <w:lang w:val="zh-CN"/>
              </w:rPr>
              <w:t>型规模的标准</w:t>
            </w:r>
            <w:r>
              <w:rPr>
                <w:sz w:val="24"/>
              </w:rPr>
              <w:t>。</w:t>
            </w:r>
            <w:r>
              <w:rPr>
                <w:rFonts w:hAnsi="宋体"/>
                <w:sz w:val="24"/>
              </w:rPr>
              <w:t>具体标准见下表。</w:t>
            </w:r>
          </w:p>
          <w:p>
            <w:pPr>
              <w:keepNext w:val="0"/>
              <w:keepLines w:val="0"/>
              <w:suppressLineNumbers w:val="0"/>
              <w:adjustRightInd w:val="0"/>
              <w:spacing w:before="0" w:beforeAutospacing="0" w:after="0" w:afterAutospacing="0"/>
              <w:ind w:left="0" w:right="0"/>
              <w:jc w:val="center"/>
              <w:rPr>
                <w:b/>
                <w:bCs/>
                <w:sz w:val="24"/>
              </w:rPr>
            </w:pPr>
            <w:r>
              <w:rPr>
                <w:rFonts w:ascii="宋体" w:hAnsi="宋体"/>
                <w:b/>
                <w:bCs/>
                <w:sz w:val="24"/>
              </w:rPr>
              <w:t>表</w:t>
            </w:r>
            <w:r>
              <w:rPr>
                <w:rFonts w:hint="eastAsia"/>
                <w:b/>
                <w:bCs/>
                <w:sz w:val="24"/>
              </w:rPr>
              <w:t>3-7</w:t>
            </w:r>
            <w:r>
              <w:rPr>
                <w:b/>
                <w:bCs/>
                <w:sz w:val="24"/>
              </w:rPr>
              <w:t xml:space="preserve"> </w:t>
            </w:r>
            <w:r>
              <w:rPr>
                <w:rFonts w:hint="eastAsia" w:ascii="宋体" w:hAnsi="宋体"/>
                <w:b/>
                <w:bCs/>
                <w:sz w:val="24"/>
              </w:rPr>
              <w:t>废气排放</w:t>
            </w:r>
            <w:r>
              <w:rPr>
                <w:rFonts w:ascii="宋体" w:hAnsi="宋体"/>
                <w:b/>
                <w:bCs/>
                <w:sz w:val="24"/>
              </w:rPr>
              <w:t>标准</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67"/>
              <w:gridCol w:w="1571"/>
              <w:gridCol w:w="1614"/>
              <w:gridCol w:w="1614"/>
              <w:gridCol w:w="210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69" w:type="pct"/>
                  <w:vAlign w:val="center"/>
                </w:tcPr>
                <w:p>
                  <w:pPr>
                    <w:pStyle w:val="49"/>
                    <w:keepNext w:val="0"/>
                    <w:keepLines w:val="0"/>
                    <w:suppressLineNumbers w:val="0"/>
                    <w:adjustRightInd w:val="0"/>
                    <w:snapToGrid w:val="0"/>
                    <w:spacing w:before="0" w:beforeAutospacing="0" w:after="0" w:afterAutospacing="0"/>
                    <w:ind w:left="0" w:right="0"/>
                    <w:rPr>
                      <w:rFonts w:ascii="Times New Roman" w:hAnsi="Times New Roman"/>
                      <w:b/>
                    </w:rPr>
                  </w:pPr>
                  <w:r>
                    <w:rPr>
                      <w:rFonts w:ascii="Times New Roman" w:hAnsi="Times New Roman"/>
                      <w:b/>
                      <w:bCs w:val="0"/>
                    </w:rPr>
                    <w:t>污染物名称</w:t>
                  </w:r>
                </w:p>
              </w:tc>
              <w:tc>
                <w:tcPr>
                  <w:tcW w:w="985" w:type="pct"/>
                  <w:vAlign w:val="center"/>
                </w:tcPr>
                <w:p>
                  <w:pPr>
                    <w:pStyle w:val="49"/>
                    <w:keepNext w:val="0"/>
                    <w:keepLines w:val="0"/>
                    <w:suppressLineNumbers w:val="0"/>
                    <w:adjustRightInd w:val="0"/>
                    <w:snapToGrid w:val="0"/>
                    <w:spacing w:before="0" w:beforeAutospacing="0" w:after="0" w:afterAutospacing="0"/>
                    <w:ind w:left="0" w:right="0"/>
                    <w:rPr>
                      <w:rFonts w:ascii="Times New Roman" w:hAnsi="Times New Roman"/>
                      <w:b/>
                    </w:rPr>
                  </w:pPr>
                  <w:r>
                    <w:rPr>
                      <w:rFonts w:hint="eastAsia" w:ascii="Times New Roman" w:hAnsi="Times New Roman"/>
                      <w:b/>
                      <w:bCs w:val="0"/>
                    </w:rPr>
                    <w:t>最高允许排放浓度</w:t>
                  </w:r>
                  <w:r>
                    <w:rPr>
                      <w:rFonts w:ascii="Times New Roman" w:hAnsi="Times New Roman"/>
                      <w:b/>
                      <w:bCs w:val="0"/>
                    </w:rPr>
                    <w:t>（单位：mg/m</w:t>
                  </w:r>
                  <w:r>
                    <w:rPr>
                      <w:rFonts w:ascii="Times New Roman" w:hAnsi="Times New Roman"/>
                      <w:b/>
                      <w:bCs w:val="0"/>
                      <w:vertAlign w:val="superscript"/>
                    </w:rPr>
                    <w:t>3</w:t>
                  </w:r>
                  <w:r>
                    <w:rPr>
                      <w:rFonts w:ascii="Times New Roman" w:hAnsi="Times New Roman"/>
                      <w:b/>
                      <w:bCs w:val="0"/>
                    </w:rPr>
                    <w:t>）</w:t>
                  </w:r>
                </w:p>
              </w:tc>
              <w:tc>
                <w:tcPr>
                  <w:tcW w:w="1012" w:type="pct"/>
                  <w:vAlign w:val="center"/>
                </w:tcPr>
                <w:p>
                  <w:pPr>
                    <w:pStyle w:val="49"/>
                    <w:keepNext w:val="0"/>
                    <w:keepLines w:val="0"/>
                    <w:suppressLineNumbers w:val="0"/>
                    <w:adjustRightInd w:val="0"/>
                    <w:snapToGrid w:val="0"/>
                    <w:spacing w:before="0" w:beforeAutospacing="0" w:after="0" w:afterAutospacing="0"/>
                    <w:ind w:left="0" w:right="0"/>
                    <w:rPr>
                      <w:rFonts w:ascii="Times New Roman" w:hAnsi="Times New Roman"/>
                      <w:b/>
                    </w:rPr>
                  </w:pPr>
                  <w:r>
                    <w:rPr>
                      <w:rFonts w:hint="eastAsia" w:ascii="Times New Roman" w:hAnsi="Times New Roman"/>
                      <w:b/>
                      <w:bCs w:val="0"/>
                    </w:rPr>
                    <w:t>最高允许排放速率</w:t>
                  </w:r>
                  <w:r>
                    <w:rPr>
                      <w:rFonts w:ascii="Times New Roman" w:hAnsi="Times New Roman"/>
                      <w:b/>
                      <w:bCs w:val="0"/>
                    </w:rPr>
                    <w:t>（单位：</w:t>
                  </w:r>
                  <w:r>
                    <w:rPr>
                      <w:rFonts w:hint="eastAsia" w:ascii="Times New Roman" w:hAnsi="Times New Roman"/>
                      <w:b/>
                      <w:bCs w:val="0"/>
                    </w:rPr>
                    <w:t>kg/h</w:t>
                  </w:r>
                  <w:r>
                    <w:rPr>
                      <w:rFonts w:ascii="Times New Roman" w:hAnsi="Times New Roman"/>
                      <w:b/>
                      <w:bCs w:val="0"/>
                    </w:rPr>
                    <w:t>）</w:t>
                  </w:r>
                </w:p>
              </w:tc>
              <w:tc>
                <w:tcPr>
                  <w:tcW w:w="1012" w:type="pct"/>
                  <w:vAlign w:val="center"/>
                </w:tcPr>
                <w:p>
                  <w:pPr>
                    <w:pStyle w:val="49"/>
                    <w:keepNext w:val="0"/>
                    <w:keepLines w:val="0"/>
                    <w:suppressLineNumbers w:val="0"/>
                    <w:adjustRightInd w:val="0"/>
                    <w:snapToGrid w:val="0"/>
                    <w:spacing w:before="0" w:beforeAutospacing="0" w:after="0" w:afterAutospacing="0"/>
                    <w:ind w:left="0" w:right="0"/>
                    <w:rPr>
                      <w:rFonts w:ascii="Times New Roman" w:hAnsi="Times New Roman"/>
                      <w:b/>
                    </w:rPr>
                  </w:pPr>
                  <w:r>
                    <w:rPr>
                      <w:b/>
                    </w:rPr>
                    <w:t>单位边界大气污染物排放监控浓度限值</w:t>
                  </w:r>
                  <w:r>
                    <w:rPr>
                      <w:rFonts w:ascii="Times New Roman" w:hAnsi="Times New Roman"/>
                      <w:b/>
                      <w:bCs w:val="0"/>
                    </w:rPr>
                    <w:t>（单位：mg/m</w:t>
                  </w:r>
                  <w:r>
                    <w:rPr>
                      <w:rFonts w:ascii="Times New Roman" w:hAnsi="Times New Roman"/>
                      <w:b/>
                      <w:bCs w:val="0"/>
                      <w:vertAlign w:val="superscript"/>
                    </w:rPr>
                    <w:t>3</w:t>
                  </w:r>
                  <w:r>
                    <w:rPr>
                      <w:rFonts w:ascii="Times New Roman" w:hAnsi="Times New Roman"/>
                      <w:b/>
                      <w:bCs w:val="0"/>
                    </w:rPr>
                    <w:t>）</w:t>
                  </w:r>
                </w:p>
              </w:tc>
              <w:tc>
                <w:tcPr>
                  <w:tcW w:w="1321" w:type="pct"/>
                  <w:vAlign w:val="center"/>
                </w:tcPr>
                <w:p>
                  <w:pPr>
                    <w:pStyle w:val="49"/>
                    <w:keepNext w:val="0"/>
                    <w:keepLines w:val="0"/>
                    <w:suppressLineNumbers w:val="0"/>
                    <w:adjustRightInd w:val="0"/>
                    <w:snapToGrid w:val="0"/>
                    <w:spacing w:before="0" w:beforeAutospacing="0" w:after="0" w:afterAutospacing="0"/>
                    <w:ind w:left="0" w:right="0"/>
                    <w:rPr>
                      <w:rFonts w:ascii="Times New Roman" w:hAnsi="Times New Roman"/>
                      <w:b/>
                    </w:rPr>
                  </w:pPr>
                  <w:r>
                    <w:rPr>
                      <w:rFonts w:ascii="Times New Roman" w:hAnsi="Times New Roman"/>
                      <w:b/>
                      <w:bCs w:val="0"/>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69" w:type="pct"/>
                  <w:vAlign w:val="center"/>
                </w:tcPr>
                <w:p>
                  <w:pPr>
                    <w:pStyle w:val="49"/>
                    <w:keepNext w:val="0"/>
                    <w:keepLines w:val="0"/>
                    <w:suppressLineNumbers w:val="0"/>
                    <w:adjustRightInd w:val="0"/>
                    <w:snapToGrid w:val="0"/>
                    <w:spacing w:before="0" w:beforeAutospacing="0" w:after="0" w:afterAutospacing="0"/>
                    <w:ind w:left="0" w:right="0"/>
                    <w:rPr>
                      <w:rFonts w:ascii="Times New Roman" w:hAnsi="Times New Roman"/>
                    </w:rPr>
                  </w:pPr>
                  <w:r>
                    <w:rPr>
                      <w:rFonts w:ascii="Times New Roman" w:hAnsi="Times New Roman"/>
                    </w:rPr>
                    <w:t>非甲烷总烃</w:t>
                  </w:r>
                </w:p>
              </w:tc>
              <w:tc>
                <w:tcPr>
                  <w:tcW w:w="985" w:type="pct"/>
                  <w:vAlign w:val="center"/>
                </w:tcPr>
                <w:p>
                  <w:pPr>
                    <w:pStyle w:val="49"/>
                    <w:keepNext w:val="0"/>
                    <w:keepLines w:val="0"/>
                    <w:suppressLineNumbers w:val="0"/>
                    <w:adjustRightInd w:val="0"/>
                    <w:snapToGrid w:val="0"/>
                    <w:spacing w:before="0" w:beforeAutospacing="0" w:after="0" w:afterAutospacing="0"/>
                    <w:ind w:left="0" w:right="0"/>
                    <w:rPr>
                      <w:rFonts w:ascii="Times New Roman" w:hAnsi="Times New Roman"/>
                    </w:rPr>
                  </w:pPr>
                  <w:r>
                    <w:rPr>
                      <w:rFonts w:hint="eastAsia" w:ascii="Times New Roman" w:hAnsi="Times New Roman"/>
                    </w:rPr>
                    <w:t>60</w:t>
                  </w:r>
                </w:p>
              </w:tc>
              <w:tc>
                <w:tcPr>
                  <w:tcW w:w="1012" w:type="pct"/>
                  <w:vAlign w:val="center"/>
                </w:tcPr>
                <w:p>
                  <w:pPr>
                    <w:pStyle w:val="49"/>
                    <w:keepNext w:val="0"/>
                    <w:keepLines w:val="0"/>
                    <w:suppressLineNumbers w:val="0"/>
                    <w:adjustRightInd w:val="0"/>
                    <w:snapToGrid w:val="0"/>
                    <w:spacing w:before="0" w:beforeAutospacing="0" w:after="0" w:afterAutospacing="0"/>
                    <w:ind w:left="0" w:right="0"/>
                    <w:rPr>
                      <w:rFonts w:ascii="Times New Roman" w:hAnsi="Times New Roman"/>
                    </w:rPr>
                  </w:pPr>
                  <w:r>
                    <w:rPr>
                      <w:rFonts w:hint="eastAsia" w:ascii="Times New Roman" w:hAnsi="Times New Roman"/>
                    </w:rPr>
                    <w:t>3.0</w:t>
                  </w:r>
                </w:p>
              </w:tc>
              <w:tc>
                <w:tcPr>
                  <w:tcW w:w="1012" w:type="pct"/>
                  <w:vAlign w:val="center"/>
                </w:tcPr>
                <w:p>
                  <w:pPr>
                    <w:pStyle w:val="49"/>
                    <w:keepNext w:val="0"/>
                    <w:keepLines w:val="0"/>
                    <w:suppressLineNumbers w:val="0"/>
                    <w:adjustRightInd w:val="0"/>
                    <w:snapToGrid w:val="0"/>
                    <w:spacing w:before="0" w:beforeAutospacing="0" w:after="0" w:afterAutospacing="0"/>
                    <w:ind w:left="0" w:right="0"/>
                    <w:rPr>
                      <w:rFonts w:ascii="Times New Roman" w:hAnsi="Times New Roman"/>
                    </w:rPr>
                  </w:pPr>
                  <w:r>
                    <w:rPr>
                      <w:rFonts w:hint="eastAsia" w:ascii="Times New Roman" w:hAnsi="Times New Roman"/>
                    </w:rPr>
                    <w:t>4.0</w:t>
                  </w:r>
                </w:p>
              </w:tc>
              <w:tc>
                <w:tcPr>
                  <w:tcW w:w="1321" w:type="pct"/>
                  <w:vMerge w:val="restart"/>
                  <w:vAlign w:val="center"/>
                </w:tcPr>
                <w:p>
                  <w:pPr>
                    <w:pStyle w:val="49"/>
                    <w:keepNext w:val="0"/>
                    <w:keepLines w:val="0"/>
                    <w:suppressLineNumbers w:val="0"/>
                    <w:adjustRightInd w:val="0"/>
                    <w:snapToGrid w:val="0"/>
                    <w:spacing w:before="0" w:beforeAutospacing="0" w:after="0" w:afterAutospacing="0"/>
                    <w:ind w:left="0" w:right="0"/>
                    <w:rPr>
                      <w:rFonts w:ascii="Times New Roman" w:hAnsi="Times New Roman"/>
                    </w:rPr>
                  </w:pPr>
                  <w:r>
                    <w:rPr>
                      <w:rFonts w:hint="eastAsia" w:ascii="Times New Roman" w:hAnsi="Times New Roman"/>
                    </w:rPr>
                    <w:t>《大气污染物综合排放标准》（DB32/4041-2021）表1及表3标准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69" w:type="pct"/>
                  <w:vAlign w:val="center"/>
                </w:tcPr>
                <w:p>
                  <w:pPr>
                    <w:pStyle w:val="49"/>
                    <w:keepNext w:val="0"/>
                    <w:keepLines w:val="0"/>
                    <w:suppressLineNumbers w:val="0"/>
                    <w:adjustRightInd w:val="0"/>
                    <w:snapToGrid w:val="0"/>
                    <w:spacing w:before="0" w:beforeAutospacing="0" w:after="0" w:afterAutospacing="0"/>
                    <w:ind w:left="0" w:right="0"/>
                    <w:rPr>
                      <w:rFonts w:ascii="Times New Roman" w:hAnsi="Times New Roman"/>
                    </w:rPr>
                  </w:pPr>
                  <w:r>
                    <w:rPr>
                      <w:rFonts w:hint="eastAsia" w:ascii="Times New Roman" w:hAnsi="Times New Roman"/>
                    </w:rPr>
                    <w:t>颗粒物</w:t>
                  </w:r>
                </w:p>
              </w:tc>
              <w:tc>
                <w:tcPr>
                  <w:tcW w:w="985" w:type="pct"/>
                  <w:vAlign w:val="center"/>
                </w:tcPr>
                <w:p>
                  <w:pPr>
                    <w:pStyle w:val="49"/>
                    <w:keepNext w:val="0"/>
                    <w:keepLines w:val="0"/>
                    <w:suppressLineNumbers w:val="0"/>
                    <w:adjustRightInd w:val="0"/>
                    <w:snapToGrid w:val="0"/>
                    <w:spacing w:before="0" w:beforeAutospacing="0" w:after="0" w:afterAutospacing="0"/>
                    <w:ind w:left="0" w:right="0"/>
                    <w:rPr>
                      <w:rFonts w:ascii="Times New Roman" w:hAnsi="Times New Roman"/>
                    </w:rPr>
                  </w:pPr>
                  <w:r>
                    <w:rPr>
                      <w:rFonts w:hint="eastAsia" w:ascii="Times New Roman" w:hAnsi="Times New Roman"/>
                    </w:rPr>
                    <w:t>20</w:t>
                  </w:r>
                </w:p>
              </w:tc>
              <w:tc>
                <w:tcPr>
                  <w:tcW w:w="1012" w:type="pct"/>
                  <w:vAlign w:val="center"/>
                </w:tcPr>
                <w:p>
                  <w:pPr>
                    <w:pStyle w:val="49"/>
                    <w:keepNext w:val="0"/>
                    <w:keepLines w:val="0"/>
                    <w:suppressLineNumbers w:val="0"/>
                    <w:adjustRightInd w:val="0"/>
                    <w:snapToGrid w:val="0"/>
                    <w:spacing w:before="0" w:beforeAutospacing="0" w:after="0" w:afterAutospacing="0"/>
                    <w:ind w:left="0" w:right="0"/>
                    <w:rPr>
                      <w:rFonts w:ascii="Times New Roman" w:hAnsi="Times New Roman"/>
                    </w:rPr>
                  </w:pPr>
                  <w:r>
                    <w:rPr>
                      <w:rFonts w:hint="eastAsia" w:ascii="Times New Roman" w:hAnsi="Times New Roman"/>
                    </w:rPr>
                    <w:t>1.0</w:t>
                  </w:r>
                </w:p>
              </w:tc>
              <w:tc>
                <w:tcPr>
                  <w:tcW w:w="1012" w:type="pct"/>
                  <w:vAlign w:val="center"/>
                </w:tcPr>
                <w:p>
                  <w:pPr>
                    <w:pStyle w:val="49"/>
                    <w:keepNext w:val="0"/>
                    <w:keepLines w:val="0"/>
                    <w:suppressLineNumbers w:val="0"/>
                    <w:adjustRightInd w:val="0"/>
                    <w:snapToGrid w:val="0"/>
                    <w:spacing w:before="0" w:beforeAutospacing="0" w:after="0" w:afterAutospacing="0"/>
                    <w:ind w:left="0" w:right="0"/>
                    <w:rPr>
                      <w:rFonts w:ascii="Times New Roman" w:hAnsi="Times New Roman"/>
                    </w:rPr>
                  </w:pPr>
                  <w:r>
                    <w:rPr>
                      <w:rFonts w:hint="eastAsia" w:ascii="Times New Roman" w:hAnsi="Times New Roman"/>
                    </w:rPr>
                    <w:t>0.5</w:t>
                  </w:r>
                </w:p>
              </w:tc>
              <w:tc>
                <w:tcPr>
                  <w:tcW w:w="1321" w:type="pct"/>
                  <w:vMerge w:val="continue"/>
                  <w:vAlign w:val="center"/>
                </w:tcPr>
                <w:p>
                  <w:pPr>
                    <w:pStyle w:val="49"/>
                    <w:keepNext w:val="0"/>
                    <w:keepLines w:val="0"/>
                    <w:suppressLineNumbers w:val="0"/>
                    <w:adjustRightInd w:val="0"/>
                    <w:snapToGrid w:val="0"/>
                    <w:spacing w:before="0" w:beforeAutospacing="0" w:after="0" w:afterAutospacing="0"/>
                    <w:ind w:left="0" w:right="0"/>
                    <w:rPr>
                      <w:rFonts w:ascii="Times New Roman" w:hAnsi="Times New Roman"/>
                    </w:rPr>
                  </w:pPr>
                </w:p>
              </w:tc>
            </w:tr>
          </w:tbl>
          <w:p>
            <w:pPr>
              <w:keepNext w:val="0"/>
              <w:keepLines w:val="0"/>
              <w:suppressLineNumbers w:val="0"/>
              <w:adjustRightInd w:val="0"/>
              <w:snapToGrid w:val="0"/>
              <w:spacing w:before="0" w:beforeAutospacing="0" w:after="0" w:afterAutospacing="0"/>
              <w:ind w:left="0" w:right="0"/>
              <w:jc w:val="center"/>
              <w:rPr>
                <w:sz w:val="24"/>
              </w:rPr>
            </w:pPr>
            <w:r>
              <w:rPr>
                <w:rFonts w:ascii="宋体" w:hAnsi="宋体"/>
                <w:b/>
                <w:bCs/>
                <w:sz w:val="24"/>
              </w:rPr>
              <w:t>表</w:t>
            </w:r>
            <w:r>
              <w:rPr>
                <w:rFonts w:hint="eastAsia"/>
                <w:b/>
                <w:bCs/>
                <w:sz w:val="24"/>
              </w:rPr>
              <w:t>3</w:t>
            </w:r>
            <w:r>
              <w:rPr>
                <w:b/>
                <w:bCs/>
                <w:sz w:val="24"/>
              </w:rPr>
              <w:t>-</w:t>
            </w:r>
            <w:r>
              <w:rPr>
                <w:rFonts w:hint="eastAsia"/>
                <w:b/>
                <w:bCs/>
                <w:sz w:val="24"/>
              </w:rPr>
              <w:t>8</w:t>
            </w:r>
            <w:r>
              <w:rPr>
                <w:b/>
                <w:bCs/>
                <w:sz w:val="24"/>
              </w:rPr>
              <w:t xml:space="preserve"> </w:t>
            </w:r>
            <w:r>
              <w:rPr>
                <w:rFonts w:ascii="宋体" w:hAnsi="宋体"/>
                <w:b/>
                <w:bCs/>
                <w:sz w:val="24"/>
              </w:rPr>
              <w:t>厂区内非甲烷总</w:t>
            </w:r>
            <w:r>
              <w:rPr>
                <w:rFonts w:hint="eastAsia" w:ascii="宋体" w:hAnsi="宋体"/>
                <w:b/>
                <w:bCs/>
                <w:sz w:val="24"/>
              </w:rPr>
              <w:t>烃无组织排放限</w:t>
            </w:r>
            <w:r>
              <w:rPr>
                <w:rFonts w:ascii="宋体" w:hAnsi="宋体"/>
                <w:b/>
                <w:bCs/>
                <w:sz w:val="24"/>
              </w:rPr>
              <w:t>值</w:t>
            </w:r>
          </w:p>
          <w:tbl>
            <w:tblPr>
              <w:tblStyle w:val="21"/>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19"/>
              <w:gridCol w:w="1688"/>
              <w:gridCol w:w="1339"/>
              <w:gridCol w:w="1333"/>
              <w:gridCol w:w="259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39" w:type="pct"/>
                  <w:vAlign w:val="center"/>
                </w:tcPr>
                <w:p>
                  <w:pPr>
                    <w:pStyle w:val="49"/>
                    <w:keepNext w:val="0"/>
                    <w:keepLines w:val="0"/>
                    <w:suppressLineNumbers w:val="0"/>
                    <w:spacing w:before="0" w:beforeAutospacing="0" w:after="0" w:afterAutospacing="0" w:line="240" w:lineRule="auto"/>
                    <w:ind w:left="0" w:right="0"/>
                    <w:rPr>
                      <w:rFonts w:ascii="Times New Roman" w:hAnsi="Times New Roman"/>
                      <w:szCs w:val="21"/>
                    </w:rPr>
                  </w:pPr>
                  <w:r>
                    <w:rPr>
                      <w:rFonts w:ascii="Times New Roman" w:hAnsi="Times New Roman"/>
                      <w:b/>
                      <w:bCs w:val="0"/>
                      <w:szCs w:val="21"/>
                    </w:rPr>
                    <w:t>污染物名称</w:t>
                  </w:r>
                </w:p>
              </w:tc>
              <w:tc>
                <w:tcPr>
                  <w:tcW w:w="1059" w:type="pct"/>
                  <w:vAlign w:val="center"/>
                </w:tcPr>
                <w:p>
                  <w:pPr>
                    <w:pStyle w:val="49"/>
                    <w:keepNext w:val="0"/>
                    <w:keepLines w:val="0"/>
                    <w:suppressLineNumbers w:val="0"/>
                    <w:spacing w:before="0" w:beforeAutospacing="0" w:after="0" w:afterAutospacing="0" w:line="240" w:lineRule="auto"/>
                    <w:ind w:left="0" w:right="0"/>
                    <w:rPr>
                      <w:rFonts w:ascii="Times New Roman" w:hAnsi="Times New Roman"/>
                      <w:szCs w:val="21"/>
                    </w:rPr>
                  </w:pPr>
                  <w:r>
                    <w:rPr>
                      <w:rFonts w:hint="eastAsia" w:ascii="Times New Roman" w:hAnsi="Times New Roman"/>
                      <w:b/>
                      <w:bCs w:val="0"/>
                      <w:szCs w:val="21"/>
                    </w:rPr>
                    <w:t>限值含义</w:t>
                  </w:r>
                </w:p>
              </w:tc>
              <w:tc>
                <w:tcPr>
                  <w:tcW w:w="1676" w:type="pct"/>
                  <w:gridSpan w:val="2"/>
                  <w:vAlign w:val="center"/>
                </w:tcPr>
                <w:p>
                  <w:pPr>
                    <w:pStyle w:val="49"/>
                    <w:keepNext w:val="0"/>
                    <w:keepLines w:val="0"/>
                    <w:suppressLineNumbers w:val="0"/>
                    <w:spacing w:before="0" w:beforeAutospacing="0" w:after="0" w:afterAutospacing="0" w:line="240" w:lineRule="auto"/>
                    <w:ind w:left="0" w:right="0"/>
                    <w:rPr>
                      <w:rFonts w:ascii="Times New Roman" w:hAnsi="Times New Roman"/>
                      <w:szCs w:val="21"/>
                    </w:rPr>
                  </w:pPr>
                  <w:r>
                    <w:rPr>
                      <w:rFonts w:hint="eastAsia" w:ascii="Times New Roman" w:hAnsi="Times New Roman"/>
                      <w:b/>
                      <w:bCs w:val="0"/>
                      <w:szCs w:val="21"/>
                    </w:rPr>
                    <w:t>特别排放限值（mg/m</w:t>
                  </w:r>
                  <w:r>
                    <w:rPr>
                      <w:rFonts w:hint="eastAsia" w:ascii="Times New Roman" w:hAnsi="Times New Roman"/>
                      <w:b/>
                      <w:bCs w:val="0"/>
                      <w:szCs w:val="21"/>
                      <w:vertAlign w:val="superscript"/>
                    </w:rPr>
                    <w:t>3</w:t>
                  </w:r>
                  <w:r>
                    <w:rPr>
                      <w:rFonts w:hint="eastAsia" w:ascii="Times New Roman" w:hAnsi="Times New Roman"/>
                      <w:b/>
                      <w:bCs w:val="0"/>
                      <w:szCs w:val="21"/>
                    </w:rPr>
                    <w:t>）</w:t>
                  </w:r>
                </w:p>
              </w:tc>
              <w:tc>
                <w:tcPr>
                  <w:tcW w:w="1626" w:type="pct"/>
                  <w:vAlign w:val="center"/>
                </w:tcPr>
                <w:p>
                  <w:pPr>
                    <w:pStyle w:val="49"/>
                    <w:keepNext w:val="0"/>
                    <w:keepLines w:val="0"/>
                    <w:suppressLineNumbers w:val="0"/>
                    <w:spacing w:before="0" w:beforeAutospacing="0" w:after="0" w:afterAutospacing="0" w:line="240" w:lineRule="auto"/>
                    <w:ind w:left="0" w:right="0"/>
                    <w:rPr>
                      <w:rFonts w:ascii="Times New Roman" w:hAnsi="Times New Roman"/>
                      <w:szCs w:val="21"/>
                    </w:rPr>
                  </w:pPr>
                  <w:r>
                    <w:rPr>
                      <w:rFonts w:hint="eastAsia" w:ascii="Times New Roman" w:hAnsi="Times New Roman"/>
                      <w:b/>
                      <w:bCs w:val="0"/>
                      <w:szCs w:val="21"/>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39" w:type="pct"/>
                  <w:vMerge w:val="restart"/>
                  <w:vAlign w:val="center"/>
                </w:tcPr>
                <w:p>
                  <w:pPr>
                    <w:pStyle w:val="49"/>
                    <w:keepNext w:val="0"/>
                    <w:keepLines w:val="0"/>
                    <w:suppressLineNumbers w:val="0"/>
                    <w:spacing w:before="0" w:beforeAutospacing="0" w:after="0" w:afterAutospacing="0" w:line="240" w:lineRule="auto"/>
                    <w:ind w:left="0" w:right="0"/>
                    <w:rPr>
                      <w:rFonts w:ascii="Times New Roman" w:hAnsi="Times New Roman"/>
                      <w:szCs w:val="21"/>
                    </w:rPr>
                  </w:pPr>
                  <w:r>
                    <w:rPr>
                      <w:rFonts w:hint="eastAsia" w:ascii="Times New Roman" w:hAnsi="Times New Roman"/>
                      <w:szCs w:val="21"/>
                    </w:rPr>
                    <w:t>NMHC</w:t>
                  </w:r>
                </w:p>
              </w:tc>
              <w:tc>
                <w:tcPr>
                  <w:tcW w:w="1059" w:type="pct"/>
                  <w:vAlign w:val="center"/>
                </w:tcPr>
                <w:p>
                  <w:pPr>
                    <w:pStyle w:val="49"/>
                    <w:keepNext w:val="0"/>
                    <w:keepLines w:val="0"/>
                    <w:suppressLineNumbers w:val="0"/>
                    <w:spacing w:before="0" w:beforeAutospacing="0" w:after="0" w:afterAutospacing="0" w:line="240" w:lineRule="auto"/>
                    <w:ind w:left="0" w:right="0"/>
                    <w:rPr>
                      <w:rFonts w:ascii="Times New Roman" w:hAnsi="Times New Roman"/>
                      <w:bCs w:val="0"/>
                      <w:szCs w:val="21"/>
                    </w:rPr>
                  </w:pPr>
                  <w:r>
                    <w:rPr>
                      <w:rFonts w:hint="eastAsia" w:ascii="Times New Roman" w:hAnsi="Times New Roman"/>
                      <w:szCs w:val="21"/>
                    </w:rPr>
                    <w:t>监控点处1h平均浓度值</w:t>
                  </w:r>
                </w:p>
              </w:tc>
              <w:tc>
                <w:tcPr>
                  <w:tcW w:w="840" w:type="pct"/>
                  <w:vMerge w:val="restart"/>
                  <w:vAlign w:val="center"/>
                </w:tcPr>
                <w:p>
                  <w:pPr>
                    <w:pStyle w:val="49"/>
                    <w:keepNext w:val="0"/>
                    <w:keepLines w:val="0"/>
                    <w:suppressLineNumbers w:val="0"/>
                    <w:spacing w:before="0" w:beforeAutospacing="0" w:after="0" w:afterAutospacing="0" w:line="240" w:lineRule="auto"/>
                    <w:ind w:left="0" w:right="0"/>
                    <w:rPr>
                      <w:rFonts w:ascii="Times New Roman" w:hAnsi="Times New Roman"/>
                      <w:bCs w:val="0"/>
                      <w:szCs w:val="21"/>
                    </w:rPr>
                  </w:pPr>
                  <w:r>
                    <w:rPr>
                      <w:rFonts w:hint="eastAsia" w:ascii="Times New Roman" w:hAnsi="Times New Roman"/>
                      <w:szCs w:val="21"/>
                    </w:rPr>
                    <w:t>在厂房外设置监控点</w:t>
                  </w:r>
                </w:p>
              </w:tc>
              <w:tc>
                <w:tcPr>
                  <w:tcW w:w="836" w:type="pct"/>
                  <w:vAlign w:val="center"/>
                </w:tcPr>
                <w:p>
                  <w:pPr>
                    <w:pStyle w:val="49"/>
                    <w:keepNext w:val="0"/>
                    <w:keepLines w:val="0"/>
                    <w:suppressLineNumbers w:val="0"/>
                    <w:spacing w:before="0" w:beforeAutospacing="0" w:after="0" w:afterAutospacing="0" w:line="240" w:lineRule="auto"/>
                    <w:ind w:left="0" w:right="0"/>
                    <w:rPr>
                      <w:rFonts w:ascii="Times New Roman" w:hAnsi="Times New Roman"/>
                      <w:bCs w:val="0"/>
                      <w:szCs w:val="21"/>
                    </w:rPr>
                  </w:pPr>
                  <w:r>
                    <w:rPr>
                      <w:rFonts w:hint="eastAsia" w:ascii="Times New Roman" w:hAnsi="Times New Roman"/>
                      <w:szCs w:val="21"/>
                    </w:rPr>
                    <w:t>6</w:t>
                  </w:r>
                </w:p>
              </w:tc>
              <w:tc>
                <w:tcPr>
                  <w:tcW w:w="1626" w:type="pct"/>
                  <w:vMerge w:val="restart"/>
                  <w:vAlign w:val="center"/>
                </w:tcPr>
                <w:p>
                  <w:pPr>
                    <w:pStyle w:val="49"/>
                    <w:keepNext w:val="0"/>
                    <w:keepLines w:val="0"/>
                    <w:suppressLineNumbers w:val="0"/>
                    <w:spacing w:before="0" w:beforeAutospacing="0" w:after="0" w:afterAutospacing="0" w:line="240" w:lineRule="auto"/>
                    <w:ind w:left="0" w:right="0"/>
                    <w:rPr>
                      <w:rFonts w:ascii="Times New Roman" w:hAnsi="Times New Roman"/>
                      <w:szCs w:val="21"/>
                    </w:rPr>
                  </w:pPr>
                  <w:r>
                    <w:rPr>
                      <w:rFonts w:hint="eastAsia" w:ascii="Times New Roman" w:hAnsi="Times New Roman"/>
                    </w:rPr>
                    <w:t>《大气污染物综合排放标准》（DB32/4041-2021）表2标准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39" w:type="pct"/>
                  <w:vMerge w:val="continue"/>
                  <w:vAlign w:val="center"/>
                </w:tcPr>
                <w:p>
                  <w:pPr>
                    <w:pStyle w:val="49"/>
                    <w:keepNext w:val="0"/>
                    <w:keepLines w:val="0"/>
                    <w:suppressLineNumbers w:val="0"/>
                    <w:spacing w:before="0" w:beforeAutospacing="0" w:after="0" w:afterAutospacing="0" w:line="240" w:lineRule="auto"/>
                    <w:ind w:left="0" w:right="0"/>
                    <w:rPr>
                      <w:rFonts w:hint="eastAsia" w:ascii="Times New Roman" w:hAnsi="Times New Roman" w:eastAsia="宋体"/>
                      <w:szCs w:val="21"/>
                      <w:highlight w:val="yellow"/>
                      <w:lang w:eastAsia="zh-CN"/>
                    </w:rPr>
                  </w:pPr>
                </w:p>
              </w:tc>
              <w:tc>
                <w:tcPr>
                  <w:tcW w:w="1059" w:type="pct"/>
                  <w:vAlign w:val="center"/>
                </w:tcPr>
                <w:p>
                  <w:pPr>
                    <w:pStyle w:val="49"/>
                    <w:keepNext w:val="0"/>
                    <w:keepLines w:val="0"/>
                    <w:suppressLineNumbers w:val="0"/>
                    <w:spacing w:before="0" w:beforeAutospacing="0" w:after="0" w:afterAutospacing="0" w:line="240" w:lineRule="auto"/>
                    <w:ind w:left="0" w:right="0"/>
                    <w:rPr>
                      <w:rFonts w:ascii="Times New Roman" w:hAnsi="Times New Roman"/>
                      <w:bCs w:val="0"/>
                      <w:szCs w:val="21"/>
                    </w:rPr>
                  </w:pPr>
                  <w:r>
                    <w:rPr>
                      <w:rFonts w:hint="eastAsia" w:ascii="Times New Roman" w:hAnsi="Times New Roman"/>
                      <w:szCs w:val="21"/>
                    </w:rPr>
                    <w:t>监控点处任意一次浓度值</w:t>
                  </w:r>
                </w:p>
              </w:tc>
              <w:tc>
                <w:tcPr>
                  <w:tcW w:w="840" w:type="pct"/>
                  <w:vMerge w:val="continue"/>
                  <w:vAlign w:val="center"/>
                </w:tcPr>
                <w:p>
                  <w:pPr>
                    <w:pStyle w:val="49"/>
                    <w:keepNext w:val="0"/>
                    <w:keepLines w:val="0"/>
                    <w:suppressLineNumbers w:val="0"/>
                    <w:spacing w:before="0" w:beforeAutospacing="0" w:after="0" w:afterAutospacing="0" w:line="240" w:lineRule="auto"/>
                    <w:ind w:left="0" w:right="0"/>
                    <w:rPr>
                      <w:rFonts w:ascii="Times New Roman" w:hAnsi="Times New Roman"/>
                      <w:bCs w:val="0"/>
                      <w:szCs w:val="21"/>
                    </w:rPr>
                  </w:pPr>
                </w:p>
              </w:tc>
              <w:tc>
                <w:tcPr>
                  <w:tcW w:w="836" w:type="pct"/>
                  <w:vAlign w:val="center"/>
                </w:tcPr>
                <w:p>
                  <w:pPr>
                    <w:pStyle w:val="49"/>
                    <w:keepNext w:val="0"/>
                    <w:keepLines w:val="0"/>
                    <w:suppressLineNumbers w:val="0"/>
                    <w:spacing w:before="0" w:beforeAutospacing="0" w:after="0" w:afterAutospacing="0" w:line="240" w:lineRule="auto"/>
                    <w:ind w:left="0" w:right="0"/>
                    <w:rPr>
                      <w:rFonts w:ascii="Times New Roman" w:hAnsi="Times New Roman"/>
                      <w:bCs w:val="0"/>
                      <w:szCs w:val="21"/>
                    </w:rPr>
                  </w:pPr>
                  <w:r>
                    <w:rPr>
                      <w:rFonts w:hint="eastAsia" w:ascii="Times New Roman" w:hAnsi="Times New Roman"/>
                      <w:szCs w:val="21"/>
                    </w:rPr>
                    <w:t>20</w:t>
                  </w:r>
                </w:p>
              </w:tc>
              <w:tc>
                <w:tcPr>
                  <w:tcW w:w="1626" w:type="pct"/>
                  <w:vMerge w:val="continue"/>
                  <w:vAlign w:val="center"/>
                </w:tcPr>
                <w:p>
                  <w:pPr>
                    <w:pStyle w:val="49"/>
                    <w:keepNext w:val="0"/>
                    <w:keepLines w:val="0"/>
                    <w:suppressLineNumbers w:val="0"/>
                    <w:spacing w:before="0" w:beforeAutospacing="0" w:after="0" w:afterAutospacing="0" w:line="240" w:lineRule="auto"/>
                    <w:ind w:left="0" w:right="0"/>
                    <w:rPr>
                      <w:rFonts w:ascii="Times New Roman" w:hAnsi="Times New Roman"/>
                      <w:szCs w:val="21"/>
                      <w:highlight w:val="yellow"/>
                    </w:rPr>
                  </w:pPr>
                </w:p>
              </w:tc>
            </w:tr>
          </w:tbl>
          <w:p>
            <w:pPr>
              <w:keepNext w:val="0"/>
              <w:keepLines w:val="0"/>
              <w:suppressLineNumbers w:val="0"/>
              <w:wordWrap w:val="0"/>
              <w:adjustRightInd w:val="0"/>
              <w:spacing w:before="0" w:beforeAutospacing="0" w:after="0" w:afterAutospacing="0"/>
              <w:ind w:left="0" w:right="0"/>
              <w:jc w:val="center"/>
              <w:rPr>
                <w:b/>
                <w:bCs/>
                <w:sz w:val="24"/>
              </w:rPr>
            </w:pPr>
            <w:r>
              <w:rPr>
                <w:rFonts w:hAnsi="宋体"/>
                <w:b/>
                <w:bCs/>
                <w:sz w:val="24"/>
              </w:rPr>
              <w:t>表</w:t>
            </w:r>
            <w:r>
              <w:rPr>
                <w:b/>
                <w:bCs/>
                <w:sz w:val="24"/>
              </w:rPr>
              <w:t xml:space="preserve">3-9 </w:t>
            </w:r>
            <w:r>
              <w:rPr>
                <w:rFonts w:hAnsi="宋体"/>
                <w:b/>
                <w:bCs/>
                <w:sz w:val="24"/>
              </w:rPr>
              <w:t>《饮食业油烟排放标准》（</w:t>
            </w:r>
            <w:r>
              <w:rPr>
                <w:b/>
                <w:bCs/>
                <w:sz w:val="24"/>
              </w:rPr>
              <w:t>GB18483—2001</w:t>
            </w:r>
            <w:r>
              <w:rPr>
                <w:rFonts w:hAnsi="宋体"/>
                <w:b/>
                <w:bCs/>
                <w:sz w:val="24"/>
              </w:rPr>
              <w:t>）</w:t>
            </w:r>
          </w:p>
          <w:tbl>
            <w:tblPr>
              <w:tblStyle w:val="2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266"/>
              <w:gridCol w:w="1741"/>
              <w:gridCol w:w="1530"/>
              <w:gridCol w:w="135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66" w:type="dxa"/>
                  <w:shd w:val="clear" w:color="auto" w:fill="auto"/>
                  <w:vAlign w:val="center"/>
                </w:tcPr>
                <w:p>
                  <w:pPr>
                    <w:keepNext w:val="0"/>
                    <w:keepLines w:val="0"/>
                    <w:suppressLineNumbers w:val="0"/>
                    <w:spacing w:before="0" w:beforeAutospacing="0" w:after="0" w:afterAutospacing="0"/>
                    <w:ind w:left="0" w:right="0"/>
                    <w:jc w:val="center"/>
                    <w:rPr>
                      <w:b/>
                      <w:bCs/>
                      <w:szCs w:val="21"/>
                    </w:rPr>
                  </w:pPr>
                  <w:r>
                    <w:rPr>
                      <w:rFonts w:hAnsi="宋体"/>
                      <w:b/>
                      <w:bCs/>
                      <w:szCs w:val="21"/>
                    </w:rPr>
                    <w:t>规模</w:t>
                  </w:r>
                </w:p>
              </w:tc>
              <w:tc>
                <w:tcPr>
                  <w:tcW w:w="1741" w:type="dxa"/>
                  <w:shd w:val="clear" w:color="auto" w:fill="D7D7D7"/>
                  <w:vAlign w:val="center"/>
                </w:tcPr>
                <w:p>
                  <w:pPr>
                    <w:keepNext w:val="0"/>
                    <w:keepLines w:val="0"/>
                    <w:suppressLineNumbers w:val="0"/>
                    <w:spacing w:before="0" w:beforeAutospacing="0" w:after="0" w:afterAutospacing="0"/>
                    <w:ind w:left="0" w:right="0"/>
                    <w:jc w:val="center"/>
                    <w:rPr>
                      <w:b/>
                      <w:bCs/>
                      <w:szCs w:val="21"/>
                    </w:rPr>
                  </w:pPr>
                  <w:r>
                    <w:rPr>
                      <w:rFonts w:hAnsi="宋体"/>
                      <w:b/>
                      <w:bCs/>
                      <w:szCs w:val="21"/>
                    </w:rPr>
                    <w:t>小型</w:t>
                  </w:r>
                </w:p>
              </w:tc>
              <w:tc>
                <w:tcPr>
                  <w:tcW w:w="1530" w:type="dxa"/>
                  <w:shd w:val="clear" w:color="auto" w:fill="auto"/>
                  <w:vAlign w:val="center"/>
                </w:tcPr>
                <w:p>
                  <w:pPr>
                    <w:keepNext w:val="0"/>
                    <w:keepLines w:val="0"/>
                    <w:suppressLineNumbers w:val="0"/>
                    <w:spacing w:before="0" w:beforeAutospacing="0" w:after="0" w:afterAutospacing="0"/>
                    <w:ind w:left="0" w:right="0"/>
                    <w:jc w:val="center"/>
                    <w:rPr>
                      <w:b/>
                      <w:bCs/>
                      <w:szCs w:val="21"/>
                    </w:rPr>
                  </w:pPr>
                  <w:r>
                    <w:rPr>
                      <w:rFonts w:hAnsi="宋体"/>
                      <w:b/>
                      <w:bCs/>
                      <w:szCs w:val="21"/>
                    </w:rPr>
                    <w:t>中型</w:t>
                  </w:r>
                </w:p>
              </w:tc>
              <w:tc>
                <w:tcPr>
                  <w:tcW w:w="1353" w:type="dxa"/>
                  <w:shd w:val="clear" w:color="auto" w:fill="FFFFFF"/>
                  <w:vAlign w:val="center"/>
                </w:tcPr>
                <w:p>
                  <w:pPr>
                    <w:keepNext w:val="0"/>
                    <w:keepLines w:val="0"/>
                    <w:suppressLineNumbers w:val="0"/>
                    <w:spacing w:before="0" w:beforeAutospacing="0" w:after="0" w:afterAutospacing="0"/>
                    <w:ind w:left="0" w:right="0"/>
                    <w:jc w:val="center"/>
                    <w:rPr>
                      <w:b/>
                      <w:bCs/>
                      <w:szCs w:val="21"/>
                    </w:rPr>
                  </w:pPr>
                  <w:r>
                    <w:rPr>
                      <w:rFonts w:hAnsi="宋体"/>
                      <w:b/>
                      <w:bCs/>
                      <w:szCs w:val="21"/>
                    </w:rPr>
                    <w:t>大型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66" w:type="dxa"/>
                  <w:shd w:val="clear" w:color="auto" w:fill="auto"/>
                  <w:vAlign w:val="center"/>
                </w:tcPr>
                <w:p>
                  <w:pPr>
                    <w:keepNext w:val="0"/>
                    <w:keepLines w:val="0"/>
                    <w:suppressLineNumbers w:val="0"/>
                    <w:spacing w:before="0" w:beforeAutospacing="0" w:after="0" w:afterAutospacing="0"/>
                    <w:ind w:left="0" w:right="0"/>
                    <w:jc w:val="center"/>
                    <w:rPr>
                      <w:szCs w:val="21"/>
                    </w:rPr>
                  </w:pPr>
                  <w:r>
                    <w:rPr>
                      <w:rFonts w:hAnsi="宋体"/>
                      <w:szCs w:val="21"/>
                    </w:rPr>
                    <w:t>基准灶头数</w:t>
                  </w:r>
                </w:p>
              </w:tc>
              <w:tc>
                <w:tcPr>
                  <w:tcW w:w="1741" w:type="dxa"/>
                  <w:shd w:val="clear" w:color="auto" w:fill="D7D7D7"/>
                  <w:vAlign w:val="center"/>
                </w:tcPr>
                <w:p>
                  <w:pPr>
                    <w:keepNext w:val="0"/>
                    <w:keepLines w:val="0"/>
                    <w:suppressLineNumbers w:val="0"/>
                    <w:spacing w:before="0" w:beforeAutospacing="0" w:after="0" w:afterAutospacing="0"/>
                    <w:ind w:left="0" w:right="0"/>
                    <w:jc w:val="center"/>
                    <w:rPr>
                      <w:szCs w:val="21"/>
                    </w:rPr>
                  </w:pPr>
                  <w:r>
                    <w:rPr>
                      <w:szCs w:val="21"/>
                    </w:rPr>
                    <w:t>≥1</w:t>
                  </w:r>
                  <w:r>
                    <w:rPr>
                      <w:rFonts w:hAnsi="宋体"/>
                      <w:szCs w:val="21"/>
                    </w:rPr>
                    <w:t>，＜</w:t>
                  </w:r>
                  <w:r>
                    <w:rPr>
                      <w:szCs w:val="21"/>
                    </w:rPr>
                    <w:t>3</w:t>
                  </w:r>
                </w:p>
              </w:tc>
              <w:tc>
                <w:tcPr>
                  <w:tcW w:w="1530" w:type="dxa"/>
                  <w:shd w:val="clear" w:color="auto" w:fill="auto"/>
                  <w:vAlign w:val="center"/>
                </w:tcPr>
                <w:p>
                  <w:pPr>
                    <w:keepNext w:val="0"/>
                    <w:keepLines w:val="0"/>
                    <w:suppressLineNumbers w:val="0"/>
                    <w:spacing w:before="0" w:beforeAutospacing="0" w:after="0" w:afterAutospacing="0"/>
                    <w:ind w:left="0" w:right="0"/>
                    <w:jc w:val="center"/>
                    <w:rPr>
                      <w:szCs w:val="21"/>
                    </w:rPr>
                  </w:pPr>
                  <w:r>
                    <w:rPr>
                      <w:szCs w:val="21"/>
                    </w:rPr>
                    <w:t>≥3</w:t>
                  </w:r>
                  <w:r>
                    <w:rPr>
                      <w:rFonts w:hAnsi="宋体"/>
                      <w:szCs w:val="21"/>
                    </w:rPr>
                    <w:t>，＜</w:t>
                  </w:r>
                  <w:r>
                    <w:rPr>
                      <w:szCs w:val="21"/>
                    </w:rPr>
                    <w:t>6</w:t>
                  </w:r>
                </w:p>
              </w:tc>
              <w:tc>
                <w:tcPr>
                  <w:tcW w:w="1353" w:type="dxa"/>
                  <w:shd w:val="clear" w:color="auto" w:fill="FFFFFF"/>
                  <w:vAlign w:val="center"/>
                </w:tcPr>
                <w:p>
                  <w:pPr>
                    <w:keepNext w:val="0"/>
                    <w:keepLines w:val="0"/>
                    <w:suppressLineNumbers w:val="0"/>
                    <w:spacing w:before="0" w:beforeAutospacing="0" w:after="0" w:afterAutospacing="0"/>
                    <w:ind w:left="0" w:right="0"/>
                    <w:jc w:val="center"/>
                    <w:rPr>
                      <w:szCs w:val="21"/>
                    </w:rPr>
                  </w:pPr>
                  <w:r>
                    <w:rPr>
                      <w:szCs w:val="21"/>
                    </w:rPr>
                    <w:t>≥6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66" w:type="dxa"/>
                  <w:shd w:val="clear" w:color="auto" w:fill="auto"/>
                  <w:vAlign w:val="center"/>
                </w:tcPr>
                <w:p>
                  <w:pPr>
                    <w:keepNext w:val="0"/>
                    <w:keepLines w:val="0"/>
                    <w:suppressLineNumbers w:val="0"/>
                    <w:spacing w:before="0" w:beforeAutospacing="0" w:after="0" w:afterAutospacing="0"/>
                    <w:ind w:left="0" w:right="0"/>
                    <w:jc w:val="center"/>
                    <w:rPr>
                      <w:szCs w:val="21"/>
                    </w:rPr>
                  </w:pPr>
                  <w:r>
                    <w:rPr>
                      <w:rFonts w:hAnsi="宋体"/>
                      <w:szCs w:val="21"/>
                    </w:rPr>
                    <w:t>对应灶头总功率（</w:t>
                  </w:r>
                  <w:r>
                    <w:rPr>
                      <w:szCs w:val="21"/>
                    </w:rPr>
                    <w:t>108J/h</w:t>
                  </w:r>
                  <w:r>
                    <w:rPr>
                      <w:rFonts w:hAnsi="宋体"/>
                      <w:szCs w:val="21"/>
                    </w:rPr>
                    <w:t>）</w:t>
                  </w:r>
                </w:p>
              </w:tc>
              <w:tc>
                <w:tcPr>
                  <w:tcW w:w="1741" w:type="dxa"/>
                  <w:shd w:val="clear" w:color="auto" w:fill="D7D7D7"/>
                  <w:vAlign w:val="center"/>
                </w:tcPr>
                <w:p>
                  <w:pPr>
                    <w:keepNext w:val="0"/>
                    <w:keepLines w:val="0"/>
                    <w:suppressLineNumbers w:val="0"/>
                    <w:spacing w:before="0" w:beforeAutospacing="0" w:after="0" w:afterAutospacing="0"/>
                    <w:ind w:left="0" w:right="0"/>
                    <w:jc w:val="center"/>
                    <w:rPr>
                      <w:szCs w:val="21"/>
                    </w:rPr>
                  </w:pPr>
                  <w:r>
                    <w:rPr>
                      <w:szCs w:val="21"/>
                    </w:rPr>
                    <w:t>≥1.67</w:t>
                  </w:r>
                  <w:r>
                    <w:rPr>
                      <w:rFonts w:hAnsi="宋体"/>
                      <w:szCs w:val="21"/>
                    </w:rPr>
                    <w:t>，＜</w:t>
                  </w:r>
                  <w:r>
                    <w:rPr>
                      <w:szCs w:val="21"/>
                    </w:rPr>
                    <w:t>5.00</w:t>
                  </w:r>
                </w:p>
              </w:tc>
              <w:tc>
                <w:tcPr>
                  <w:tcW w:w="1530" w:type="dxa"/>
                  <w:shd w:val="clear" w:color="auto" w:fill="auto"/>
                  <w:vAlign w:val="center"/>
                </w:tcPr>
                <w:p>
                  <w:pPr>
                    <w:keepNext w:val="0"/>
                    <w:keepLines w:val="0"/>
                    <w:suppressLineNumbers w:val="0"/>
                    <w:spacing w:before="0" w:beforeAutospacing="0" w:after="0" w:afterAutospacing="0"/>
                    <w:ind w:left="0" w:right="0"/>
                    <w:jc w:val="center"/>
                    <w:rPr>
                      <w:szCs w:val="21"/>
                    </w:rPr>
                  </w:pPr>
                  <w:r>
                    <w:rPr>
                      <w:szCs w:val="21"/>
                    </w:rPr>
                    <w:t>≥5.00</w:t>
                  </w:r>
                  <w:r>
                    <w:rPr>
                      <w:rFonts w:hAnsi="宋体"/>
                      <w:szCs w:val="21"/>
                    </w:rPr>
                    <w:t>，＜</w:t>
                  </w:r>
                  <w:r>
                    <w:rPr>
                      <w:szCs w:val="21"/>
                    </w:rPr>
                    <w:t>10</w:t>
                  </w:r>
                </w:p>
              </w:tc>
              <w:tc>
                <w:tcPr>
                  <w:tcW w:w="1353" w:type="dxa"/>
                  <w:shd w:val="clear" w:color="auto" w:fill="FFFFFF"/>
                  <w:vAlign w:val="center"/>
                </w:tcPr>
                <w:p>
                  <w:pPr>
                    <w:keepNext w:val="0"/>
                    <w:keepLines w:val="0"/>
                    <w:suppressLineNumbers w:val="0"/>
                    <w:spacing w:before="0" w:beforeAutospacing="0" w:after="0" w:afterAutospacing="0"/>
                    <w:ind w:left="0" w:right="0"/>
                    <w:jc w:val="center"/>
                    <w:rPr>
                      <w:szCs w:val="21"/>
                    </w:rPr>
                  </w:pPr>
                  <w:r>
                    <w:rPr>
                      <w:szCs w:val="21"/>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66" w:type="dxa"/>
                  <w:shd w:val="clear" w:color="auto" w:fill="auto"/>
                  <w:vAlign w:val="center"/>
                </w:tcPr>
                <w:p>
                  <w:pPr>
                    <w:keepNext w:val="0"/>
                    <w:keepLines w:val="0"/>
                    <w:suppressLineNumbers w:val="0"/>
                    <w:spacing w:before="0" w:beforeAutospacing="0" w:after="0" w:afterAutospacing="0"/>
                    <w:ind w:left="0" w:right="0"/>
                    <w:jc w:val="center"/>
                    <w:rPr>
                      <w:szCs w:val="21"/>
                    </w:rPr>
                  </w:pPr>
                  <w:r>
                    <w:rPr>
                      <w:rFonts w:hAnsi="宋体"/>
                      <w:szCs w:val="21"/>
                    </w:rPr>
                    <w:t>对应排气罩灶面总投影面积（</w:t>
                  </w:r>
                  <w:r>
                    <w:rPr>
                      <w:szCs w:val="21"/>
                    </w:rPr>
                    <w:t>m</w:t>
                  </w:r>
                  <w:r>
                    <w:rPr>
                      <w:szCs w:val="21"/>
                      <w:vertAlign w:val="superscript"/>
                    </w:rPr>
                    <w:t>2</w:t>
                  </w:r>
                  <w:r>
                    <w:rPr>
                      <w:rFonts w:hAnsi="宋体"/>
                      <w:szCs w:val="21"/>
                    </w:rPr>
                    <w:t>）</w:t>
                  </w:r>
                </w:p>
              </w:tc>
              <w:tc>
                <w:tcPr>
                  <w:tcW w:w="1741" w:type="dxa"/>
                  <w:shd w:val="clear" w:color="auto" w:fill="D7D7D7"/>
                  <w:vAlign w:val="center"/>
                </w:tcPr>
                <w:p>
                  <w:pPr>
                    <w:keepNext w:val="0"/>
                    <w:keepLines w:val="0"/>
                    <w:suppressLineNumbers w:val="0"/>
                    <w:spacing w:before="0" w:beforeAutospacing="0" w:after="0" w:afterAutospacing="0"/>
                    <w:ind w:left="0" w:right="0"/>
                    <w:jc w:val="center"/>
                    <w:rPr>
                      <w:szCs w:val="21"/>
                    </w:rPr>
                  </w:pPr>
                  <w:r>
                    <w:rPr>
                      <w:szCs w:val="21"/>
                    </w:rPr>
                    <w:t>≥1.1</w:t>
                  </w:r>
                  <w:r>
                    <w:rPr>
                      <w:rFonts w:hAnsi="宋体"/>
                      <w:szCs w:val="21"/>
                    </w:rPr>
                    <w:t>，＜</w:t>
                  </w:r>
                  <w:r>
                    <w:rPr>
                      <w:szCs w:val="21"/>
                    </w:rPr>
                    <w:t>3.3</w:t>
                  </w:r>
                </w:p>
              </w:tc>
              <w:tc>
                <w:tcPr>
                  <w:tcW w:w="1530" w:type="dxa"/>
                  <w:shd w:val="clear" w:color="auto" w:fill="auto"/>
                  <w:vAlign w:val="center"/>
                </w:tcPr>
                <w:p>
                  <w:pPr>
                    <w:keepNext w:val="0"/>
                    <w:keepLines w:val="0"/>
                    <w:suppressLineNumbers w:val="0"/>
                    <w:spacing w:before="0" w:beforeAutospacing="0" w:after="0" w:afterAutospacing="0"/>
                    <w:ind w:left="0" w:right="0"/>
                    <w:jc w:val="center"/>
                    <w:rPr>
                      <w:szCs w:val="21"/>
                    </w:rPr>
                  </w:pPr>
                  <w:r>
                    <w:rPr>
                      <w:szCs w:val="21"/>
                    </w:rPr>
                    <w:t>≥3.3</w:t>
                  </w:r>
                  <w:r>
                    <w:rPr>
                      <w:rFonts w:hAnsi="宋体"/>
                      <w:szCs w:val="21"/>
                    </w:rPr>
                    <w:t>，＜</w:t>
                  </w:r>
                  <w:r>
                    <w:rPr>
                      <w:szCs w:val="21"/>
                    </w:rPr>
                    <w:t>6.6</w:t>
                  </w:r>
                </w:p>
              </w:tc>
              <w:tc>
                <w:tcPr>
                  <w:tcW w:w="1353" w:type="dxa"/>
                  <w:shd w:val="clear" w:color="auto" w:fill="FFFFFF"/>
                  <w:vAlign w:val="center"/>
                </w:tcPr>
                <w:p>
                  <w:pPr>
                    <w:keepNext w:val="0"/>
                    <w:keepLines w:val="0"/>
                    <w:suppressLineNumbers w:val="0"/>
                    <w:spacing w:before="0" w:beforeAutospacing="0" w:after="0" w:afterAutospacing="0"/>
                    <w:ind w:left="0" w:right="0"/>
                    <w:jc w:val="center"/>
                    <w:rPr>
                      <w:szCs w:val="21"/>
                    </w:rPr>
                  </w:pPr>
                  <w:r>
                    <w:rPr>
                      <w:szCs w:val="21"/>
                    </w:rPr>
                    <w:t>≥6.6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66" w:type="dxa"/>
                  <w:shd w:val="clear" w:color="auto" w:fill="auto"/>
                  <w:vAlign w:val="center"/>
                </w:tcPr>
                <w:p>
                  <w:pPr>
                    <w:keepNext w:val="0"/>
                    <w:keepLines w:val="0"/>
                    <w:suppressLineNumbers w:val="0"/>
                    <w:spacing w:before="0" w:beforeAutospacing="0" w:after="0" w:afterAutospacing="0"/>
                    <w:ind w:left="0" w:right="0"/>
                    <w:jc w:val="center"/>
                    <w:rPr>
                      <w:szCs w:val="21"/>
                    </w:rPr>
                  </w:pPr>
                  <w:r>
                    <w:rPr>
                      <w:rFonts w:hAnsi="宋体"/>
                      <w:szCs w:val="21"/>
                    </w:rPr>
                    <w:t>最高允许排放浓度（</w:t>
                  </w:r>
                  <w:r>
                    <w:rPr>
                      <w:szCs w:val="21"/>
                    </w:rPr>
                    <w:t>mg/m</w:t>
                  </w:r>
                  <w:r>
                    <w:rPr>
                      <w:szCs w:val="21"/>
                      <w:vertAlign w:val="superscript"/>
                    </w:rPr>
                    <w:t>3</w:t>
                  </w:r>
                  <w:r>
                    <w:rPr>
                      <w:rFonts w:hAnsi="宋体"/>
                      <w:szCs w:val="21"/>
                    </w:rPr>
                    <w:t>）</w:t>
                  </w:r>
                </w:p>
              </w:tc>
              <w:tc>
                <w:tcPr>
                  <w:tcW w:w="4624" w:type="dxa"/>
                  <w:gridSpan w:val="3"/>
                  <w:shd w:val="clear" w:color="auto" w:fill="D7D7D7"/>
                  <w:vAlign w:val="center"/>
                </w:tcPr>
                <w:p>
                  <w:pPr>
                    <w:keepNext w:val="0"/>
                    <w:keepLines w:val="0"/>
                    <w:suppressLineNumbers w:val="0"/>
                    <w:spacing w:before="0" w:beforeAutospacing="0" w:after="0" w:afterAutospacing="0"/>
                    <w:ind w:left="0" w:right="0"/>
                    <w:jc w:val="center"/>
                    <w:rPr>
                      <w:szCs w:val="21"/>
                    </w:rPr>
                  </w:pPr>
                  <w:r>
                    <w:rPr>
                      <w:szCs w:val="21"/>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66" w:type="dxa"/>
                  <w:shd w:val="clear" w:color="auto" w:fill="auto"/>
                  <w:vAlign w:val="center"/>
                </w:tcPr>
                <w:p>
                  <w:pPr>
                    <w:keepNext w:val="0"/>
                    <w:keepLines w:val="0"/>
                    <w:suppressLineNumbers w:val="0"/>
                    <w:spacing w:before="0" w:beforeAutospacing="0" w:after="0" w:afterAutospacing="0"/>
                    <w:ind w:left="0" w:right="0"/>
                    <w:jc w:val="center"/>
                    <w:rPr>
                      <w:szCs w:val="21"/>
                    </w:rPr>
                  </w:pPr>
                  <w:r>
                    <w:rPr>
                      <w:rFonts w:hAnsi="宋体"/>
                      <w:szCs w:val="21"/>
                    </w:rPr>
                    <w:t>净化设施最低去除率（</w:t>
                  </w:r>
                  <w:r>
                    <w:rPr>
                      <w:szCs w:val="21"/>
                    </w:rPr>
                    <w:t>%</w:t>
                  </w:r>
                  <w:r>
                    <w:rPr>
                      <w:rFonts w:hAnsi="宋体"/>
                      <w:szCs w:val="21"/>
                    </w:rPr>
                    <w:t>）</w:t>
                  </w:r>
                </w:p>
              </w:tc>
              <w:tc>
                <w:tcPr>
                  <w:tcW w:w="1741" w:type="dxa"/>
                  <w:shd w:val="clear" w:color="auto" w:fill="D7D7D7"/>
                  <w:vAlign w:val="center"/>
                </w:tcPr>
                <w:p>
                  <w:pPr>
                    <w:keepNext w:val="0"/>
                    <w:keepLines w:val="0"/>
                    <w:suppressLineNumbers w:val="0"/>
                    <w:spacing w:before="0" w:beforeAutospacing="0" w:after="0" w:afterAutospacing="0"/>
                    <w:ind w:left="0" w:right="0"/>
                    <w:jc w:val="center"/>
                    <w:rPr>
                      <w:szCs w:val="21"/>
                    </w:rPr>
                  </w:pPr>
                  <w:r>
                    <w:rPr>
                      <w:szCs w:val="21"/>
                    </w:rPr>
                    <w:t>60</w:t>
                  </w:r>
                </w:p>
              </w:tc>
              <w:tc>
                <w:tcPr>
                  <w:tcW w:w="1530" w:type="dxa"/>
                  <w:shd w:val="clear" w:color="auto" w:fill="auto"/>
                  <w:vAlign w:val="center"/>
                </w:tcPr>
                <w:p>
                  <w:pPr>
                    <w:keepNext w:val="0"/>
                    <w:keepLines w:val="0"/>
                    <w:suppressLineNumbers w:val="0"/>
                    <w:spacing w:before="0" w:beforeAutospacing="0" w:after="0" w:afterAutospacing="0"/>
                    <w:ind w:left="0" w:right="0"/>
                    <w:jc w:val="center"/>
                    <w:rPr>
                      <w:szCs w:val="21"/>
                    </w:rPr>
                  </w:pPr>
                  <w:r>
                    <w:rPr>
                      <w:szCs w:val="21"/>
                    </w:rPr>
                    <w:t>75</w:t>
                  </w:r>
                </w:p>
              </w:tc>
              <w:tc>
                <w:tcPr>
                  <w:tcW w:w="1353" w:type="dxa"/>
                  <w:shd w:val="clear" w:color="auto" w:fill="FFFFFF"/>
                  <w:vAlign w:val="center"/>
                </w:tcPr>
                <w:p>
                  <w:pPr>
                    <w:keepNext w:val="0"/>
                    <w:keepLines w:val="0"/>
                    <w:suppressLineNumbers w:val="0"/>
                    <w:spacing w:before="0" w:beforeAutospacing="0" w:after="0" w:afterAutospacing="0"/>
                    <w:ind w:left="0" w:right="0"/>
                    <w:jc w:val="center"/>
                    <w:rPr>
                      <w:szCs w:val="21"/>
                    </w:rPr>
                  </w:pPr>
                  <w:r>
                    <w:rPr>
                      <w:szCs w:val="21"/>
                    </w:rPr>
                    <w:t>85</w:t>
                  </w:r>
                </w:p>
              </w:tc>
            </w:tr>
          </w:tbl>
          <w:p>
            <w:pPr>
              <w:keepNext w:val="0"/>
              <w:keepLines w:val="0"/>
              <w:suppressLineNumbers w:val="0"/>
              <w:adjustRightInd w:val="0"/>
              <w:snapToGrid w:val="0"/>
              <w:spacing w:before="0" w:beforeAutospacing="0" w:after="0" w:afterAutospacing="0" w:line="360" w:lineRule="auto"/>
              <w:ind w:left="0" w:right="0"/>
              <w:rPr>
                <w:b/>
                <w:sz w:val="24"/>
              </w:rPr>
            </w:pPr>
            <w:r>
              <w:rPr>
                <w:rFonts w:hint="eastAsia"/>
                <w:b/>
                <w:sz w:val="24"/>
              </w:rPr>
              <w:t>2、</w:t>
            </w:r>
            <w:r>
              <w:rPr>
                <w:b/>
                <w:sz w:val="24"/>
              </w:rPr>
              <w:t>废水</w:t>
            </w:r>
            <w:r>
              <w:rPr>
                <w:rFonts w:hint="eastAsia"/>
                <w:b/>
                <w:sz w:val="24"/>
              </w:rPr>
              <w:t>排放标准</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sz w:val="24"/>
              </w:rPr>
              <w:t>项目</w:t>
            </w:r>
            <w:r>
              <w:rPr>
                <w:rFonts w:hint="eastAsia"/>
                <w:bCs/>
                <w:sz w:val="24"/>
              </w:rPr>
              <w:t>食堂废水经隔油池处理后与</w:t>
            </w:r>
            <w:r>
              <w:rPr>
                <w:bCs/>
                <w:sz w:val="24"/>
              </w:rPr>
              <w:t>生活污水接入污水管网</w:t>
            </w:r>
            <w:r>
              <w:rPr>
                <w:sz w:val="24"/>
              </w:rPr>
              <w:t>，排入</w:t>
            </w:r>
            <w:r>
              <w:rPr>
                <w:rFonts w:hint="eastAsia"/>
                <w:sz w:val="24"/>
              </w:rPr>
              <w:t>武南</w:t>
            </w:r>
            <w:r>
              <w:rPr>
                <w:sz w:val="24"/>
              </w:rPr>
              <w:t>污水处理厂集中处理，尾水排入</w:t>
            </w:r>
            <w:r>
              <w:rPr>
                <w:rFonts w:hint="eastAsia"/>
                <w:sz w:val="24"/>
              </w:rPr>
              <w:t>武南</w:t>
            </w:r>
            <w:r>
              <w:rPr>
                <w:sz w:val="24"/>
              </w:rPr>
              <w:t>河。</w:t>
            </w:r>
            <w:r>
              <w:rPr>
                <w:rFonts w:hint="eastAsia"/>
                <w:sz w:val="24"/>
              </w:rPr>
              <w:t>武南</w:t>
            </w:r>
            <w:r>
              <w:rPr>
                <w:sz w:val="24"/>
              </w:rPr>
              <w:t>污水处理厂接管标准执行《污水排入城镇下水道水质标准》（GB/T31962-2015）表1中B级标准，污水处理厂尾水排放执行《太湖地区城镇污水处理厂及重点工业行业主要水污染物排放限值》（DB32/1072-20</w:t>
            </w:r>
            <w:r>
              <w:rPr>
                <w:rFonts w:hint="eastAsia"/>
                <w:sz w:val="24"/>
              </w:rPr>
              <w:t>18</w:t>
            </w:r>
            <w:r>
              <w:rPr>
                <w:sz w:val="24"/>
              </w:rPr>
              <w:t>）表2中城镇污水处理厂标准</w:t>
            </w:r>
            <w:r>
              <w:rPr>
                <w:rFonts w:hint="eastAsia"/>
                <w:sz w:val="24"/>
              </w:rPr>
              <w:t>，</w:t>
            </w:r>
            <w:r>
              <w:rPr>
                <w:bCs/>
                <w:sz w:val="24"/>
              </w:rPr>
              <w:t>上述未作规定的项目执行《城镇污水处理厂污染物排放标准》GB18918-2002）中表1一级A标准</w:t>
            </w:r>
            <w:r>
              <w:rPr>
                <w:sz w:val="24"/>
              </w:rPr>
              <w:t>，标准值如下：</w:t>
            </w:r>
          </w:p>
          <w:p>
            <w:pPr>
              <w:keepNext w:val="0"/>
              <w:keepLines w:val="0"/>
              <w:suppressLineNumbers w:val="0"/>
              <w:spacing w:before="0" w:beforeAutospacing="0" w:after="0" w:afterAutospacing="0"/>
              <w:ind w:left="0" w:right="0"/>
              <w:jc w:val="center"/>
              <w:rPr>
                <w:b/>
                <w:sz w:val="24"/>
              </w:rPr>
            </w:pPr>
            <w:r>
              <w:rPr>
                <w:b/>
                <w:sz w:val="24"/>
              </w:rPr>
              <w:t>表</w:t>
            </w:r>
            <w:r>
              <w:rPr>
                <w:rFonts w:hint="eastAsia"/>
                <w:b/>
                <w:sz w:val="24"/>
              </w:rPr>
              <w:t xml:space="preserve">3-10 </w:t>
            </w:r>
            <w:r>
              <w:rPr>
                <w:b/>
                <w:sz w:val="24"/>
              </w:rPr>
              <w:t>水污染物排放标准</w:t>
            </w:r>
          </w:p>
          <w:tbl>
            <w:tblPr>
              <w:tblStyle w:val="2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23"/>
              <w:gridCol w:w="2891"/>
              <w:gridCol w:w="1000"/>
              <w:gridCol w:w="1076"/>
              <w:gridCol w:w="722"/>
              <w:gridCol w:w="96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471" w:type="dxa"/>
                  <w:tcMar>
                    <w:left w:w="0" w:type="dxa"/>
                    <w:right w:w="0" w:type="dxa"/>
                  </w:tcMar>
                  <w:vAlign w:val="center"/>
                </w:tcPr>
                <w:p>
                  <w:pPr>
                    <w:keepNext w:val="0"/>
                    <w:keepLines w:val="0"/>
                    <w:suppressLineNumbers w:val="0"/>
                    <w:adjustRightInd w:val="0"/>
                    <w:spacing w:before="0" w:beforeAutospacing="0" w:after="0" w:afterAutospacing="0"/>
                    <w:ind w:left="0" w:right="0"/>
                    <w:jc w:val="center"/>
                    <w:rPr>
                      <w:b/>
                      <w:szCs w:val="21"/>
                    </w:rPr>
                  </w:pPr>
                  <w:r>
                    <w:rPr>
                      <w:b/>
                      <w:szCs w:val="21"/>
                    </w:rPr>
                    <w:t>排放口</w:t>
                  </w:r>
                </w:p>
                <w:p>
                  <w:pPr>
                    <w:keepNext w:val="0"/>
                    <w:keepLines w:val="0"/>
                    <w:suppressLineNumbers w:val="0"/>
                    <w:adjustRightInd w:val="0"/>
                    <w:spacing w:before="0" w:beforeAutospacing="0" w:after="0" w:afterAutospacing="0"/>
                    <w:ind w:left="0" w:right="0"/>
                    <w:jc w:val="center"/>
                    <w:rPr>
                      <w:b/>
                      <w:szCs w:val="21"/>
                    </w:rPr>
                  </w:pPr>
                  <w:r>
                    <w:rPr>
                      <w:b/>
                      <w:szCs w:val="21"/>
                    </w:rPr>
                    <w:t>名称</w:t>
                  </w:r>
                </w:p>
              </w:tc>
              <w:tc>
                <w:tcPr>
                  <w:tcW w:w="3016" w:type="dxa"/>
                  <w:vAlign w:val="center"/>
                </w:tcPr>
                <w:p>
                  <w:pPr>
                    <w:keepNext w:val="0"/>
                    <w:keepLines w:val="0"/>
                    <w:suppressLineNumbers w:val="0"/>
                    <w:adjustRightInd w:val="0"/>
                    <w:spacing w:before="0" w:beforeAutospacing="0" w:after="0" w:afterAutospacing="0"/>
                    <w:ind w:left="0" w:right="0"/>
                    <w:jc w:val="center"/>
                    <w:rPr>
                      <w:b/>
                      <w:szCs w:val="21"/>
                    </w:rPr>
                  </w:pPr>
                  <w:r>
                    <w:rPr>
                      <w:b/>
                      <w:szCs w:val="21"/>
                    </w:rPr>
                    <w:t>执行标准</w:t>
                  </w:r>
                </w:p>
              </w:tc>
              <w:tc>
                <w:tcPr>
                  <w:tcW w:w="1088" w:type="dxa"/>
                  <w:tcMar>
                    <w:left w:w="0" w:type="dxa"/>
                    <w:right w:w="0" w:type="dxa"/>
                  </w:tcMar>
                  <w:vAlign w:val="center"/>
                </w:tcPr>
                <w:p>
                  <w:pPr>
                    <w:keepNext w:val="0"/>
                    <w:keepLines w:val="0"/>
                    <w:suppressLineNumbers w:val="0"/>
                    <w:adjustRightInd w:val="0"/>
                    <w:spacing w:before="0" w:beforeAutospacing="0" w:after="0" w:afterAutospacing="0"/>
                    <w:ind w:left="0" w:right="0"/>
                    <w:jc w:val="center"/>
                    <w:rPr>
                      <w:b/>
                      <w:szCs w:val="21"/>
                    </w:rPr>
                  </w:pPr>
                  <w:r>
                    <w:rPr>
                      <w:b/>
                      <w:szCs w:val="21"/>
                    </w:rPr>
                    <w:t>取值表号及级别</w:t>
                  </w:r>
                </w:p>
              </w:tc>
              <w:tc>
                <w:tcPr>
                  <w:tcW w:w="1120" w:type="dxa"/>
                  <w:vAlign w:val="center"/>
                </w:tcPr>
                <w:p>
                  <w:pPr>
                    <w:keepNext w:val="0"/>
                    <w:keepLines w:val="0"/>
                    <w:suppressLineNumbers w:val="0"/>
                    <w:adjustRightInd w:val="0"/>
                    <w:spacing w:before="0" w:beforeAutospacing="0" w:after="0" w:afterAutospacing="0"/>
                    <w:ind w:left="0" w:right="0"/>
                    <w:jc w:val="center"/>
                    <w:rPr>
                      <w:b/>
                      <w:szCs w:val="21"/>
                    </w:rPr>
                  </w:pPr>
                  <w:r>
                    <w:rPr>
                      <w:b/>
                      <w:szCs w:val="21"/>
                    </w:rPr>
                    <w:t>污染物指标</w:t>
                  </w:r>
                </w:p>
              </w:tc>
              <w:tc>
                <w:tcPr>
                  <w:tcW w:w="730" w:type="dxa"/>
                  <w:vAlign w:val="center"/>
                </w:tcPr>
                <w:p>
                  <w:pPr>
                    <w:keepNext w:val="0"/>
                    <w:keepLines w:val="0"/>
                    <w:suppressLineNumbers w:val="0"/>
                    <w:adjustRightInd w:val="0"/>
                    <w:spacing w:before="0" w:beforeAutospacing="0" w:after="0" w:afterAutospacing="0"/>
                    <w:ind w:left="0" w:right="0"/>
                    <w:jc w:val="center"/>
                    <w:rPr>
                      <w:b/>
                      <w:szCs w:val="21"/>
                    </w:rPr>
                  </w:pPr>
                  <w:r>
                    <w:rPr>
                      <w:b/>
                      <w:szCs w:val="21"/>
                    </w:rPr>
                    <w:t>单位</w:t>
                  </w:r>
                </w:p>
              </w:tc>
              <w:tc>
                <w:tcPr>
                  <w:tcW w:w="981" w:type="dxa"/>
                  <w:vAlign w:val="center"/>
                </w:tcPr>
                <w:p>
                  <w:pPr>
                    <w:keepNext w:val="0"/>
                    <w:keepLines w:val="0"/>
                    <w:suppressLineNumbers w:val="0"/>
                    <w:adjustRightInd w:val="0"/>
                    <w:spacing w:before="0" w:beforeAutospacing="0" w:after="0" w:afterAutospacing="0"/>
                    <w:ind w:left="0" w:right="0"/>
                    <w:jc w:val="center"/>
                    <w:rPr>
                      <w:b/>
                      <w:szCs w:val="21"/>
                    </w:rPr>
                  </w:pPr>
                  <w:r>
                    <w:rPr>
                      <w:b/>
                      <w:szCs w:val="21"/>
                    </w:rPr>
                    <w:t>标准限值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471" w:type="dxa"/>
                  <w:vMerge w:val="restart"/>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污水口</w:t>
                  </w:r>
                </w:p>
              </w:tc>
              <w:tc>
                <w:tcPr>
                  <w:tcW w:w="3016" w:type="dxa"/>
                  <w:vMerge w:val="restart"/>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《污水排入城镇下水道水质标准》（GB/T31962-2015）</w:t>
                  </w:r>
                </w:p>
              </w:tc>
              <w:tc>
                <w:tcPr>
                  <w:tcW w:w="1088" w:type="dxa"/>
                  <w:vMerge w:val="restart"/>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表1B级标准</w:t>
                  </w:r>
                </w:p>
              </w:tc>
              <w:tc>
                <w:tcPr>
                  <w:tcW w:w="1120" w:type="dxa"/>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COD</w:t>
                  </w:r>
                </w:p>
              </w:tc>
              <w:tc>
                <w:tcPr>
                  <w:tcW w:w="730" w:type="dxa"/>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mg/L</w:t>
                  </w:r>
                </w:p>
              </w:tc>
              <w:tc>
                <w:tcPr>
                  <w:tcW w:w="981" w:type="dxa"/>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471" w:type="dxa"/>
                  <w:vMerge w:val="continue"/>
                  <w:vAlign w:val="center"/>
                </w:tcPr>
                <w:p>
                  <w:pPr>
                    <w:keepNext w:val="0"/>
                    <w:keepLines w:val="0"/>
                    <w:suppressLineNumbers w:val="0"/>
                    <w:adjustRightInd w:val="0"/>
                    <w:spacing w:before="0" w:beforeAutospacing="0" w:after="0" w:afterAutospacing="0"/>
                    <w:ind w:left="0" w:right="0"/>
                    <w:jc w:val="center"/>
                    <w:rPr>
                      <w:bCs/>
                      <w:szCs w:val="21"/>
                    </w:rPr>
                  </w:pPr>
                </w:p>
              </w:tc>
              <w:tc>
                <w:tcPr>
                  <w:tcW w:w="3016" w:type="dxa"/>
                  <w:vMerge w:val="continue"/>
                  <w:vAlign w:val="center"/>
                </w:tcPr>
                <w:p>
                  <w:pPr>
                    <w:keepNext w:val="0"/>
                    <w:keepLines w:val="0"/>
                    <w:suppressLineNumbers w:val="0"/>
                    <w:adjustRightInd w:val="0"/>
                    <w:spacing w:before="0" w:beforeAutospacing="0" w:after="0" w:afterAutospacing="0"/>
                    <w:ind w:left="0" w:right="0"/>
                    <w:jc w:val="center"/>
                    <w:rPr>
                      <w:bCs/>
                      <w:szCs w:val="21"/>
                    </w:rPr>
                  </w:pPr>
                </w:p>
              </w:tc>
              <w:tc>
                <w:tcPr>
                  <w:tcW w:w="1088" w:type="dxa"/>
                  <w:vMerge w:val="continue"/>
                  <w:vAlign w:val="center"/>
                </w:tcPr>
                <w:p>
                  <w:pPr>
                    <w:keepNext w:val="0"/>
                    <w:keepLines w:val="0"/>
                    <w:suppressLineNumbers w:val="0"/>
                    <w:adjustRightInd w:val="0"/>
                    <w:spacing w:before="0" w:beforeAutospacing="0" w:after="0" w:afterAutospacing="0"/>
                    <w:ind w:left="0" w:right="0"/>
                    <w:jc w:val="center"/>
                    <w:rPr>
                      <w:bCs/>
                      <w:szCs w:val="21"/>
                    </w:rPr>
                  </w:pPr>
                </w:p>
              </w:tc>
              <w:tc>
                <w:tcPr>
                  <w:tcW w:w="1120" w:type="dxa"/>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SS</w:t>
                  </w:r>
                </w:p>
              </w:tc>
              <w:tc>
                <w:tcPr>
                  <w:tcW w:w="730" w:type="dxa"/>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mg/L</w:t>
                  </w:r>
                </w:p>
              </w:tc>
              <w:tc>
                <w:tcPr>
                  <w:tcW w:w="981" w:type="dxa"/>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471" w:type="dxa"/>
                  <w:vMerge w:val="continue"/>
                  <w:vAlign w:val="center"/>
                </w:tcPr>
                <w:p>
                  <w:pPr>
                    <w:keepNext w:val="0"/>
                    <w:keepLines w:val="0"/>
                    <w:suppressLineNumbers w:val="0"/>
                    <w:adjustRightInd w:val="0"/>
                    <w:spacing w:before="0" w:beforeAutospacing="0" w:after="0" w:afterAutospacing="0"/>
                    <w:ind w:left="0" w:right="0"/>
                    <w:jc w:val="center"/>
                    <w:rPr>
                      <w:bCs/>
                      <w:szCs w:val="21"/>
                    </w:rPr>
                  </w:pPr>
                </w:p>
              </w:tc>
              <w:tc>
                <w:tcPr>
                  <w:tcW w:w="3016" w:type="dxa"/>
                  <w:vMerge w:val="continue"/>
                  <w:vAlign w:val="center"/>
                </w:tcPr>
                <w:p>
                  <w:pPr>
                    <w:keepNext w:val="0"/>
                    <w:keepLines w:val="0"/>
                    <w:suppressLineNumbers w:val="0"/>
                    <w:adjustRightInd w:val="0"/>
                    <w:spacing w:before="0" w:beforeAutospacing="0" w:after="0" w:afterAutospacing="0"/>
                    <w:ind w:left="0" w:right="0"/>
                    <w:jc w:val="center"/>
                    <w:rPr>
                      <w:bCs/>
                      <w:szCs w:val="21"/>
                    </w:rPr>
                  </w:pPr>
                </w:p>
              </w:tc>
              <w:tc>
                <w:tcPr>
                  <w:tcW w:w="1088" w:type="dxa"/>
                  <w:vMerge w:val="continue"/>
                  <w:vAlign w:val="center"/>
                </w:tcPr>
                <w:p>
                  <w:pPr>
                    <w:keepNext w:val="0"/>
                    <w:keepLines w:val="0"/>
                    <w:suppressLineNumbers w:val="0"/>
                    <w:adjustRightInd w:val="0"/>
                    <w:spacing w:before="0" w:beforeAutospacing="0" w:after="0" w:afterAutospacing="0"/>
                    <w:ind w:left="0" w:right="0"/>
                    <w:jc w:val="center"/>
                    <w:rPr>
                      <w:bCs/>
                      <w:szCs w:val="21"/>
                    </w:rPr>
                  </w:pPr>
                </w:p>
              </w:tc>
              <w:tc>
                <w:tcPr>
                  <w:tcW w:w="1120" w:type="dxa"/>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TP</w:t>
                  </w:r>
                </w:p>
              </w:tc>
              <w:tc>
                <w:tcPr>
                  <w:tcW w:w="730" w:type="dxa"/>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mg/L</w:t>
                  </w:r>
                </w:p>
              </w:tc>
              <w:tc>
                <w:tcPr>
                  <w:tcW w:w="981" w:type="dxa"/>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471" w:type="dxa"/>
                  <w:vMerge w:val="continue"/>
                  <w:vAlign w:val="center"/>
                </w:tcPr>
                <w:p>
                  <w:pPr>
                    <w:keepNext w:val="0"/>
                    <w:keepLines w:val="0"/>
                    <w:suppressLineNumbers w:val="0"/>
                    <w:adjustRightInd w:val="0"/>
                    <w:spacing w:before="0" w:beforeAutospacing="0" w:after="0" w:afterAutospacing="0"/>
                    <w:ind w:left="0" w:right="0"/>
                    <w:jc w:val="center"/>
                    <w:rPr>
                      <w:bCs/>
                      <w:szCs w:val="21"/>
                    </w:rPr>
                  </w:pPr>
                </w:p>
              </w:tc>
              <w:tc>
                <w:tcPr>
                  <w:tcW w:w="3016" w:type="dxa"/>
                  <w:vMerge w:val="continue"/>
                  <w:vAlign w:val="center"/>
                </w:tcPr>
                <w:p>
                  <w:pPr>
                    <w:keepNext w:val="0"/>
                    <w:keepLines w:val="0"/>
                    <w:suppressLineNumbers w:val="0"/>
                    <w:adjustRightInd w:val="0"/>
                    <w:spacing w:before="0" w:beforeAutospacing="0" w:after="0" w:afterAutospacing="0"/>
                    <w:ind w:left="0" w:right="0"/>
                    <w:jc w:val="center"/>
                    <w:rPr>
                      <w:bCs/>
                      <w:szCs w:val="21"/>
                    </w:rPr>
                  </w:pPr>
                </w:p>
              </w:tc>
              <w:tc>
                <w:tcPr>
                  <w:tcW w:w="1088" w:type="dxa"/>
                  <w:vMerge w:val="continue"/>
                  <w:vAlign w:val="center"/>
                </w:tcPr>
                <w:p>
                  <w:pPr>
                    <w:keepNext w:val="0"/>
                    <w:keepLines w:val="0"/>
                    <w:suppressLineNumbers w:val="0"/>
                    <w:adjustRightInd w:val="0"/>
                    <w:spacing w:before="0" w:beforeAutospacing="0" w:after="0" w:afterAutospacing="0"/>
                    <w:ind w:left="0" w:right="0"/>
                    <w:jc w:val="center"/>
                    <w:rPr>
                      <w:bCs/>
                      <w:szCs w:val="21"/>
                    </w:rPr>
                  </w:pPr>
                </w:p>
              </w:tc>
              <w:tc>
                <w:tcPr>
                  <w:tcW w:w="1120" w:type="dxa"/>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NH</w:t>
                  </w:r>
                  <w:r>
                    <w:rPr>
                      <w:bCs/>
                      <w:szCs w:val="21"/>
                      <w:vertAlign w:val="subscript"/>
                    </w:rPr>
                    <w:t>3</w:t>
                  </w:r>
                  <w:r>
                    <w:rPr>
                      <w:bCs/>
                      <w:szCs w:val="21"/>
                    </w:rPr>
                    <w:t>-N</w:t>
                  </w:r>
                </w:p>
              </w:tc>
              <w:tc>
                <w:tcPr>
                  <w:tcW w:w="730" w:type="dxa"/>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mg/L</w:t>
                  </w:r>
                </w:p>
              </w:tc>
              <w:tc>
                <w:tcPr>
                  <w:tcW w:w="981" w:type="dxa"/>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471" w:type="dxa"/>
                  <w:vMerge w:val="continue"/>
                  <w:vAlign w:val="center"/>
                </w:tcPr>
                <w:p>
                  <w:pPr>
                    <w:keepNext w:val="0"/>
                    <w:keepLines w:val="0"/>
                    <w:suppressLineNumbers w:val="0"/>
                    <w:adjustRightInd w:val="0"/>
                    <w:spacing w:before="0" w:beforeAutospacing="0" w:after="0" w:afterAutospacing="0"/>
                    <w:ind w:left="0" w:right="0"/>
                    <w:jc w:val="center"/>
                    <w:rPr>
                      <w:bCs/>
                      <w:szCs w:val="21"/>
                    </w:rPr>
                  </w:pPr>
                </w:p>
              </w:tc>
              <w:tc>
                <w:tcPr>
                  <w:tcW w:w="3016" w:type="dxa"/>
                  <w:vMerge w:val="continue"/>
                  <w:vAlign w:val="center"/>
                </w:tcPr>
                <w:p>
                  <w:pPr>
                    <w:keepNext w:val="0"/>
                    <w:keepLines w:val="0"/>
                    <w:suppressLineNumbers w:val="0"/>
                    <w:adjustRightInd w:val="0"/>
                    <w:spacing w:before="0" w:beforeAutospacing="0" w:after="0" w:afterAutospacing="0"/>
                    <w:ind w:left="0" w:right="0"/>
                    <w:jc w:val="center"/>
                    <w:rPr>
                      <w:bCs/>
                      <w:szCs w:val="21"/>
                    </w:rPr>
                  </w:pPr>
                </w:p>
              </w:tc>
              <w:tc>
                <w:tcPr>
                  <w:tcW w:w="1088" w:type="dxa"/>
                  <w:vMerge w:val="continue"/>
                  <w:vAlign w:val="center"/>
                </w:tcPr>
                <w:p>
                  <w:pPr>
                    <w:keepNext w:val="0"/>
                    <w:keepLines w:val="0"/>
                    <w:suppressLineNumbers w:val="0"/>
                    <w:adjustRightInd w:val="0"/>
                    <w:spacing w:before="0" w:beforeAutospacing="0" w:after="0" w:afterAutospacing="0"/>
                    <w:ind w:left="0" w:right="0"/>
                    <w:jc w:val="center"/>
                    <w:rPr>
                      <w:bCs/>
                      <w:szCs w:val="21"/>
                    </w:rPr>
                  </w:pPr>
                </w:p>
              </w:tc>
              <w:tc>
                <w:tcPr>
                  <w:tcW w:w="1120" w:type="dxa"/>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TN</w:t>
                  </w:r>
                </w:p>
              </w:tc>
              <w:tc>
                <w:tcPr>
                  <w:tcW w:w="730" w:type="dxa"/>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mg/L</w:t>
                  </w:r>
                </w:p>
              </w:tc>
              <w:tc>
                <w:tcPr>
                  <w:tcW w:w="981" w:type="dxa"/>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70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471" w:type="dxa"/>
                  <w:vMerge w:val="continue"/>
                  <w:vAlign w:val="center"/>
                </w:tcPr>
                <w:p>
                  <w:pPr>
                    <w:keepNext w:val="0"/>
                    <w:keepLines w:val="0"/>
                    <w:suppressLineNumbers w:val="0"/>
                    <w:adjustRightInd w:val="0"/>
                    <w:spacing w:before="0" w:beforeAutospacing="0" w:after="0" w:afterAutospacing="0"/>
                    <w:ind w:left="0" w:right="0"/>
                    <w:jc w:val="center"/>
                    <w:rPr>
                      <w:bCs/>
                      <w:szCs w:val="21"/>
                    </w:rPr>
                  </w:pPr>
                </w:p>
              </w:tc>
              <w:tc>
                <w:tcPr>
                  <w:tcW w:w="3016" w:type="dxa"/>
                  <w:vMerge w:val="continue"/>
                  <w:vAlign w:val="center"/>
                </w:tcPr>
                <w:p>
                  <w:pPr>
                    <w:keepNext w:val="0"/>
                    <w:keepLines w:val="0"/>
                    <w:suppressLineNumbers w:val="0"/>
                    <w:adjustRightInd w:val="0"/>
                    <w:spacing w:before="0" w:beforeAutospacing="0" w:after="0" w:afterAutospacing="0"/>
                    <w:ind w:left="0" w:right="0"/>
                    <w:jc w:val="center"/>
                    <w:rPr>
                      <w:bCs/>
                      <w:szCs w:val="21"/>
                    </w:rPr>
                  </w:pPr>
                </w:p>
              </w:tc>
              <w:tc>
                <w:tcPr>
                  <w:tcW w:w="1088" w:type="dxa"/>
                  <w:vMerge w:val="continue"/>
                  <w:vAlign w:val="center"/>
                </w:tcPr>
                <w:p>
                  <w:pPr>
                    <w:keepNext w:val="0"/>
                    <w:keepLines w:val="0"/>
                    <w:suppressLineNumbers w:val="0"/>
                    <w:adjustRightInd w:val="0"/>
                    <w:spacing w:before="0" w:beforeAutospacing="0" w:after="0" w:afterAutospacing="0"/>
                    <w:ind w:left="0" w:right="0"/>
                    <w:jc w:val="center"/>
                    <w:rPr>
                      <w:bCs/>
                      <w:szCs w:val="21"/>
                    </w:rPr>
                  </w:pPr>
                </w:p>
              </w:tc>
              <w:tc>
                <w:tcPr>
                  <w:tcW w:w="1120" w:type="dxa"/>
                  <w:vAlign w:val="center"/>
                </w:tcPr>
                <w:p>
                  <w:pPr>
                    <w:keepNext w:val="0"/>
                    <w:keepLines w:val="0"/>
                    <w:suppressLineNumbers w:val="0"/>
                    <w:snapToGrid w:val="0"/>
                    <w:spacing w:before="0" w:beforeAutospacing="0" w:after="0" w:afterAutospacing="0"/>
                    <w:ind w:left="0" w:right="0"/>
                    <w:jc w:val="center"/>
                    <w:rPr>
                      <w:bCs/>
                      <w:szCs w:val="21"/>
                    </w:rPr>
                  </w:pPr>
                  <w:r>
                    <w:rPr>
                      <w:szCs w:val="21"/>
                    </w:rPr>
                    <w:t>动植物油</w:t>
                  </w:r>
                </w:p>
              </w:tc>
              <w:tc>
                <w:tcPr>
                  <w:tcW w:w="730" w:type="dxa"/>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mg/L</w:t>
                  </w:r>
                </w:p>
              </w:tc>
              <w:tc>
                <w:tcPr>
                  <w:tcW w:w="981" w:type="dxa"/>
                  <w:vAlign w:val="center"/>
                </w:tcPr>
                <w:p>
                  <w:pPr>
                    <w:keepNext w:val="0"/>
                    <w:keepLines w:val="0"/>
                    <w:suppressLineNumbers w:val="0"/>
                    <w:snapToGrid w:val="0"/>
                    <w:spacing w:before="0" w:beforeAutospacing="0" w:after="0" w:afterAutospacing="0"/>
                    <w:ind w:left="0" w:right="0"/>
                    <w:jc w:val="center"/>
                    <w:rPr>
                      <w:bCs/>
                      <w:szCs w:val="21"/>
                    </w:rPr>
                  </w:pPr>
                  <w:r>
                    <w:rPr>
                      <w:szCs w:val="21"/>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3" w:hRule="atLeast"/>
                <w:jc w:val="center"/>
              </w:trPr>
              <w:tc>
                <w:tcPr>
                  <w:tcW w:w="1471" w:type="dxa"/>
                  <w:vMerge w:val="restart"/>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污水处理厂排口</w:t>
                  </w:r>
                </w:p>
              </w:tc>
              <w:tc>
                <w:tcPr>
                  <w:tcW w:w="3016" w:type="dxa"/>
                  <w:vMerge w:val="restart"/>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《城镇污水处理厂污染物排放标准》(GB18918-2002)</w:t>
                  </w:r>
                </w:p>
              </w:tc>
              <w:tc>
                <w:tcPr>
                  <w:tcW w:w="1088" w:type="dxa"/>
                  <w:vMerge w:val="restart"/>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表1</w:t>
                  </w:r>
                </w:p>
                <w:p>
                  <w:pPr>
                    <w:keepNext w:val="0"/>
                    <w:keepLines w:val="0"/>
                    <w:suppressLineNumbers w:val="0"/>
                    <w:adjustRightInd w:val="0"/>
                    <w:spacing w:before="0" w:beforeAutospacing="0" w:after="0" w:afterAutospacing="0"/>
                    <w:ind w:left="0" w:right="0"/>
                    <w:jc w:val="center"/>
                    <w:rPr>
                      <w:bCs/>
                      <w:szCs w:val="21"/>
                    </w:rPr>
                  </w:pPr>
                  <w:r>
                    <w:rPr>
                      <w:bCs/>
                      <w:szCs w:val="21"/>
                    </w:rPr>
                    <w:t>一级A标准</w:t>
                  </w:r>
                </w:p>
              </w:tc>
              <w:tc>
                <w:tcPr>
                  <w:tcW w:w="1120" w:type="dxa"/>
                  <w:vAlign w:val="center"/>
                </w:tcPr>
                <w:p>
                  <w:pPr>
                    <w:keepNext w:val="0"/>
                    <w:keepLines w:val="0"/>
                    <w:suppressLineNumbers w:val="0"/>
                    <w:adjustRightInd w:val="0"/>
                    <w:spacing w:before="0" w:beforeAutospacing="0" w:after="0" w:afterAutospacing="0"/>
                    <w:ind w:left="0" w:right="0"/>
                    <w:jc w:val="center"/>
                    <w:rPr>
                      <w:bCs/>
                      <w:szCs w:val="21"/>
                    </w:rPr>
                  </w:pPr>
                  <w:r>
                    <w:rPr>
                      <w:rFonts w:hint="eastAsia"/>
                      <w:bCs/>
                      <w:szCs w:val="21"/>
                    </w:rPr>
                    <w:t>p</w:t>
                  </w:r>
                  <w:r>
                    <w:rPr>
                      <w:bCs/>
                      <w:szCs w:val="21"/>
                    </w:rPr>
                    <w:t>H</w:t>
                  </w:r>
                </w:p>
              </w:tc>
              <w:tc>
                <w:tcPr>
                  <w:tcW w:w="730" w:type="dxa"/>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w:t>
                  </w:r>
                </w:p>
              </w:tc>
              <w:tc>
                <w:tcPr>
                  <w:tcW w:w="981" w:type="dxa"/>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6-9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471" w:type="dxa"/>
                  <w:vMerge w:val="continue"/>
                  <w:vAlign w:val="center"/>
                </w:tcPr>
                <w:p>
                  <w:pPr>
                    <w:keepNext w:val="0"/>
                    <w:keepLines w:val="0"/>
                    <w:suppressLineNumbers w:val="0"/>
                    <w:adjustRightInd w:val="0"/>
                    <w:spacing w:before="0" w:beforeAutospacing="0" w:after="0" w:afterAutospacing="0"/>
                    <w:ind w:left="0" w:right="0"/>
                    <w:jc w:val="center"/>
                    <w:rPr>
                      <w:bCs/>
                      <w:szCs w:val="21"/>
                    </w:rPr>
                  </w:pPr>
                </w:p>
              </w:tc>
              <w:tc>
                <w:tcPr>
                  <w:tcW w:w="3016" w:type="dxa"/>
                  <w:vMerge w:val="continue"/>
                  <w:vAlign w:val="center"/>
                </w:tcPr>
                <w:p>
                  <w:pPr>
                    <w:keepNext w:val="0"/>
                    <w:keepLines w:val="0"/>
                    <w:suppressLineNumbers w:val="0"/>
                    <w:adjustRightInd w:val="0"/>
                    <w:spacing w:before="0" w:beforeAutospacing="0" w:after="0" w:afterAutospacing="0"/>
                    <w:ind w:left="0" w:right="0"/>
                    <w:jc w:val="center"/>
                    <w:rPr>
                      <w:bCs/>
                      <w:szCs w:val="21"/>
                    </w:rPr>
                  </w:pPr>
                </w:p>
              </w:tc>
              <w:tc>
                <w:tcPr>
                  <w:tcW w:w="1088" w:type="dxa"/>
                  <w:vMerge w:val="continue"/>
                  <w:vAlign w:val="center"/>
                </w:tcPr>
                <w:p>
                  <w:pPr>
                    <w:keepNext w:val="0"/>
                    <w:keepLines w:val="0"/>
                    <w:suppressLineNumbers w:val="0"/>
                    <w:adjustRightInd w:val="0"/>
                    <w:spacing w:before="0" w:beforeAutospacing="0" w:after="0" w:afterAutospacing="0"/>
                    <w:ind w:left="0" w:right="0"/>
                    <w:jc w:val="center"/>
                    <w:rPr>
                      <w:bCs/>
                      <w:szCs w:val="21"/>
                    </w:rPr>
                  </w:pPr>
                </w:p>
              </w:tc>
              <w:tc>
                <w:tcPr>
                  <w:tcW w:w="1120" w:type="dxa"/>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SS</w:t>
                  </w:r>
                </w:p>
              </w:tc>
              <w:tc>
                <w:tcPr>
                  <w:tcW w:w="730" w:type="dxa"/>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mg/L</w:t>
                  </w:r>
                </w:p>
              </w:tc>
              <w:tc>
                <w:tcPr>
                  <w:tcW w:w="981" w:type="dxa"/>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471" w:type="dxa"/>
                  <w:vMerge w:val="continue"/>
                  <w:vAlign w:val="center"/>
                </w:tcPr>
                <w:p>
                  <w:pPr>
                    <w:keepNext w:val="0"/>
                    <w:keepLines w:val="0"/>
                    <w:suppressLineNumbers w:val="0"/>
                    <w:adjustRightInd w:val="0"/>
                    <w:spacing w:before="0" w:beforeAutospacing="0" w:after="0" w:afterAutospacing="0"/>
                    <w:ind w:left="0" w:right="0"/>
                    <w:jc w:val="center"/>
                    <w:rPr>
                      <w:bCs/>
                      <w:szCs w:val="21"/>
                    </w:rPr>
                  </w:pPr>
                </w:p>
              </w:tc>
              <w:tc>
                <w:tcPr>
                  <w:tcW w:w="3016" w:type="dxa"/>
                  <w:vMerge w:val="continue"/>
                  <w:vAlign w:val="center"/>
                </w:tcPr>
                <w:p>
                  <w:pPr>
                    <w:keepNext w:val="0"/>
                    <w:keepLines w:val="0"/>
                    <w:suppressLineNumbers w:val="0"/>
                    <w:adjustRightInd w:val="0"/>
                    <w:spacing w:before="0" w:beforeAutospacing="0" w:after="0" w:afterAutospacing="0"/>
                    <w:ind w:left="0" w:right="0"/>
                    <w:jc w:val="center"/>
                    <w:rPr>
                      <w:bCs/>
                      <w:szCs w:val="21"/>
                    </w:rPr>
                  </w:pPr>
                </w:p>
              </w:tc>
              <w:tc>
                <w:tcPr>
                  <w:tcW w:w="1088" w:type="dxa"/>
                  <w:vMerge w:val="continue"/>
                  <w:vAlign w:val="center"/>
                </w:tcPr>
                <w:p>
                  <w:pPr>
                    <w:keepNext w:val="0"/>
                    <w:keepLines w:val="0"/>
                    <w:suppressLineNumbers w:val="0"/>
                    <w:adjustRightInd w:val="0"/>
                    <w:spacing w:before="0" w:beforeAutospacing="0" w:after="0" w:afterAutospacing="0"/>
                    <w:ind w:left="0" w:right="0"/>
                    <w:jc w:val="center"/>
                    <w:rPr>
                      <w:bCs/>
                      <w:szCs w:val="21"/>
                    </w:rPr>
                  </w:pPr>
                </w:p>
              </w:tc>
              <w:tc>
                <w:tcPr>
                  <w:tcW w:w="1120" w:type="dxa"/>
                  <w:vAlign w:val="center"/>
                </w:tcPr>
                <w:p>
                  <w:pPr>
                    <w:keepNext w:val="0"/>
                    <w:keepLines w:val="0"/>
                    <w:suppressLineNumbers w:val="0"/>
                    <w:snapToGrid w:val="0"/>
                    <w:spacing w:before="0" w:beforeAutospacing="0" w:after="0" w:afterAutospacing="0"/>
                    <w:ind w:left="0" w:right="0"/>
                    <w:jc w:val="center"/>
                    <w:rPr>
                      <w:bCs/>
                      <w:szCs w:val="21"/>
                    </w:rPr>
                  </w:pPr>
                  <w:r>
                    <w:rPr>
                      <w:szCs w:val="21"/>
                    </w:rPr>
                    <w:t>动植物油</w:t>
                  </w:r>
                </w:p>
              </w:tc>
              <w:tc>
                <w:tcPr>
                  <w:tcW w:w="730" w:type="dxa"/>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mg/L</w:t>
                  </w:r>
                </w:p>
              </w:tc>
              <w:tc>
                <w:tcPr>
                  <w:tcW w:w="981" w:type="dxa"/>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471" w:type="dxa"/>
                  <w:vMerge w:val="continue"/>
                  <w:vAlign w:val="center"/>
                </w:tcPr>
                <w:p>
                  <w:pPr>
                    <w:keepNext w:val="0"/>
                    <w:keepLines w:val="0"/>
                    <w:suppressLineNumbers w:val="0"/>
                    <w:adjustRightInd w:val="0"/>
                    <w:spacing w:before="0" w:beforeAutospacing="0" w:after="0" w:afterAutospacing="0"/>
                    <w:ind w:left="0" w:right="0"/>
                    <w:jc w:val="center"/>
                    <w:rPr>
                      <w:bCs/>
                      <w:szCs w:val="21"/>
                    </w:rPr>
                  </w:pPr>
                </w:p>
              </w:tc>
              <w:tc>
                <w:tcPr>
                  <w:tcW w:w="3016" w:type="dxa"/>
                  <w:vMerge w:val="restart"/>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《太湖地区城镇污水处理厂及重点工业行业主要水污染物排放限值》(DB32/1072-2018)</w:t>
                  </w:r>
                </w:p>
              </w:tc>
              <w:tc>
                <w:tcPr>
                  <w:tcW w:w="1088" w:type="dxa"/>
                  <w:vMerge w:val="restart"/>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表2</w:t>
                  </w:r>
                </w:p>
              </w:tc>
              <w:tc>
                <w:tcPr>
                  <w:tcW w:w="1120" w:type="dxa"/>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COD</w:t>
                  </w:r>
                </w:p>
              </w:tc>
              <w:tc>
                <w:tcPr>
                  <w:tcW w:w="730" w:type="dxa"/>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mg/L</w:t>
                  </w:r>
                </w:p>
              </w:tc>
              <w:tc>
                <w:tcPr>
                  <w:tcW w:w="981" w:type="dxa"/>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471" w:type="dxa"/>
                  <w:vMerge w:val="continue"/>
                  <w:vAlign w:val="center"/>
                </w:tcPr>
                <w:p>
                  <w:pPr>
                    <w:keepNext w:val="0"/>
                    <w:keepLines w:val="0"/>
                    <w:suppressLineNumbers w:val="0"/>
                    <w:adjustRightInd w:val="0"/>
                    <w:spacing w:before="0" w:beforeAutospacing="0" w:after="0" w:afterAutospacing="0"/>
                    <w:ind w:left="0" w:right="0"/>
                    <w:jc w:val="center"/>
                    <w:rPr>
                      <w:bCs/>
                      <w:szCs w:val="21"/>
                    </w:rPr>
                  </w:pPr>
                </w:p>
              </w:tc>
              <w:tc>
                <w:tcPr>
                  <w:tcW w:w="3016" w:type="dxa"/>
                  <w:vMerge w:val="continue"/>
                  <w:vAlign w:val="center"/>
                </w:tcPr>
                <w:p>
                  <w:pPr>
                    <w:keepNext w:val="0"/>
                    <w:keepLines w:val="0"/>
                    <w:suppressLineNumbers w:val="0"/>
                    <w:adjustRightInd w:val="0"/>
                    <w:spacing w:before="0" w:beforeAutospacing="0" w:after="0" w:afterAutospacing="0"/>
                    <w:ind w:left="0" w:right="0"/>
                    <w:jc w:val="center"/>
                    <w:rPr>
                      <w:bCs/>
                      <w:szCs w:val="21"/>
                    </w:rPr>
                  </w:pPr>
                </w:p>
              </w:tc>
              <w:tc>
                <w:tcPr>
                  <w:tcW w:w="1088" w:type="dxa"/>
                  <w:vMerge w:val="continue"/>
                  <w:vAlign w:val="center"/>
                </w:tcPr>
                <w:p>
                  <w:pPr>
                    <w:keepNext w:val="0"/>
                    <w:keepLines w:val="0"/>
                    <w:suppressLineNumbers w:val="0"/>
                    <w:adjustRightInd w:val="0"/>
                    <w:spacing w:before="0" w:beforeAutospacing="0" w:after="0" w:afterAutospacing="0"/>
                    <w:ind w:left="0" w:right="0"/>
                    <w:jc w:val="center"/>
                    <w:rPr>
                      <w:bCs/>
                      <w:szCs w:val="21"/>
                    </w:rPr>
                  </w:pPr>
                </w:p>
              </w:tc>
              <w:tc>
                <w:tcPr>
                  <w:tcW w:w="1120" w:type="dxa"/>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NH</w:t>
                  </w:r>
                  <w:r>
                    <w:rPr>
                      <w:bCs/>
                      <w:szCs w:val="21"/>
                      <w:vertAlign w:val="subscript"/>
                    </w:rPr>
                    <w:t>3</w:t>
                  </w:r>
                  <w:r>
                    <w:rPr>
                      <w:bCs/>
                      <w:szCs w:val="21"/>
                    </w:rPr>
                    <w:t>-N</w:t>
                  </w:r>
                </w:p>
              </w:tc>
              <w:tc>
                <w:tcPr>
                  <w:tcW w:w="730" w:type="dxa"/>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mg/L</w:t>
                  </w:r>
                </w:p>
              </w:tc>
              <w:tc>
                <w:tcPr>
                  <w:tcW w:w="981" w:type="dxa"/>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4（6）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471" w:type="dxa"/>
                  <w:vMerge w:val="continue"/>
                  <w:vAlign w:val="center"/>
                </w:tcPr>
                <w:p>
                  <w:pPr>
                    <w:keepNext w:val="0"/>
                    <w:keepLines w:val="0"/>
                    <w:suppressLineNumbers w:val="0"/>
                    <w:adjustRightInd w:val="0"/>
                    <w:spacing w:before="0" w:beforeAutospacing="0" w:after="0" w:afterAutospacing="0"/>
                    <w:ind w:left="0" w:right="0"/>
                    <w:jc w:val="center"/>
                    <w:rPr>
                      <w:bCs/>
                      <w:szCs w:val="21"/>
                    </w:rPr>
                  </w:pPr>
                </w:p>
              </w:tc>
              <w:tc>
                <w:tcPr>
                  <w:tcW w:w="3016" w:type="dxa"/>
                  <w:vMerge w:val="continue"/>
                  <w:vAlign w:val="center"/>
                </w:tcPr>
                <w:p>
                  <w:pPr>
                    <w:keepNext w:val="0"/>
                    <w:keepLines w:val="0"/>
                    <w:suppressLineNumbers w:val="0"/>
                    <w:adjustRightInd w:val="0"/>
                    <w:spacing w:before="0" w:beforeAutospacing="0" w:after="0" w:afterAutospacing="0"/>
                    <w:ind w:left="0" w:right="0"/>
                    <w:jc w:val="center"/>
                    <w:rPr>
                      <w:bCs/>
                      <w:szCs w:val="21"/>
                    </w:rPr>
                  </w:pPr>
                </w:p>
              </w:tc>
              <w:tc>
                <w:tcPr>
                  <w:tcW w:w="1088" w:type="dxa"/>
                  <w:vMerge w:val="continue"/>
                  <w:vAlign w:val="center"/>
                </w:tcPr>
                <w:p>
                  <w:pPr>
                    <w:keepNext w:val="0"/>
                    <w:keepLines w:val="0"/>
                    <w:suppressLineNumbers w:val="0"/>
                    <w:adjustRightInd w:val="0"/>
                    <w:spacing w:before="0" w:beforeAutospacing="0" w:after="0" w:afterAutospacing="0"/>
                    <w:ind w:left="0" w:right="0"/>
                    <w:jc w:val="center"/>
                    <w:rPr>
                      <w:bCs/>
                      <w:szCs w:val="21"/>
                    </w:rPr>
                  </w:pPr>
                </w:p>
              </w:tc>
              <w:tc>
                <w:tcPr>
                  <w:tcW w:w="1120" w:type="dxa"/>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TP</w:t>
                  </w:r>
                </w:p>
              </w:tc>
              <w:tc>
                <w:tcPr>
                  <w:tcW w:w="730" w:type="dxa"/>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mg/L</w:t>
                  </w:r>
                </w:p>
              </w:tc>
              <w:tc>
                <w:tcPr>
                  <w:tcW w:w="981" w:type="dxa"/>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471" w:type="dxa"/>
                  <w:vMerge w:val="continue"/>
                  <w:vAlign w:val="center"/>
                </w:tcPr>
                <w:p>
                  <w:pPr>
                    <w:keepNext w:val="0"/>
                    <w:keepLines w:val="0"/>
                    <w:suppressLineNumbers w:val="0"/>
                    <w:adjustRightInd w:val="0"/>
                    <w:spacing w:before="0" w:beforeAutospacing="0" w:after="0" w:afterAutospacing="0"/>
                    <w:ind w:left="0" w:right="0"/>
                    <w:jc w:val="center"/>
                    <w:rPr>
                      <w:bCs/>
                      <w:szCs w:val="21"/>
                    </w:rPr>
                  </w:pPr>
                </w:p>
              </w:tc>
              <w:tc>
                <w:tcPr>
                  <w:tcW w:w="3016" w:type="dxa"/>
                  <w:vMerge w:val="continue"/>
                  <w:vAlign w:val="center"/>
                </w:tcPr>
                <w:p>
                  <w:pPr>
                    <w:keepNext w:val="0"/>
                    <w:keepLines w:val="0"/>
                    <w:suppressLineNumbers w:val="0"/>
                    <w:adjustRightInd w:val="0"/>
                    <w:spacing w:before="0" w:beforeAutospacing="0" w:after="0" w:afterAutospacing="0"/>
                    <w:ind w:left="0" w:right="0"/>
                    <w:jc w:val="center"/>
                    <w:rPr>
                      <w:bCs/>
                      <w:szCs w:val="21"/>
                    </w:rPr>
                  </w:pPr>
                </w:p>
              </w:tc>
              <w:tc>
                <w:tcPr>
                  <w:tcW w:w="1088" w:type="dxa"/>
                  <w:vMerge w:val="continue"/>
                  <w:vAlign w:val="center"/>
                </w:tcPr>
                <w:p>
                  <w:pPr>
                    <w:keepNext w:val="0"/>
                    <w:keepLines w:val="0"/>
                    <w:suppressLineNumbers w:val="0"/>
                    <w:adjustRightInd w:val="0"/>
                    <w:spacing w:before="0" w:beforeAutospacing="0" w:after="0" w:afterAutospacing="0"/>
                    <w:ind w:left="0" w:right="0"/>
                    <w:jc w:val="center"/>
                    <w:rPr>
                      <w:bCs/>
                      <w:szCs w:val="21"/>
                    </w:rPr>
                  </w:pPr>
                </w:p>
              </w:tc>
              <w:tc>
                <w:tcPr>
                  <w:tcW w:w="1120" w:type="dxa"/>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TN</w:t>
                  </w:r>
                </w:p>
              </w:tc>
              <w:tc>
                <w:tcPr>
                  <w:tcW w:w="730" w:type="dxa"/>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mg/L</w:t>
                  </w:r>
                </w:p>
              </w:tc>
              <w:tc>
                <w:tcPr>
                  <w:tcW w:w="981" w:type="dxa"/>
                  <w:vAlign w:val="center"/>
                </w:tcPr>
                <w:p>
                  <w:pPr>
                    <w:keepNext w:val="0"/>
                    <w:keepLines w:val="0"/>
                    <w:suppressLineNumbers w:val="0"/>
                    <w:adjustRightInd w:val="0"/>
                    <w:spacing w:before="0" w:beforeAutospacing="0" w:after="0" w:afterAutospacing="0"/>
                    <w:ind w:left="0" w:right="0"/>
                    <w:jc w:val="center"/>
                    <w:rPr>
                      <w:bCs/>
                      <w:szCs w:val="21"/>
                    </w:rPr>
                  </w:pPr>
                  <w:r>
                    <w:rPr>
                      <w:bCs/>
                      <w:szCs w:val="21"/>
                    </w:rPr>
                    <w:t>12（15）</w:t>
                  </w:r>
                </w:p>
              </w:tc>
            </w:tr>
          </w:tbl>
          <w:p>
            <w:pPr>
              <w:pStyle w:val="7"/>
              <w:keepNext w:val="0"/>
              <w:keepLines w:val="0"/>
              <w:suppressLineNumbers w:val="0"/>
              <w:snapToGrid/>
              <w:spacing w:before="0" w:beforeAutospacing="0" w:after="0" w:afterAutospacing="0" w:line="360" w:lineRule="auto"/>
              <w:ind w:left="0" w:right="0"/>
              <w:rPr>
                <w:b/>
                <w:color w:val="000000"/>
                <w:sz w:val="21"/>
                <w:szCs w:val="21"/>
              </w:rPr>
            </w:pPr>
            <w:r>
              <w:rPr>
                <w:b/>
                <w:sz w:val="21"/>
                <w:szCs w:val="21"/>
              </w:rPr>
              <w:t>注</w:t>
            </w:r>
            <w:r>
              <w:rPr>
                <w:b/>
                <w:color w:val="000000" w:themeColor="text1"/>
                <w:sz w:val="21"/>
                <w:szCs w:val="21"/>
              </w:rPr>
              <w:t>：</w:t>
            </w:r>
            <w:r>
              <w:rPr>
                <w:b/>
                <w:color w:val="000000"/>
                <w:sz w:val="21"/>
                <w:szCs w:val="21"/>
              </w:rPr>
              <w:t>括号外数值为水温&gt;12</w:t>
            </w:r>
            <w:r>
              <w:rPr>
                <w:rFonts w:hint="eastAsia" w:ascii="宋体" w:hAnsi="宋体" w:cs="宋体"/>
                <w:b/>
                <w:color w:val="000000"/>
                <w:sz w:val="21"/>
                <w:szCs w:val="21"/>
              </w:rPr>
              <w:t>℃</w:t>
            </w:r>
            <w:r>
              <w:rPr>
                <w:b/>
                <w:color w:val="000000"/>
                <w:sz w:val="21"/>
                <w:szCs w:val="21"/>
              </w:rPr>
              <w:t>时的控制指标，括号内数值为水温≤12</w:t>
            </w:r>
            <w:r>
              <w:rPr>
                <w:rFonts w:hint="eastAsia" w:ascii="宋体" w:hAnsi="宋体" w:cs="宋体"/>
                <w:b/>
                <w:color w:val="000000"/>
                <w:sz w:val="21"/>
                <w:szCs w:val="21"/>
              </w:rPr>
              <w:t>℃</w:t>
            </w:r>
            <w:r>
              <w:rPr>
                <w:b/>
                <w:color w:val="000000"/>
                <w:sz w:val="21"/>
                <w:szCs w:val="21"/>
              </w:rPr>
              <w:t>时的控制指标</w:t>
            </w:r>
          </w:p>
          <w:p>
            <w:pPr>
              <w:keepNext w:val="0"/>
              <w:keepLines w:val="0"/>
              <w:suppressLineNumbers w:val="0"/>
              <w:spacing w:before="0" w:beforeAutospacing="0" w:after="0" w:afterAutospacing="0" w:line="360" w:lineRule="auto"/>
              <w:ind w:left="0" w:right="0"/>
              <w:rPr>
                <w:b/>
                <w:sz w:val="24"/>
              </w:rPr>
            </w:pPr>
            <w:r>
              <w:rPr>
                <w:rFonts w:hint="eastAsia"/>
                <w:b/>
                <w:sz w:val="24"/>
              </w:rPr>
              <w:t>3</w:t>
            </w:r>
            <w:r>
              <w:rPr>
                <w:b/>
                <w:sz w:val="24"/>
              </w:rPr>
              <w:t>、噪声</w:t>
            </w:r>
            <w:r>
              <w:rPr>
                <w:rFonts w:hint="eastAsia"/>
                <w:b/>
                <w:sz w:val="24"/>
              </w:rPr>
              <w:t>排放标准</w:t>
            </w:r>
          </w:p>
          <w:p>
            <w:pPr>
              <w:keepNext w:val="0"/>
              <w:keepLines w:val="0"/>
              <w:suppressLineNumbers w:val="0"/>
              <w:spacing w:before="0" w:beforeAutospacing="0" w:after="0" w:afterAutospacing="0" w:line="360" w:lineRule="auto"/>
              <w:ind w:left="0" w:right="0" w:firstLine="480" w:firstLineChars="200"/>
              <w:rPr>
                <w:sz w:val="24"/>
              </w:rPr>
            </w:pPr>
            <w:r>
              <w:rPr>
                <w:sz w:val="24"/>
              </w:rPr>
              <w:t>根据《常州市市区声环境功能区划（2017）》（常政发[2017]161号）</w:t>
            </w:r>
            <w:r>
              <w:rPr>
                <w:rFonts w:hint="eastAsia"/>
                <w:sz w:val="24"/>
              </w:rPr>
              <w:t>、</w:t>
            </w:r>
            <w:r>
              <w:rPr>
                <w:rFonts w:hAnsi="宋体"/>
                <w:bCs/>
                <w:sz w:val="24"/>
              </w:rPr>
              <w:t>《关于加强和规范声环境功能区划分管理工作的通知</w:t>
            </w:r>
            <w:r>
              <w:rPr>
                <w:rFonts w:hint="eastAsia" w:hAnsi="宋体"/>
                <w:bCs/>
                <w:sz w:val="24"/>
              </w:rPr>
              <w:t>》</w:t>
            </w:r>
            <w:r>
              <w:rPr>
                <w:rFonts w:hAnsi="宋体"/>
                <w:bCs/>
                <w:sz w:val="24"/>
              </w:rPr>
              <w:t>（环办大气函[2017]1709号）</w:t>
            </w:r>
            <w:r>
              <w:rPr>
                <w:rFonts w:hint="eastAsia" w:hAnsi="宋体"/>
                <w:bCs/>
                <w:sz w:val="24"/>
              </w:rPr>
              <w:t>及《声环境功能区划分技术规范》（GB/T 15190-2014）</w:t>
            </w:r>
            <w:r>
              <w:rPr>
                <w:rFonts w:hAnsi="宋体"/>
                <w:bCs/>
                <w:sz w:val="24"/>
              </w:rPr>
              <w:t>，</w:t>
            </w:r>
            <w:r>
              <w:rPr>
                <w:rFonts w:hint="eastAsia" w:hAnsi="宋体"/>
                <w:bCs/>
                <w:sz w:val="24"/>
              </w:rPr>
              <w:t>本项目所在区域不属于规划范围内。由于本项目所在地周边为居民、工业混合区</w:t>
            </w:r>
            <w:r>
              <w:rPr>
                <w:rFonts w:hint="eastAsia"/>
                <w:sz w:val="24"/>
              </w:rPr>
              <w:t>，</w:t>
            </w:r>
            <w:r>
              <w:rPr>
                <w:sz w:val="24"/>
              </w:rPr>
              <w:t>本项目营运期厂界噪声执行《工业企业厂界环境噪声排放标准》</w:t>
            </w:r>
            <w:r>
              <w:rPr>
                <w:rFonts w:hint="eastAsia"/>
                <w:sz w:val="24"/>
                <w:lang w:eastAsia="zh-CN"/>
              </w:rPr>
              <w:t>（</w:t>
            </w:r>
            <w:r>
              <w:rPr>
                <w:sz w:val="24"/>
              </w:rPr>
              <w:t>GB12348-2008</w:t>
            </w:r>
            <w:r>
              <w:rPr>
                <w:rFonts w:hint="eastAsia"/>
                <w:sz w:val="24"/>
                <w:lang w:eastAsia="zh-CN"/>
              </w:rPr>
              <w:t>）</w:t>
            </w:r>
            <w:r>
              <w:rPr>
                <w:sz w:val="24"/>
              </w:rPr>
              <w:t>中</w:t>
            </w:r>
            <w:r>
              <w:rPr>
                <w:rFonts w:hint="eastAsia"/>
                <w:sz w:val="24"/>
              </w:rPr>
              <w:t>2</w:t>
            </w:r>
            <w:r>
              <w:rPr>
                <w:sz w:val="24"/>
              </w:rPr>
              <w:t>类标准，具体标准值见下表：</w:t>
            </w:r>
          </w:p>
          <w:p>
            <w:pPr>
              <w:keepNext w:val="0"/>
              <w:keepLines w:val="0"/>
              <w:suppressLineNumbers w:val="0"/>
              <w:wordWrap w:val="0"/>
              <w:adjustRightInd w:val="0"/>
              <w:spacing w:before="0" w:beforeAutospacing="0" w:after="0" w:afterAutospacing="0"/>
              <w:ind w:left="0" w:right="0" w:firstLine="2474" w:firstLineChars="1027"/>
              <w:jc w:val="left"/>
              <w:rPr>
                <w:b/>
                <w:bCs/>
                <w:sz w:val="24"/>
                <w:szCs w:val="22"/>
              </w:rPr>
            </w:pPr>
            <w:r>
              <w:rPr>
                <w:b/>
                <w:bCs/>
                <w:sz w:val="24"/>
                <w:szCs w:val="22"/>
              </w:rPr>
              <w:t>表</w:t>
            </w:r>
            <w:r>
              <w:rPr>
                <w:rFonts w:hint="eastAsia"/>
                <w:b/>
                <w:bCs/>
                <w:sz w:val="24"/>
                <w:szCs w:val="22"/>
              </w:rPr>
              <w:t xml:space="preserve">3-11 </w:t>
            </w:r>
            <w:r>
              <w:rPr>
                <w:b/>
                <w:bCs/>
                <w:sz w:val="24"/>
                <w:szCs w:val="22"/>
              </w:rPr>
              <w:t>营运期噪声排放标准</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425"/>
              <w:gridCol w:w="1842"/>
              <w:gridCol w:w="1844"/>
              <w:gridCol w:w="186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521" w:type="pct"/>
                  <w:vAlign w:val="center"/>
                </w:tcPr>
                <w:p>
                  <w:pPr>
                    <w:keepNext w:val="0"/>
                    <w:keepLines w:val="0"/>
                    <w:suppressLineNumbers w:val="0"/>
                    <w:adjustRightInd w:val="0"/>
                    <w:spacing w:before="0" w:beforeAutospacing="0" w:after="0" w:afterAutospacing="0"/>
                    <w:ind w:left="0" w:right="0"/>
                    <w:jc w:val="center"/>
                    <w:rPr>
                      <w:b/>
                      <w:bCs/>
                      <w:szCs w:val="21"/>
                    </w:rPr>
                  </w:pPr>
                  <w:r>
                    <w:rPr>
                      <w:b/>
                      <w:bCs/>
                      <w:szCs w:val="21"/>
                    </w:rPr>
                    <w:t>声环境功能类别</w:t>
                  </w:r>
                </w:p>
              </w:tc>
              <w:tc>
                <w:tcPr>
                  <w:tcW w:w="1155" w:type="pct"/>
                  <w:vAlign w:val="center"/>
                </w:tcPr>
                <w:p>
                  <w:pPr>
                    <w:keepNext w:val="0"/>
                    <w:keepLines w:val="0"/>
                    <w:suppressLineNumbers w:val="0"/>
                    <w:adjustRightInd w:val="0"/>
                    <w:spacing w:before="0" w:beforeAutospacing="0" w:after="0" w:afterAutospacing="0"/>
                    <w:ind w:left="0" w:right="0"/>
                    <w:jc w:val="center"/>
                    <w:rPr>
                      <w:b/>
                      <w:bCs/>
                      <w:szCs w:val="21"/>
                    </w:rPr>
                  </w:pPr>
                  <w:r>
                    <w:rPr>
                      <w:b/>
                      <w:bCs/>
                      <w:szCs w:val="21"/>
                    </w:rPr>
                    <w:t>昼间</w:t>
                  </w:r>
                </w:p>
              </w:tc>
              <w:tc>
                <w:tcPr>
                  <w:tcW w:w="1156" w:type="pct"/>
                  <w:vAlign w:val="center"/>
                </w:tcPr>
                <w:p>
                  <w:pPr>
                    <w:keepNext w:val="0"/>
                    <w:keepLines w:val="0"/>
                    <w:suppressLineNumbers w:val="0"/>
                    <w:adjustRightInd w:val="0"/>
                    <w:spacing w:before="0" w:beforeAutospacing="0" w:after="0" w:afterAutospacing="0"/>
                    <w:ind w:left="0" w:right="0"/>
                    <w:jc w:val="center"/>
                    <w:rPr>
                      <w:b/>
                      <w:bCs/>
                      <w:szCs w:val="21"/>
                    </w:rPr>
                  </w:pPr>
                  <w:r>
                    <w:rPr>
                      <w:b/>
                      <w:bCs/>
                      <w:szCs w:val="21"/>
                    </w:rPr>
                    <w:t>夜间</w:t>
                  </w:r>
                </w:p>
              </w:tc>
              <w:tc>
                <w:tcPr>
                  <w:tcW w:w="1168" w:type="pct"/>
                  <w:vAlign w:val="center"/>
                </w:tcPr>
                <w:p>
                  <w:pPr>
                    <w:keepNext w:val="0"/>
                    <w:keepLines w:val="0"/>
                    <w:suppressLineNumbers w:val="0"/>
                    <w:adjustRightInd w:val="0"/>
                    <w:spacing w:before="0" w:beforeAutospacing="0" w:after="0" w:afterAutospacing="0"/>
                    <w:ind w:left="0" w:right="0"/>
                    <w:jc w:val="center"/>
                    <w:rPr>
                      <w:b/>
                      <w:bCs/>
                      <w:szCs w:val="21"/>
                    </w:rPr>
                  </w:pPr>
                  <w:r>
                    <w:rPr>
                      <w:b/>
                      <w:bCs/>
                      <w:szCs w:val="21"/>
                    </w:rPr>
                    <w:t>执行区域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521" w:type="pct"/>
                  <w:vAlign w:val="center"/>
                </w:tcPr>
                <w:p>
                  <w:pPr>
                    <w:keepNext w:val="0"/>
                    <w:keepLines w:val="0"/>
                    <w:suppressLineNumbers w:val="0"/>
                    <w:adjustRightInd w:val="0"/>
                    <w:spacing w:before="0" w:beforeAutospacing="0" w:after="0" w:afterAutospacing="0"/>
                    <w:ind w:left="0" w:right="0"/>
                    <w:jc w:val="center"/>
                    <w:rPr>
                      <w:szCs w:val="21"/>
                    </w:rPr>
                  </w:pPr>
                  <w:r>
                    <w:rPr>
                      <w:szCs w:val="21"/>
                    </w:rPr>
                    <w:t>2类</w:t>
                  </w:r>
                </w:p>
              </w:tc>
              <w:tc>
                <w:tcPr>
                  <w:tcW w:w="1155" w:type="pct"/>
                  <w:vAlign w:val="center"/>
                </w:tcPr>
                <w:p>
                  <w:pPr>
                    <w:keepNext w:val="0"/>
                    <w:keepLines w:val="0"/>
                    <w:suppressLineNumbers w:val="0"/>
                    <w:adjustRightInd w:val="0"/>
                    <w:spacing w:before="0" w:beforeAutospacing="0" w:after="0" w:afterAutospacing="0"/>
                    <w:ind w:left="0" w:right="0"/>
                    <w:jc w:val="center"/>
                    <w:rPr>
                      <w:szCs w:val="21"/>
                    </w:rPr>
                  </w:pPr>
                  <w:r>
                    <w:rPr>
                      <w:szCs w:val="21"/>
                    </w:rPr>
                    <w:t>≤60dB（A）</w:t>
                  </w:r>
                </w:p>
              </w:tc>
              <w:tc>
                <w:tcPr>
                  <w:tcW w:w="1156" w:type="pct"/>
                  <w:vAlign w:val="center"/>
                </w:tcPr>
                <w:p>
                  <w:pPr>
                    <w:keepNext w:val="0"/>
                    <w:keepLines w:val="0"/>
                    <w:suppressLineNumbers w:val="0"/>
                    <w:adjustRightInd w:val="0"/>
                    <w:spacing w:before="0" w:beforeAutospacing="0" w:after="0" w:afterAutospacing="0"/>
                    <w:ind w:left="0" w:right="0"/>
                    <w:jc w:val="center"/>
                    <w:rPr>
                      <w:szCs w:val="21"/>
                    </w:rPr>
                  </w:pPr>
                  <w:r>
                    <w:rPr>
                      <w:szCs w:val="21"/>
                    </w:rPr>
                    <w:t>≤50dB（A）</w:t>
                  </w:r>
                </w:p>
              </w:tc>
              <w:tc>
                <w:tcPr>
                  <w:tcW w:w="1168" w:type="pct"/>
                  <w:vAlign w:val="center"/>
                </w:tcPr>
                <w:p>
                  <w:pPr>
                    <w:keepNext w:val="0"/>
                    <w:keepLines w:val="0"/>
                    <w:suppressLineNumbers w:val="0"/>
                    <w:adjustRightInd w:val="0"/>
                    <w:spacing w:before="0" w:beforeAutospacing="0" w:after="0" w:afterAutospacing="0"/>
                    <w:ind w:left="0" w:right="0"/>
                    <w:jc w:val="center"/>
                    <w:rPr>
                      <w:szCs w:val="21"/>
                    </w:rPr>
                  </w:pPr>
                  <w:r>
                    <w:rPr>
                      <w:rFonts w:hint="eastAsia"/>
                      <w:szCs w:val="21"/>
                    </w:rPr>
                    <w:t>厂房四周</w:t>
                  </w:r>
                </w:p>
              </w:tc>
            </w:tr>
          </w:tbl>
          <w:p>
            <w:pPr>
              <w:keepNext w:val="0"/>
              <w:keepLines w:val="0"/>
              <w:suppressLineNumbers w:val="0"/>
              <w:spacing w:before="0" w:beforeAutospacing="0" w:after="0" w:afterAutospacing="0" w:line="360" w:lineRule="auto"/>
              <w:ind w:left="0" w:right="0"/>
              <w:rPr>
                <w:b/>
                <w:sz w:val="24"/>
              </w:rPr>
            </w:pPr>
            <w:r>
              <w:rPr>
                <w:rFonts w:hint="eastAsia"/>
                <w:b/>
                <w:sz w:val="24"/>
              </w:rPr>
              <w:t>4</w:t>
            </w:r>
            <w:r>
              <w:rPr>
                <w:rFonts w:hAnsi="宋体"/>
                <w:b/>
                <w:sz w:val="24"/>
              </w:rPr>
              <w:t>、固废</w:t>
            </w:r>
            <w:r>
              <w:rPr>
                <w:rFonts w:hint="eastAsia" w:hAnsi="宋体"/>
                <w:b/>
                <w:sz w:val="24"/>
              </w:rPr>
              <w:t>标准</w:t>
            </w:r>
          </w:p>
          <w:p>
            <w:pPr>
              <w:keepNext w:val="0"/>
              <w:keepLines w:val="0"/>
              <w:numPr>
                <w:ilvl w:val="0"/>
                <w:numId w:val="1"/>
              </w:numPr>
              <w:suppressLineNumbers w:val="0"/>
              <w:adjustRightInd w:val="0"/>
              <w:spacing w:before="0" w:beforeAutospacing="0" w:after="0" w:afterAutospacing="0" w:line="360" w:lineRule="auto"/>
              <w:ind w:right="0" w:firstLine="468"/>
              <w:rPr>
                <w:rFonts w:ascii="宋体" w:hAnsi="宋体"/>
                <w:sz w:val="24"/>
              </w:rPr>
            </w:pPr>
            <w:r>
              <w:rPr>
                <w:rFonts w:hint="eastAsia" w:ascii="宋体" w:hAnsi="宋体"/>
                <w:spacing w:val="-3"/>
                <w:sz w:val="24"/>
              </w:rPr>
              <w:t>一般固废：执行《一般工业固体废物贮存、处置场污染控制标准》（</w:t>
            </w:r>
            <w:r>
              <w:rPr>
                <w:rFonts w:hint="eastAsia" w:hAnsi="宋体"/>
                <w:spacing w:val="-3"/>
                <w:sz w:val="24"/>
              </w:rPr>
              <w:t>GB18599-2020</w:t>
            </w:r>
            <w:r>
              <w:rPr>
                <w:rFonts w:hint="eastAsia" w:ascii="宋体" w:hAnsi="宋体"/>
                <w:spacing w:val="-3"/>
                <w:sz w:val="24"/>
              </w:rPr>
              <w:t>）；</w:t>
            </w:r>
          </w:p>
          <w:p>
            <w:pPr>
              <w:keepNext w:val="0"/>
              <w:keepLines w:val="0"/>
              <w:numPr>
                <w:ilvl w:val="0"/>
                <w:numId w:val="1"/>
              </w:numPr>
              <w:suppressLineNumbers w:val="0"/>
              <w:adjustRightInd w:val="0"/>
              <w:spacing w:before="0" w:beforeAutospacing="0" w:after="0" w:afterAutospacing="0" w:line="360" w:lineRule="auto"/>
              <w:ind w:right="0" w:firstLine="468"/>
              <w:rPr>
                <w:bCs/>
                <w:sz w:val="24"/>
              </w:rPr>
            </w:pPr>
            <w:r>
              <w:rPr>
                <w:rFonts w:hint="eastAsia" w:ascii="宋体" w:hAnsi="宋体"/>
                <w:spacing w:val="-3"/>
                <w:sz w:val="24"/>
              </w:rPr>
              <w:t>危险废物：</w:t>
            </w:r>
            <w:r>
              <w:rPr>
                <w:bCs/>
                <w:sz w:val="24"/>
              </w:rPr>
              <w:t>执行《危险废物贮存污染控制标准》</w:t>
            </w:r>
            <w:r>
              <w:rPr>
                <w:rFonts w:hint="eastAsia"/>
                <w:bCs/>
                <w:sz w:val="24"/>
                <w:lang w:eastAsia="zh-CN"/>
              </w:rPr>
              <w:t>（</w:t>
            </w:r>
            <w:r>
              <w:rPr>
                <w:bCs/>
                <w:sz w:val="24"/>
              </w:rPr>
              <w:t>GB18597-2001</w:t>
            </w:r>
            <w:r>
              <w:rPr>
                <w:rFonts w:hint="eastAsia"/>
                <w:bCs/>
                <w:sz w:val="24"/>
                <w:lang w:eastAsia="zh-CN"/>
              </w:rPr>
              <w:t>）（</w:t>
            </w:r>
            <w:r>
              <w:rPr>
                <w:bCs/>
                <w:sz w:val="24"/>
              </w:rPr>
              <w:t>2013年修订版</w:t>
            </w:r>
            <w:r>
              <w:rPr>
                <w:rFonts w:hint="eastAsia"/>
                <w:bCs/>
                <w:sz w:val="24"/>
                <w:lang w:eastAsia="zh-CN"/>
              </w:rPr>
              <w:t>）</w:t>
            </w:r>
            <w:r>
              <w:rPr>
                <w:rFonts w:hint="eastAsia"/>
                <w:bCs/>
                <w:sz w:val="24"/>
              </w:rPr>
              <w:t>，</w:t>
            </w:r>
            <w:r>
              <w:rPr>
                <w:bCs/>
                <w:sz w:val="24"/>
              </w:rPr>
              <w:t>同时执行《省生态环境厅关于进一步加强危险废物污染防治工作的实施意见》（苏环办[2019]327号）</w:t>
            </w:r>
            <w:r>
              <w:rPr>
                <w:rFonts w:hint="eastAsia"/>
                <w:bCs/>
                <w:sz w:val="24"/>
              </w:rPr>
              <w:t>、</w:t>
            </w:r>
            <w:r>
              <w:rPr>
                <w:bCs/>
                <w:sz w:val="24"/>
              </w:rPr>
              <w:t>《省生态环境厅关于进一步加强危险废物环境管理工作的通知》（苏环办</w:t>
            </w:r>
            <w:r>
              <w:rPr>
                <w:rFonts w:hint="eastAsia"/>
                <w:bCs/>
                <w:sz w:val="24"/>
                <w:lang w:eastAsia="zh-CN"/>
              </w:rPr>
              <w:t>【</w:t>
            </w:r>
            <w:r>
              <w:rPr>
                <w:bCs/>
                <w:sz w:val="24"/>
              </w:rPr>
              <w:t>2021</w:t>
            </w:r>
            <w:r>
              <w:rPr>
                <w:rFonts w:hint="eastAsia"/>
                <w:bCs/>
                <w:sz w:val="24"/>
                <w:lang w:eastAsia="zh-CN"/>
              </w:rPr>
              <w:t>】</w:t>
            </w:r>
            <w:r>
              <w:rPr>
                <w:bCs/>
                <w:sz w:val="24"/>
              </w:rPr>
              <w:t>207号）的要求</w:t>
            </w:r>
            <w:r>
              <w:rPr>
                <w:rFonts w:hint="eastAsia"/>
                <w:bCs/>
                <w:sz w:val="24"/>
              </w:rPr>
              <w:t>。</w:t>
            </w:r>
          </w:p>
          <w:p>
            <w:pPr>
              <w:pStyle w:val="27"/>
              <w:keepNext w:val="0"/>
              <w:keepLines w:val="0"/>
              <w:suppressLineNumbers w:val="0"/>
              <w:ind w:left="-84" w:firstLine="560"/>
              <w:rPr>
                <w:rFonts w:eastAsiaTheme="minorEastAsia"/>
              </w:rPr>
            </w:pPr>
          </w:p>
          <w:p>
            <w:pPr>
              <w:pStyle w:val="27"/>
              <w:keepNext w:val="0"/>
              <w:keepLines w:val="0"/>
              <w:suppressLineNumbers w:val="0"/>
              <w:ind w:left="-84" w:firstLine="560"/>
              <w:rPr>
                <w:rFonts w:eastAsiaTheme="minorEastAsia"/>
              </w:rPr>
            </w:pPr>
          </w:p>
          <w:p>
            <w:pPr>
              <w:pStyle w:val="27"/>
              <w:keepNext w:val="0"/>
              <w:keepLines w:val="0"/>
              <w:suppressLineNumbers w:val="0"/>
              <w:ind w:left="-84" w:firstLine="560"/>
              <w:rPr>
                <w:rFonts w:eastAsiaTheme="minorEastAsia"/>
              </w:rPr>
            </w:pPr>
          </w:p>
          <w:p>
            <w:pPr>
              <w:pStyle w:val="27"/>
              <w:keepNext w:val="0"/>
              <w:keepLines w:val="0"/>
              <w:suppressLineNumbers w:val="0"/>
              <w:ind w:left="-84" w:firstLine="560"/>
              <w:rPr>
                <w:rFonts w:eastAsiaTheme="minorEastAsia"/>
              </w:rPr>
            </w:pPr>
          </w:p>
          <w:p>
            <w:pPr>
              <w:pStyle w:val="27"/>
              <w:keepNext w:val="0"/>
              <w:keepLines w:val="0"/>
              <w:suppressLineNumbers w:val="0"/>
              <w:ind w:left="-84" w:firstLine="560"/>
              <w:rPr>
                <w:rFonts w:eastAsiaTheme="minorEastAsia"/>
              </w:rPr>
            </w:pPr>
          </w:p>
          <w:p>
            <w:pPr>
              <w:pStyle w:val="27"/>
              <w:keepNext w:val="0"/>
              <w:keepLines w:val="0"/>
              <w:suppressLineNumbers w:val="0"/>
              <w:ind w:left="-84" w:firstLine="560"/>
              <w:rPr>
                <w:rFonts w:eastAsiaTheme="minorEastAsia"/>
              </w:rPr>
            </w:pPr>
          </w:p>
          <w:p>
            <w:pPr>
              <w:pStyle w:val="27"/>
              <w:keepNext w:val="0"/>
              <w:keepLines w:val="0"/>
              <w:suppressLineNumbers w:val="0"/>
              <w:ind w:left="-84" w:firstLine="560"/>
              <w:rPr>
                <w:rFonts w:eastAsiaTheme="minorEastAsia"/>
              </w:rPr>
            </w:pPr>
          </w:p>
          <w:p>
            <w:pPr>
              <w:pStyle w:val="27"/>
              <w:keepNext w:val="0"/>
              <w:keepLines w:val="0"/>
              <w:suppressLineNumbers w:val="0"/>
              <w:ind w:left="-84" w:firstLine="560"/>
              <w:rPr>
                <w:rFonts w:eastAsiaTheme="minorEastAsia"/>
              </w:rPr>
            </w:pPr>
          </w:p>
          <w:p>
            <w:pPr>
              <w:pStyle w:val="27"/>
              <w:keepNext w:val="0"/>
              <w:keepLines w:val="0"/>
              <w:suppressLineNumbers w:val="0"/>
              <w:ind w:left="-84" w:firstLine="560"/>
              <w:rPr>
                <w:rFonts w:eastAsiaTheme="minorEastAsia"/>
              </w:rPr>
            </w:pPr>
          </w:p>
          <w:p>
            <w:pPr>
              <w:pStyle w:val="27"/>
              <w:keepNext w:val="0"/>
              <w:keepLines w:val="0"/>
              <w:suppressLineNumbers w:val="0"/>
              <w:ind w:left="-84" w:firstLine="560"/>
              <w:rPr>
                <w:rFonts w:eastAsiaTheme="minorEastAsia"/>
              </w:rPr>
            </w:pPr>
          </w:p>
          <w:p>
            <w:pPr>
              <w:pStyle w:val="27"/>
              <w:keepNext w:val="0"/>
              <w:keepLines w:val="0"/>
              <w:suppressLineNumbers w:val="0"/>
              <w:ind w:left="-84" w:firstLine="560"/>
              <w:rPr>
                <w:rFonts w:eastAsiaTheme="minorEastAsia"/>
              </w:rPr>
            </w:pPr>
          </w:p>
          <w:p>
            <w:pPr>
              <w:pStyle w:val="27"/>
              <w:keepNext w:val="0"/>
              <w:keepLines w:val="0"/>
              <w:suppressLineNumbers w:val="0"/>
              <w:ind w:left="-84" w:firstLine="560"/>
              <w:rPr>
                <w:rFonts w:eastAsiaTheme="minorEastAsia"/>
              </w:rPr>
            </w:pPr>
          </w:p>
          <w:p>
            <w:pPr>
              <w:pStyle w:val="27"/>
              <w:keepNext w:val="0"/>
              <w:keepLines w:val="0"/>
              <w:suppressLineNumbers w:val="0"/>
              <w:ind w:left="-84" w:firstLine="560"/>
              <w:rPr>
                <w:rFonts w:eastAsiaTheme="minorEastAsia"/>
              </w:rPr>
            </w:pPr>
          </w:p>
          <w:p>
            <w:pPr>
              <w:pStyle w:val="27"/>
              <w:keepNext w:val="0"/>
              <w:keepLines w:val="0"/>
              <w:suppressLineNumbers w:val="0"/>
              <w:ind w:left="-84" w:firstLine="560"/>
              <w:rPr>
                <w:rFonts w:eastAsiaTheme="minorEastAsia"/>
              </w:rPr>
            </w:pPr>
          </w:p>
          <w:p>
            <w:pPr>
              <w:pStyle w:val="27"/>
              <w:keepNext w:val="0"/>
              <w:keepLines w:val="0"/>
              <w:suppressLineNumbers w:val="0"/>
              <w:ind w:left="-84" w:firstLine="560"/>
              <w:rPr>
                <w:rFonts w:eastAsiaTheme="minorEastAsia"/>
              </w:rPr>
            </w:pPr>
          </w:p>
          <w:p>
            <w:pPr>
              <w:pStyle w:val="27"/>
              <w:keepNext w:val="0"/>
              <w:keepLines w:val="0"/>
              <w:suppressLineNumbers w:val="0"/>
              <w:ind w:left="-84" w:firstLine="560"/>
              <w:rPr>
                <w:rFonts w:eastAsiaTheme="minorEastAsia"/>
              </w:rPr>
            </w:pPr>
          </w:p>
          <w:p>
            <w:pPr>
              <w:pStyle w:val="27"/>
              <w:keepNext w:val="0"/>
              <w:keepLines w:val="0"/>
              <w:suppressLineNumbers w:val="0"/>
              <w:ind w:left="-84" w:firstLine="560"/>
              <w:rPr>
                <w:rFonts w:eastAsiaTheme="minorEastAsia"/>
              </w:rPr>
            </w:pPr>
          </w:p>
          <w:p>
            <w:pPr>
              <w:pStyle w:val="27"/>
              <w:keepNext w:val="0"/>
              <w:keepLines w:val="0"/>
              <w:suppressLineNumbers w:val="0"/>
              <w:ind w:left="-84" w:firstLine="560"/>
              <w:rPr>
                <w:rFonts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3" w:hRule="atLeast"/>
          <w:jc w:val="center"/>
        </w:trPr>
        <w:tc>
          <w:tcPr>
            <w:tcW w:w="800" w:type="dxa"/>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kern w:val="0"/>
                <w:szCs w:val="21"/>
              </w:rPr>
            </w:pPr>
            <w:r>
              <w:rPr>
                <w:rFonts w:hint="eastAsia" w:ascii="宋体" w:hAnsi="宋体" w:cs="宋体"/>
                <w:kern w:val="0"/>
                <w:szCs w:val="21"/>
              </w:rPr>
              <w:t>总量</w:t>
            </w:r>
          </w:p>
          <w:p>
            <w:pPr>
              <w:keepNext w:val="0"/>
              <w:keepLines w:val="0"/>
              <w:suppressLineNumbers w:val="0"/>
              <w:adjustRightInd w:val="0"/>
              <w:snapToGrid w:val="0"/>
              <w:spacing w:before="0" w:beforeAutospacing="0" w:after="0" w:afterAutospacing="0"/>
              <w:ind w:left="0" w:right="0"/>
              <w:jc w:val="center"/>
              <w:rPr>
                <w:rFonts w:ascii="宋体" w:hAnsi="宋体" w:cs="宋体"/>
                <w:kern w:val="0"/>
                <w:szCs w:val="21"/>
              </w:rPr>
            </w:pPr>
            <w:r>
              <w:rPr>
                <w:rFonts w:hint="eastAsia" w:ascii="宋体" w:hAnsi="宋体" w:cs="宋体"/>
                <w:kern w:val="0"/>
                <w:szCs w:val="21"/>
              </w:rPr>
              <w:t>控制</w:t>
            </w:r>
          </w:p>
          <w:p>
            <w:pPr>
              <w:keepNext w:val="0"/>
              <w:keepLines w:val="0"/>
              <w:suppressLineNumbers w:val="0"/>
              <w:adjustRightInd w:val="0"/>
              <w:snapToGrid w:val="0"/>
              <w:spacing w:before="0" w:beforeAutospacing="0" w:after="0" w:afterAutospacing="0"/>
              <w:ind w:left="0" w:right="0"/>
              <w:jc w:val="center"/>
              <w:rPr>
                <w:rFonts w:ascii="宋体" w:hAnsi="宋体" w:cs="宋体"/>
                <w:kern w:val="0"/>
                <w:szCs w:val="21"/>
              </w:rPr>
            </w:pPr>
            <w:r>
              <w:rPr>
                <w:rFonts w:hint="eastAsia" w:ascii="宋体" w:hAnsi="宋体" w:cs="宋体"/>
                <w:kern w:val="0"/>
                <w:szCs w:val="21"/>
              </w:rPr>
              <w:t>指标</w:t>
            </w:r>
          </w:p>
        </w:tc>
        <w:tc>
          <w:tcPr>
            <w:tcW w:w="8190" w:type="dxa"/>
          </w:tcPr>
          <w:p>
            <w:pPr>
              <w:keepNext w:val="0"/>
              <w:keepLines w:val="0"/>
              <w:suppressLineNumbers w:val="0"/>
              <w:overflowPunct w:val="0"/>
              <w:snapToGrid w:val="0"/>
              <w:spacing w:before="0" w:beforeAutospacing="0" w:after="0" w:afterAutospacing="0" w:line="360" w:lineRule="auto"/>
              <w:ind w:left="0" w:right="0" w:firstLine="482" w:firstLineChars="200"/>
              <w:rPr>
                <w:b/>
                <w:bCs/>
                <w:sz w:val="24"/>
              </w:rPr>
            </w:pPr>
            <w:r>
              <w:rPr>
                <w:rFonts w:hint="eastAsia"/>
                <w:b/>
                <w:bCs/>
                <w:sz w:val="24"/>
              </w:rPr>
              <w:t>1、总量控制因子</w:t>
            </w:r>
          </w:p>
          <w:p>
            <w:pPr>
              <w:keepNext w:val="0"/>
              <w:keepLines w:val="0"/>
              <w:suppressLineNumbers w:val="0"/>
              <w:overflowPunct w:val="0"/>
              <w:snapToGrid w:val="0"/>
              <w:spacing w:before="0" w:beforeAutospacing="0" w:after="0" w:afterAutospacing="0" w:line="360" w:lineRule="auto"/>
              <w:ind w:left="0" w:right="0" w:firstLine="480" w:firstLineChars="200"/>
              <w:rPr>
                <w:sz w:val="24"/>
              </w:rPr>
            </w:pPr>
            <w:r>
              <w:rPr>
                <w:sz w:val="24"/>
              </w:rPr>
              <w:t>《市政府办公室关于印发&lt;常州市建设项目主要污染物排放总量指标审核及管理实施细则&gt;的通知》（常政办发[2015]104号）等文件规定，结合本项目排污特征，确定本项目总量控制因子。</w:t>
            </w:r>
          </w:p>
          <w:p>
            <w:pPr>
              <w:keepNext w:val="0"/>
              <w:keepLines w:val="0"/>
              <w:suppressLineNumbers w:val="0"/>
              <w:overflowPunct w:val="0"/>
              <w:autoSpaceDE w:val="0"/>
              <w:snapToGrid w:val="0"/>
              <w:spacing w:before="0" w:beforeAutospacing="0" w:after="0" w:afterAutospacing="0" w:line="360" w:lineRule="auto"/>
              <w:ind w:left="0" w:right="0" w:firstLine="480" w:firstLineChars="200"/>
              <w:rPr>
                <w:color w:val="000000"/>
                <w:kern w:val="0"/>
                <w:sz w:val="24"/>
              </w:rPr>
            </w:pPr>
            <w:r>
              <w:rPr>
                <w:sz w:val="24"/>
              </w:rPr>
              <w:t>水污染物总量控制因子：COD、NH</w:t>
            </w:r>
            <w:r>
              <w:rPr>
                <w:sz w:val="24"/>
                <w:vertAlign w:val="subscript"/>
              </w:rPr>
              <w:t>3</w:t>
            </w:r>
            <w:r>
              <w:rPr>
                <w:sz w:val="24"/>
              </w:rPr>
              <w:t>-N、TN、TP</w:t>
            </w:r>
            <w:r>
              <w:rPr>
                <w:rFonts w:hint="eastAsia"/>
                <w:sz w:val="24"/>
              </w:rPr>
              <w:t>，</w:t>
            </w:r>
            <w:r>
              <w:rPr>
                <w:rFonts w:hint="eastAsia" w:ascii="宋体" w:hAnsi="宋体" w:cs="宋体"/>
                <w:color w:val="000000"/>
                <w:kern w:val="0"/>
                <w:sz w:val="24"/>
              </w:rPr>
              <w:t>总量考核因子：</w:t>
            </w:r>
            <w:r>
              <w:rPr>
                <w:color w:val="000000"/>
                <w:kern w:val="0"/>
                <w:sz w:val="24"/>
              </w:rPr>
              <w:t>SS</w:t>
            </w:r>
            <w:r>
              <w:rPr>
                <w:rFonts w:hint="eastAsia"/>
                <w:color w:val="000000"/>
                <w:kern w:val="0"/>
                <w:sz w:val="24"/>
              </w:rPr>
              <w:t>；</w:t>
            </w:r>
          </w:p>
          <w:p>
            <w:pPr>
              <w:keepNext w:val="0"/>
              <w:keepLines w:val="0"/>
              <w:suppressLineNumbers w:val="0"/>
              <w:overflowPunct w:val="0"/>
              <w:autoSpaceDE w:val="0"/>
              <w:snapToGrid w:val="0"/>
              <w:spacing w:before="0" w:beforeAutospacing="0" w:after="0" w:afterAutospacing="0" w:line="360" w:lineRule="auto"/>
              <w:ind w:left="0" w:right="0" w:firstLine="480" w:firstLineChars="200"/>
              <w:rPr>
                <w:sz w:val="24"/>
              </w:rPr>
            </w:pPr>
            <w:r>
              <w:rPr>
                <w:rFonts w:hint="eastAsia"/>
                <w:sz w:val="24"/>
              </w:rPr>
              <w:t>大气</w:t>
            </w:r>
            <w:r>
              <w:rPr>
                <w:sz w:val="24"/>
              </w:rPr>
              <w:t>污染物总量控制因子</w:t>
            </w:r>
            <w:r>
              <w:rPr>
                <w:rFonts w:hint="eastAsia"/>
                <w:sz w:val="24"/>
              </w:rPr>
              <w:t>：VOCs、颗粒物</w:t>
            </w:r>
            <w:r>
              <w:rPr>
                <w:sz w:val="24"/>
              </w:rPr>
              <w:t>。</w:t>
            </w:r>
          </w:p>
          <w:p>
            <w:pPr>
              <w:keepNext w:val="0"/>
              <w:keepLines w:val="0"/>
              <w:suppressLineNumbers w:val="0"/>
              <w:overflowPunct w:val="0"/>
              <w:autoSpaceDE w:val="0"/>
              <w:snapToGrid w:val="0"/>
              <w:spacing w:before="0" w:beforeAutospacing="0" w:after="0" w:afterAutospacing="0" w:line="360" w:lineRule="auto"/>
              <w:ind w:left="0" w:right="0" w:firstLine="482" w:firstLineChars="200"/>
              <w:rPr>
                <w:rFonts w:ascii="宋体" w:hAnsi="宋体"/>
                <w:b/>
                <w:bCs/>
                <w:sz w:val="24"/>
              </w:rPr>
            </w:pPr>
            <w:r>
              <w:rPr>
                <w:rFonts w:hint="eastAsia" w:ascii="宋体" w:hAnsi="宋体"/>
                <w:b/>
                <w:bCs/>
                <w:sz w:val="24"/>
              </w:rPr>
              <w:t>2、总量控制指标</w:t>
            </w:r>
          </w:p>
          <w:p>
            <w:pPr>
              <w:keepNext w:val="0"/>
              <w:keepLines w:val="0"/>
              <w:suppressLineNumbers w:val="0"/>
              <w:overflowPunct w:val="0"/>
              <w:autoSpaceDE w:val="0"/>
              <w:snapToGrid w:val="0"/>
              <w:spacing w:before="0" w:beforeAutospacing="0" w:after="0" w:afterAutospacing="0" w:line="360" w:lineRule="auto"/>
              <w:ind w:left="0" w:right="0" w:firstLine="480" w:firstLineChars="200"/>
              <w:rPr>
                <w:rFonts w:ascii="宋体" w:hAnsi="宋体"/>
                <w:sz w:val="24"/>
              </w:rPr>
            </w:pPr>
            <w:r>
              <w:rPr>
                <w:rFonts w:hint="eastAsia" w:ascii="宋体" w:hAnsi="宋体"/>
                <w:sz w:val="24"/>
              </w:rPr>
              <w:t>本项目建成后污染物总量控制指标及来源途径见下表：</w:t>
            </w:r>
          </w:p>
          <w:p>
            <w:pPr>
              <w:keepNext w:val="0"/>
              <w:keepLines w:val="0"/>
              <w:suppressLineNumbers w:val="0"/>
              <w:adjustRightInd w:val="0"/>
              <w:snapToGrid w:val="0"/>
              <w:spacing w:before="0" w:beforeAutospacing="0" w:after="0" w:afterAutospacing="0"/>
              <w:ind w:left="0" w:right="0"/>
              <w:jc w:val="center"/>
              <w:rPr>
                <w:rFonts w:hint="eastAsia" w:eastAsia="宋体"/>
                <w:b/>
                <w:bCs/>
                <w:sz w:val="24"/>
                <w:lang w:eastAsia="zh-CN"/>
              </w:rPr>
            </w:pPr>
            <w:r>
              <w:rPr>
                <w:b/>
                <w:bCs/>
                <w:sz w:val="24"/>
              </w:rPr>
              <w:t>表</w:t>
            </w:r>
            <w:r>
              <w:rPr>
                <w:rFonts w:hint="eastAsia"/>
                <w:b/>
                <w:bCs/>
                <w:sz w:val="24"/>
              </w:rPr>
              <w:t xml:space="preserve">3-12 </w:t>
            </w:r>
            <w:r>
              <w:rPr>
                <w:b/>
                <w:bCs/>
                <w:sz w:val="24"/>
              </w:rPr>
              <w:t>全厂污染物排放情况一览表</w:t>
            </w:r>
            <w:r>
              <w:rPr>
                <w:rFonts w:hint="eastAsia"/>
                <w:b/>
                <w:bCs/>
                <w:sz w:val="24"/>
                <w:lang w:eastAsia="zh-CN"/>
              </w:rPr>
              <w:t>（</w:t>
            </w:r>
            <w:r>
              <w:rPr>
                <w:b/>
                <w:bCs/>
                <w:sz w:val="24"/>
              </w:rPr>
              <w:t>t/a</w:t>
            </w:r>
            <w:r>
              <w:rPr>
                <w:rFonts w:hint="eastAsia"/>
                <w:b/>
                <w:bCs/>
                <w:sz w:val="24"/>
                <w:lang w:eastAsia="zh-CN"/>
              </w:rPr>
              <w:t>）</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24"/>
              <w:gridCol w:w="753"/>
              <w:gridCol w:w="836"/>
              <w:gridCol w:w="1109"/>
              <w:gridCol w:w="1109"/>
              <w:gridCol w:w="899"/>
              <w:gridCol w:w="828"/>
              <w:gridCol w:w="899"/>
              <w:gridCol w:w="101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354" w:type="pct"/>
                  <w:vMerge w:val="restart"/>
                  <w:vAlign w:val="center"/>
                </w:tcPr>
                <w:p>
                  <w:pPr>
                    <w:keepNext w:val="0"/>
                    <w:keepLines w:val="0"/>
                    <w:widowControl/>
                    <w:suppressLineNumbers w:val="0"/>
                    <w:spacing w:before="0" w:beforeAutospacing="0" w:after="0" w:afterAutospacing="0"/>
                    <w:ind w:left="0" w:right="0"/>
                    <w:jc w:val="center"/>
                    <w:rPr>
                      <w:b/>
                      <w:bCs/>
                      <w:szCs w:val="21"/>
                    </w:rPr>
                  </w:pPr>
                  <w:r>
                    <w:rPr>
                      <w:b/>
                      <w:bCs/>
                      <w:szCs w:val="21"/>
                    </w:rPr>
                    <w:t>种类</w:t>
                  </w:r>
                </w:p>
              </w:tc>
              <w:tc>
                <w:tcPr>
                  <w:tcW w:w="497" w:type="pct"/>
                  <w:vMerge w:val="restart"/>
                  <w:vAlign w:val="center"/>
                </w:tcPr>
                <w:p>
                  <w:pPr>
                    <w:keepNext w:val="0"/>
                    <w:keepLines w:val="0"/>
                    <w:widowControl/>
                    <w:suppressLineNumbers w:val="0"/>
                    <w:spacing w:before="0" w:beforeAutospacing="0" w:after="0" w:afterAutospacing="0"/>
                    <w:ind w:left="0" w:right="0"/>
                    <w:jc w:val="center"/>
                    <w:rPr>
                      <w:b/>
                      <w:bCs/>
                      <w:szCs w:val="21"/>
                    </w:rPr>
                  </w:pPr>
                  <w:r>
                    <w:rPr>
                      <w:b/>
                      <w:bCs/>
                      <w:szCs w:val="21"/>
                    </w:rPr>
                    <w:t>污染物名称</w:t>
                  </w:r>
                </w:p>
              </w:tc>
              <w:tc>
                <w:tcPr>
                  <w:tcW w:w="549" w:type="pct"/>
                  <w:vMerge w:val="restart"/>
                  <w:vAlign w:val="center"/>
                </w:tcPr>
                <w:p>
                  <w:pPr>
                    <w:keepNext w:val="0"/>
                    <w:keepLines w:val="0"/>
                    <w:widowControl/>
                    <w:suppressLineNumbers w:val="0"/>
                    <w:spacing w:before="0" w:beforeAutospacing="0" w:after="0" w:afterAutospacing="0"/>
                    <w:ind w:left="0" w:right="0"/>
                    <w:jc w:val="center"/>
                    <w:rPr>
                      <w:b/>
                      <w:bCs/>
                      <w:szCs w:val="21"/>
                    </w:rPr>
                  </w:pPr>
                  <w:r>
                    <w:rPr>
                      <w:rFonts w:hint="eastAsia"/>
                      <w:b/>
                      <w:bCs/>
                      <w:szCs w:val="21"/>
                    </w:rPr>
                    <w:t>原有项目批复排放量</w:t>
                  </w:r>
                </w:p>
              </w:tc>
              <w:tc>
                <w:tcPr>
                  <w:tcW w:w="1938" w:type="pct"/>
                  <w:gridSpan w:val="3"/>
                  <w:vAlign w:val="center"/>
                </w:tcPr>
                <w:p>
                  <w:pPr>
                    <w:keepNext w:val="0"/>
                    <w:keepLines w:val="0"/>
                    <w:widowControl/>
                    <w:suppressLineNumbers w:val="0"/>
                    <w:spacing w:before="0" w:beforeAutospacing="0" w:after="0" w:afterAutospacing="0"/>
                    <w:ind w:left="0" w:right="0"/>
                    <w:jc w:val="center"/>
                    <w:rPr>
                      <w:b/>
                      <w:bCs/>
                      <w:szCs w:val="21"/>
                    </w:rPr>
                  </w:pPr>
                  <w:r>
                    <w:rPr>
                      <w:rFonts w:hint="eastAsia"/>
                      <w:b/>
                      <w:bCs/>
                      <w:szCs w:val="21"/>
                    </w:rPr>
                    <w:t>本项目排放量</w:t>
                  </w:r>
                </w:p>
              </w:tc>
              <w:tc>
                <w:tcPr>
                  <w:tcW w:w="544" w:type="pct"/>
                  <w:vMerge w:val="restart"/>
                  <w:vAlign w:val="center"/>
                </w:tcPr>
                <w:p>
                  <w:pPr>
                    <w:keepNext w:val="0"/>
                    <w:keepLines w:val="0"/>
                    <w:widowControl/>
                    <w:suppressLineNumbers w:val="0"/>
                    <w:spacing w:before="0" w:beforeAutospacing="0" w:after="0" w:afterAutospacing="0"/>
                    <w:ind w:left="0" w:right="0"/>
                    <w:jc w:val="center"/>
                    <w:rPr>
                      <w:b/>
                      <w:bCs/>
                      <w:szCs w:val="21"/>
                    </w:rPr>
                  </w:pPr>
                  <w:r>
                    <w:rPr>
                      <w:rFonts w:hint="eastAsia"/>
                      <w:b/>
                      <w:bCs/>
                      <w:szCs w:val="21"/>
                    </w:rPr>
                    <w:t>以新带老削减量</w:t>
                  </w:r>
                </w:p>
              </w:tc>
              <w:tc>
                <w:tcPr>
                  <w:tcW w:w="544" w:type="pct"/>
                  <w:vMerge w:val="restart"/>
                  <w:vAlign w:val="center"/>
                </w:tcPr>
                <w:p>
                  <w:pPr>
                    <w:keepNext w:val="0"/>
                    <w:keepLines w:val="0"/>
                    <w:widowControl/>
                    <w:suppressLineNumbers w:val="0"/>
                    <w:spacing w:before="0" w:beforeAutospacing="0" w:after="0" w:afterAutospacing="0"/>
                    <w:ind w:left="0" w:right="0"/>
                    <w:jc w:val="center"/>
                    <w:rPr>
                      <w:b/>
                      <w:bCs/>
                      <w:szCs w:val="21"/>
                    </w:rPr>
                  </w:pPr>
                  <w:r>
                    <w:rPr>
                      <w:rFonts w:hint="eastAsia"/>
                      <w:b/>
                      <w:bCs/>
                      <w:szCs w:val="21"/>
                    </w:rPr>
                    <w:t>全厂排放量</w:t>
                  </w:r>
                </w:p>
              </w:tc>
              <w:tc>
                <w:tcPr>
                  <w:tcW w:w="572" w:type="pct"/>
                  <w:vMerge w:val="restart"/>
                  <w:vAlign w:val="center"/>
                </w:tcPr>
                <w:p>
                  <w:pPr>
                    <w:keepNext w:val="0"/>
                    <w:keepLines w:val="0"/>
                    <w:widowControl/>
                    <w:suppressLineNumbers w:val="0"/>
                    <w:spacing w:before="0" w:beforeAutospacing="0" w:after="0" w:afterAutospacing="0"/>
                    <w:ind w:left="0" w:right="0"/>
                    <w:jc w:val="center"/>
                    <w:rPr>
                      <w:b/>
                      <w:bCs/>
                      <w:szCs w:val="21"/>
                    </w:rPr>
                  </w:pPr>
                  <w:r>
                    <w:rPr>
                      <w:rFonts w:hint="eastAsia"/>
                      <w:b/>
                      <w:bCs/>
                      <w:szCs w:val="21"/>
                    </w:rPr>
                    <w:t>全厂增减量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354" w:type="pct"/>
                  <w:vMerge w:val="continue"/>
                  <w:vAlign w:val="center"/>
                </w:tcPr>
                <w:p>
                  <w:pPr>
                    <w:keepNext w:val="0"/>
                    <w:keepLines w:val="0"/>
                    <w:widowControl/>
                    <w:suppressLineNumbers w:val="0"/>
                    <w:spacing w:before="0" w:beforeAutospacing="0" w:after="0" w:afterAutospacing="0"/>
                    <w:ind w:left="0" w:right="0"/>
                    <w:jc w:val="center"/>
                    <w:rPr>
                      <w:b/>
                      <w:bCs/>
                      <w:szCs w:val="21"/>
                    </w:rPr>
                  </w:pPr>
                </w:p>
              </w:tc>
              <w:tc>
                <w:tcPr>
                  <w:tcW w:w="497" w:type="pct"/>
                  <w:vMerge w:val="continue"/>
                  <w:vAlign w:val="center"/>
                </w:tcPr>
                <w:p>
                  <w:pPr>
                    <w:keepNext w:val="0"/>
                    <w:keepLines w:val="0"/>
                    <w:widowControl/>
                    <w:suppressLineNumbers w:val="0"/>
                    <w:spacing w:before="0" w:beforeAutospacing="0" w:after="0" w:afterAutospacing="0"/>
                    <w:ind w:left="0" w:right="0"/>
                    <w:jc w:val="center"/>
                    <w:rPr>
                      <w:b/>
                      <w:bCs/>
                      <w:szCs w:val="21"/>
                    </w:rPr>
                  </w:pPr>
                </w:p>
              </w:tc>
              <w:tc>
                <w:tcPr>
                  <w:tcW w:w="549" w:type="pct"/>
                  <w:vMerge w:val="continue"/>
                  <w:vAlign w:val="center"/>
                </w:tcPr>
                <w:p>
                  <w:pPr>
                    <w:keepNext w:val="0"/>
                    <w:keepLines w:val="0"/>
                    <w:widowControl/>
                    <w:suppressLineNumbers w:val="0"/>
                    <w:spacing w:before="0" w:beforeAutospacing="0" w:after="0" w:afterAutospacing="0"/>
                    <w:ind w:left="0" w:right="0"/>
                    <w:jc w:val="center"/>
                    <w:rPr>
                      <w:b/>
                      <w:bCs/>
                      <w:szCs w:val="21"/>
                    </w:rPr>
                  </w:pPr>
                </w:p>
              </w:tc>
              <w:tc>
                <w:tcPr>
                  <w:tcW w:w="695" w:type="pct"/>
                  <w:vAlign w:val="center"/>
                </w:tcPr>
                <w:p>
                  <w:pPr>
                    <w:keepNext w:val="0"/>
                    <w:keepLines w:val="0"/>
                    <w:widowControl/>
                    <w:suppressLineNumbers w:val="0"/>
                    <w:spacing w:before="0" w:beforeAutospacing="0" w:after="0" w:afterAutospacing="0"/>
                    <w:ind w:left="0" w:right="0"/>
                    <w:jc w:val="center"/>
                    <w:rPr>
                      <w:b/>
                      <w:bCs/>
                      <w:szCs w:val="21"/>
                    </w:rPr>
                  </w:pPr>
                  <w:r>
                    <w:rPr>
                      <w:b/>
                      <w:bCs/>
                      <w:szCs w:val="21"/>
                    </w:rPr>
                    <w:t>产生量</w:t>
                  </w:r>
                </w:p>
              </w:tc>
              <w:tc>
                <w:tcPr>
                  <w:tcW w:w="695" w:type="pct"/>
                  <w:vAlign w:val="center"/>
                </w:tcPr>
                <w:p>
                  <w:pPr>
                    <w:keepNext w:val="0"/>
                    <w:keepLines w:val="0"/>
                    <w:widowControl/>
                    <w:suppressLineNumbers w:val="0"/>
                    <w:spacing w:before="0" w:beforeAutospacing="0" w:after="0" w:afterAutospacing="0"/>
                    <w:ind w:left="0" w:right="0"/>
                    <w:jc w:val="center"/>
                    <w:rPr>
                      <w:b/>
                      <w:bCs/>
                      <w:szCs w:val="21"/>
                    </w:rPr>
                  </w:pPr>
                  <w:r>
                    <w:rPr>
                      <w:b/>
                      <w:bCs/>
                      <w:szCs w:val="21"/>
                    </w:rPr>
                    <w:t>削减量</w:t>
                  </w:r>
                </w:p>
              </w:tc>
              <w:tc>
                <w:tcPr>
                  <w:tcW w:w="547" w:type="pct"/>
                  <w:vAlign w:val="center"/>
                </w:tcPr>
                <w:p>
                  <w:pPr>
                    <w:keepNext w:val="0"/>
                    <w:keepLines w:val="0"/>
                    <w:widowControl/>
                    <w:suppressLineNumbers w:val="0"/>
                    <w:spacing w:before="0" w:beforeAutospacing="0" w:after="0" w:afterAutospacing="0"/>
                    <w:ind w:left="0" w:right="0"/>
                    <w:jc w:val="center"/>
                    <w:rPr>
                      <w:b/>
                      <w:bCs/>
                      <w:szCs w:val="21"/>
                    </w:rPr>
                  </w:pPr>
                  <w:r>
                    <w:rPr>
                      <w:b/>
                      <w:bCs/>
                      <w:szCs w:val="21"/>
                    </w:rPr>
                    <w:t>排放量</w:t>
                  </w:r>
                </w:p>
              </w:tc>
              <w:tc>
                <w:tcPr>
                  <w:tcW w:w="544" w:type="pct"/>
                  <w:vMerge w:val="continue"/>
                  <w:vAlign w:val="center"/>
                </w:tcPr>
                <w:p>
                  <w:pPr>
                    <w:keepNext w:val="0"/>
                    <w:keepLines w:val="0"/>
                    <w:widowControl/>
                    <w:suppressLineNumbers w:val="0"/>
                    <w:spacing w:before="0" w:beforeAutospacing="0" w:after="0" w:afterAutospacing="0"/>
                    <w:ind w:left="0" w:right="0"/>
                    <w:jc w:val="center"/>
                    <w:rPr>
                      <w:b/>
                      <w:bCs/>
                      <w:szCs w:val="21"/>
                    </w:rPr>
                  </w:pPr>
                </w:p>
              </w:tc>
              <w:tc>
                <w:tcPr>
                  <w:tcW w:w="544" w:type="pct"/>
                  <w:vMerge w:val="continue"/>
                  <w:vAlign w:val="center"/>
                </w:tcPr>
                <w:p>
                  <w:pPr>
                    <w:keepNext w:val="0"/>
                    <w:keepLines w:val="0"/>
                    <w:widowControl/>
                    <w:suppressLineNumbers w:val="0"/>
                    <w:spacing w:before="0" w:beforeAutospacing="0" w:after="0" w:afterAutospacing="0"/>
                    <w:ind w:left="0" w:right="0"/>
                    <w:jc w:val="center"/>
                    <w:rPr>
                      <w:b/>
                      <w:bCs/>
                      <w:szCs w:val="21"/>
                    </w:rPr>
                  </w:pPr>
                </w:p>
              </w:tc>
              <w:tc>
                <w:tcPr>
                  <w:tcW w:w="572" w:type="pct"/>
                  <w:vMerge w:val="continue"/>
                  <w:vAlign w:val="center"/>
                </w:tcPr>
                <w:p>
                  <w:pPr>
                    <w:keepNext w:val="0"/>
                    <w:keepLines w:val="0"/>
                    <w:widowControl/>
                    <w:suppressLineNumbers w:val="0"/>
                    <w:spacing w:before="0" w:beforeAutospacing="0" w:after="0" w:afterAutospacing="0"/>
                    <w:ind w:left="0" w:right="0"/>
                    <w:jc w:val="center"/>
                    <w:rPr>
                      <w:b/>
                      <w:bCs/>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54" w:type="pct"/>
                  <w:vMerge w:val="restart"/>
                  <w:vAlign w:val="center"/>
                </w:tcPr>
                <w:p>
                  <w:pPr>
                    <w:keepNext w:val="0"/>
                    <w:keepLines w:val="0"/>
                    <w:widowControl/>
                    <w:suppressLineNumbers w:val="0"/>
                    <w:spacing w:before="0" w:beforeAutospacing="0" w:after="0" w:afterAutospacing="0"/>
                    <w:ind w:left="0" w:right="0"/>
                    <w:jc w:val="center"/>
                    <w:rPr>
                      <w:bCs/>
                      <w:szCs w:val="21"/>
                    </w:rPr>
                  </w:pPr>
                  <w:r>
                    <w:rPr>
                      <w:bCs/>
                      <w:szCs w:val="21"/>
                    </w:rPr>
                    <w:t>废水</w:t>
                  </w:r>
                </w:p>
              </w:tc>
              <w:tc>
                <w:tcPr>
                  <w:tcW w:w="497" w:type="pct"/>
                  <w:vAlign w:val="center"/>
                </w:tcPr>
                <w:p>
                  <w:pPr>
                    <w:keepNext w:val="0"/>
                    <w:keepLines w:val="0"/>
                    <w:suppressLineNumbers w:val="0"/>
                    <w:spacing w:before="0" w:beforeAutospacing="0" w:after="0" w:afterAutospacing="0"/>
                    <w:ind w:left="0" w:right="0"/>
                    <w:jc w:val="center"/>
                    <w:rPr>
                      <w:szCs w:val="21"/>
                    </w:rPr>
                  </w:pPr>
                  <w:r>
                    <w:rPr>
                      <w:szCs w:val="21"/>
                    </w:rPr>
                    <w:t>水量</w:t>
                  </w:r>
                </w:p>
              </w:tc>
              <w:tc>
                <w:tcPr>
                  <w:tcW w:w="549"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960</w:t>
                  </w:r>
                </w:p>
              </w:tc>
              <w:tc>
                <w:tcPr>
                  <w:tcW w:w="695" w:type="pct"/>
                  <w:vAlign w:val="center"/>
                </w:tcPr>
                <w:p>
                  <w:pPr>
                    <w:keepNext w:val="0"/>
                    <w:keepLines w:val="0"/>
                    <w:suppressLineNumbers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3456</w:t>
                  </w:r>
                </w:p>
              </w:tc>
              <w:tc>
                <w:tcPr>
                  <w:tcW w:w="695"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0</w:t>
                  </w:r>
                </w:p>
              </w:tc>
              <w:tc>
                <w:tcPr>
                  <w:tcW w:w="874" w:type="dxa"/>
                  <w:vAlign w:val="center"/>
                </w:tcPr>
                <w:p>
                  <w:pPr>
                    <w:keepNext w:val="0"/>
                    <w:keepLines w:val="0"/>
                    <w:suppressLineNumbers w:val="0"/>
                    <w:spacing w:before="0" w:beforeAutospacing="0" w:after="0" w:afterAutospacing="0"/>
                    <w:ind w:left="0" w:leftChars="0" w:right="0" w:rightChars="0"/>
                    <w:jc w:val="center"/>
                    <w:rPr>
                      <w:szCs w:val="21"/>
                    </w:rPr>
                  </w:pPr>
                  <w:r>
                    <w:rPr>
                      <w:rFonts w:hint="eastAsia"/>
                      <w:szCs w:val="21"/>
                      <w:lang w:val="en-US" w:eastAsia="zh-CN"/>
                    </w:rPr>
                    <w:t>3456</w:t>
                  </w:r>
                </w:p>
              </w:tc>
              <w:tc>
                <w:tcPr>
                  <w:tcW w:w="544" w:type="pct"/>
                  <w:vAlign w:val="center"/>
                </w:tcPr>
                <w:p>
                  <w:pPr>
                    <w:keepNext w:val="0"/>
                    <w:keepLines w:val="0"/>
                    <w:suppressLineNumbers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960</w:t>
                  </w:r>
                </w:p>
              </w:tc>
              <w:tc>
                <w:tcPr>
                  <w:tcW w:w="863" w:type="dxa"/>
                  <w:vAlign w:val="center"/>
                </w:tcPr>
                <w:p>
                  <w:pPr>
                    <w:keepNext w:val="0"/>
                    <w:keepLines w:val="0"/>
                    <w:suppressLineNumbers w:val="0"/>
                    <w:spacing w:before="0" w:beforeAutospacing="0" w:after="0" w:afterAutospacing="0"/>
                    <w:ind w:left="0" w:leftChars="0" w:right="0" w:rightChars="0"/>
                    <w:jc w:val="center"/>
                    <w:rPr>
                      <w:szCs w:val="21"/>
                    </w:rPr>
                  </w:pPr>
                  <w:r>
                    <w:rPr>
                      <w:rFonts w:hint="eastAsia"/>
                      <w:szCs w:val="21"/>
                      <w:lang w:val="en-US" w:eastAsia="zh-CN"/>
                    </w:rPr>
                    <w:t>3456</w:t>
                  </w:r>
                </w:p>
              </w:tc>
              <w:tc>
                <w:tcPr>
                  <w:tcW w:w="572" w:type="pct"/>
                  <w:vAlign w:val="center"/>
                </w:tcPr>
                <w:p>
                  <w:pPr>
                    <w:keepNext w:val="0"/>
                    <w:keepLines w:val="0"/>
                    <w:suppressLineNumbers w:val="0"/>
                    <w:spacing w:before="0" w:beforeAutospacing="0" w:after="0" w:afterAutospacing="0"/>
                    <w:ind w:left="0" w:right="0"/>
                    <w:jc w:val="center"/>
                    <w:rPr>
                      <w:rFonts w:hint="default" w:eastAsia="宋体"/>
                      <w:szCs w:val="21"/>
                      <w:lang w:val="en-US" w:eastAsia="zh-CN"/>
                    </w:rPr>
                  </w:pPr>
                  <w:r>
                    <w:rPr>
                      <w:rFonts w:hint="eastAsia"/>
                      <w:szCs w:val="21"/>
                    </w:rPr>
                    <w:t>+</w:t>
                  </w:r>
                  <w:r>
                    <w:rPr>
                      <w:rFonts w:hint="eastAsia"/>
                      <w:szCs w:val="21"/>
                      <w:lang w:val="en-US" w:eastAsia="zh-CN"/>
                    </w:rPr>
                    <w:t>2496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54" w:type="pct"/>
                  <w:vMerge w:val="continue"/>
                  <w:vAlign w:val="center"/>
                </w:tcPr>
                <w:p>
                  <w:pPr>
                    <w:keepNext w:val="0"/>
                    <w:keepLines w:val="0"/>
                    <w:widowControl/>
                    <w:suppressLineNumbers w:val="0"/>
                    <w:spacing w:before="0" w:beforeAutospacing="0" w:after="0" w:afterAutospacing="0"/>
                    <w:ind w:left="0" w:right="0"/>
                    <w:jc w:val="center"/>
                    <w:rPr>
                      <w:bCs/>
                      <w:szCs w:val="21"/>
                    </w:rPr>
                  </w:pPr>
                </w:p>
              </w:tc>
              <w:tc>
                <w:tcPr>
                  <w:tcW w:w="497" w:type="pct"/>
                  <w:vAlign w:val="center"/>
                </w:tcPr>
                <w:p>
                  <w:pPr>
                    <w:keepNext w:val="0"/>
                    <w:keepLines w:val="0"/>
                    <w:suppressLineNumbers w:val="0"/>
                    <w:spacing w:before="0" w:beforeAutospacing="0" w:after="0" w:afterAutospacing="0"/>
                    <w:ind w:left="0" w:right="0"/>
                    <w:jc w:val="center"/>
                    <w:rPr>
                      <w:szCs w:val="21"/>
                    </w:rPr>
                  </w:pPr>
                  <w:r>
                    <w:rPr>
                      <w:szCs w:val="21"/>
                    </w:rPr>
                    <w:t>COD</w:t>
                  </w:r>
                </w:p>
              </w:tc>
              <w:tc>
                <w:tcPr>
                  <w:tcW w:w="549"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lang w:val="en-US" w:eastAsia="zh-CN"/>
                    </w:rPr>
                  </w:pPr>
                  <w:r>
                    <w:rPr>
                      <w:rFonts w:hint="eastAsia"/>
                    </w:rPr>
                    <w:t>0</w:t>
                  </w:r>
                  <w:r>
                    <w:rPr>
                      <w:rFonts w:hint="eastAsia"/>
                      <w:lang w:val="en-US" w:eastAsia="zh-CN"/>
                    </w:rPr>
                    <w:t>.38</w:t>
                  </w:r>
                </w:p>
              </w:tc>
              <w:tc>
                <w:tcPr>
                  <w:tcW w:w="695"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lang w:val="en-US" w:eastAsia="zh-CN"/>
                    </w:rPr>
                  </w:pPr>
                  <w:r>
                    <w:rPr>
                      <w:rFonts w:hint="eastAsia"/>
                    </w:rPr>
                    <w:t>1.</w:t>
                  </w:r>
                  <w:r>
                    <w:rPr>
                      <w:rFonts w:hint="eastAsia"/>
                      <w:lang w:val="en-US" w:eastAsia="zh-CN"/>
                    </w:rPr>
                    <w:t>382</w:t>
                  </w:r>
                </w:p>
              </w:tc>
              <w:tc>
                <w:tcPr>
                  <w:tcW w:w="695"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0</w:t>
                  </w:r>
                </w:p>
              </w:tc>
              <w:tc>
                <w:tcPr>
                  <w:tcW w:w="874" w:type="dxa"/>
                  <w:vAlign w:val="center"/>
                </w:tcPr>
                <w:p>
                  <w:pPr>
                    <w:keepNext w:val="0"/>
                    <w:keepLines w:val="0"/>
                    <w:suppressLineNumbers w:val="0"/>
                    <w:adjustRightInd w:val="0"/>
                    <w:snapToGrid w:val="0"/>
                    <w:spacing w:before="0" w:beforeAutospacing="0" w:after="0" w:afterAutospacing="0"/>
                    <w:ind w:left="0" w:leftChars="0" w:right="0" w:rightChars="0"/>
                    <w:jc w:val="center"/>
                  </w:pPr>
                  <w:r>
                    <w:rPr>
                      <w:rFonts w:hint="eastAsia"/>
                    </w:rPr>
                    <w:t>1.</w:t>
                  </w:r>
                  <w:r>
                    <w:rPr>
                      <w:rFonts w:hint="eastAsia"/>
                      <w:lang w:val="en-US" w:eastAsia="zh-CN"/>
                    </w:rPr>
                    <w:t>382</w:t>
                  </w:r>
                </w:p>
              </w:tc>
              <w:tc>
                <w:tcPr>
                  <w:tcW w:w="544" w:type="pct"/>
                  <w:vAlign w:val="center"/>
                </w:tcPr>
                <w:p>
                  <w:pPr>
                    <w:keepNext w:val="0"/>
                    <w:keepLines w:val="0"/>
                    <w:suppressLineNumbers w:val="0"/>
                    <w:adjustRightInd w:val="0"/>
                    <w:snapToGrid w:val="0"/>
                    <w:spacing w:before="0" w:beforeAutospacing="0" w:after="0" w:afterAutospacing="0"/>
                    <w:ind w:left="0" w:leftChars="0" w:right="0" w:rightChars="0"/>
                    <w:jc w:val="center"/>
                  </w:pPr>
                  <w:r>
                    <w:rPr>
                      <w:rFonts w:hint="eastAsia"/>
                    </w:rPr>
                    <w:t>0</w:t>
                  </w:r>
                  <w:r>
                    <w:rPr>
                      <w:rFonts w:hint="eastAsia"/>
                      <w:lang w:val="en-US" w:eastAsia="zh-CN"/>
                    </w:rPr>
                    <w:t>.38</w:t>
                  </w:r>
                </w:p>
              </w:tc>
              <w:tc>
                <w:tcPr>
                  <w:tcW w:w="863" w:type="dxa"/>
                  <w:vAlign w:val="center"/>
                </w:tcPr>
                <w:p>
                  <w:pPr>
                    <w:keepNext w:val="0"/>
                    <w:keepLines w:val="0"/>
                    <w:suppressLineNumbers w:val="0"/>
                    <w:adjustRightInd w:val="0"/>
                    <w:snapToGrid w:val="0"/>
                    <w:spacing w:before="0" w:beforeAutospacing="0" w:after="0" w:afterAutospacing="0"/>
                    <w:ind w:left="0" w:leftChars="0" w:right="0" w:rightChars="0"/>
                    <w:jc w:val="center"/>
                  </w:pPr>
                  <w:r>
                    <w:rPr>
                      <w:rFonts w:hint="eastAsia"/>
                    </w:rPr>
                    <w:t>1.</w:t>
                  </w:r>
                  <w:r>
                    <w:rPr>
                      <w:rFonts w:hint="eastAsia"/>
                      <w:lang w:val="en-US" w:eastAsia="zh-CN"/>
                    </w:rPr>
                    <w:t>382</w:t>
                  </w:r>
                </w:p>
              </w:tc>
              <w:tc>
                <w:tcPr>
                  <w:tcW w:w="572"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lang w:val="en-US" w:eastAsia="zh-CN"/>
                    </w:rPr>
                  </w:pPr>
                  <w:r>
                    <w:rPr>
                      <w:rFonts w:hint="eastAsia"/>
                    </w:rPr>
                    <w:t>+</w:t>
                  </w:r>
                  <w:r>
                    <w:rPr>
                      <w:rFonts w:hint="eastAsia"/>
                      <w:lang w:val="en-US" w:eastAsia="zh-CN"/>
                    </w:rPr>
                    <w:t>0.887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54" w:type="pct"/>
                  <w:vMerge w:val="continue"/>
                  <w:vAlign w:val="center"/>
                </w:tcPr>
                <w:p>
                  <w:pPr>
                    <w:keepNext w:val="0"/>
                    <w:keepLines w:val="0"/>
                    <w:widowControl/>
                    <w:suppressLineNumbers w:val="0"/>
                    <w:spacing w:before="0" w:beforeAutospacing="0" w:after="0" w:afterAutospacing="0"/>
                    <w:ind w:left="0" w:right="0"/>
                    <w:jc w:val="center"/>
                    <w:rPr>
                      <w:bCs/>
                      <w:szCs w:val="21"/>
                    </w:rPr>
                  </w:pPr>
                </w:p>
              </w:tc>
              <w:tc>
                <w:tcPr>
                  <w:tcW w:w="497" w:type="pct"/>
                  <w:vAlign w:val="center"/>
                </w:tcPr>
                <w:p>
                  <w:pPr>
                    <w:keepNext w:val="0"/>
                    <w:keepLines w:val="0"/>
                    <w:suppressLineNumbers w:val="0"/>
                    <w:spacing w:before="0" w:beforeAutospacing="0" w:after="0" w:afterAutospacing="0"/>
                    <w:ind w:left="0" w:right="0"/>
                    <w:jc w:val="center"/>
                    <w:rPr>
                      <w:szCs w:val="21"/>
                    </w:rPr>
                  </w:pPr>
                  <w:r>
                    <w:rPr>
                      <w:szCs w:val="21"/>
                    </w:rPr>
                    <w:t>SS</w:t>
                  </w:r>
                </w:p>
              </w:tc>
              <w:tc>
                <w:tcPr>
                  <w:tcW w:w="549"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lang w:val="en-US" w:eastAsia="zh-CN"/>
                    </w:rPr>
                  </w:pPr>
                  <w:r>
                    <w:rPr>
                      <w:rFonts w:hint="eastAsia"/>
                    </w:rPr>
                    <w:t>0</w:t>
                  </w:r>
                  <w:r>
                    <w:rPr>
                      <w:rFonts w:hint="eastAsia"/>
                      <w:lang w:val="en-US" w:eastAsia="zh-CN"/>
                    </w:rPr>
                    <w:t>.3</w:t>
                  </w:r>
                </w:p>
              </w:tc>
              <w:tc>
                <w:tcPr>
                  <w:tcW w:w="695"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lang w:val="en-US" w:eastAsia="zh-CN"/>
                    </w:rPr>
                  </w:pPr>
                  <w:r>
                    <w:rPr>
                      <w:rFonts w:hint="eastAsia"/>
                      <w:lang w:val="en-US" w:eastAsia="zh-CN"/>
                    </w:rPr>
                    <w:t>1.037</w:t>
                  </w:r>
                </w:p>
              </w:tc>
              <w:tc>
                <w:tcPr>
                  <w:tcW w:w="695"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0</w:t>
                  </w:r>
                </w:p>
              </w:tc>
              <w:tc>
                <w:tcPr>
                  <w:tcW w:w="874" w:type="dxa"/>
                  <w:vAlign w:val="center"/>
                </w:tcPr>
                <w:p>
                  <w:pPr>
                    <w:keepNext w:val="0"/>
                    <w:keepLines w:val="0"/>
                    <w:suppressLineNumbers w:val="0"/>
                    <w:adjustRightInd w:val="0"/>
                    <w:snapToGrid w:val="0"/>
                    <w:spacing w:before="0" w:beforeAutospacing="0" w:after="0" w:afterAutospacing="0"/>
                    <w:ind w:left="0" w:leftChars="0" w:right="0" w:rightChars="0"/>
                    <w:jc w:val="center"/>
                  </w:pPr>
                  <w:r>
                    <w:rPr>
                      <w:rFonts w:hint="eastAsia"/>
                      <w:lang w:val="en-US" w:eastAsia="zh-CN"/>
                    </w:rPr>
                    <w:t>1.037</w:t>
                  </w:r>
                </w:p>
              </w:tc>
              <w:tc>
                <w:tcPr>
                  <w:tcW w:w="544" w:type="pct"/>
                  <w:vAlign w:val="center"/>
                </w:tcPr>
                <w:p>
                  <w:pPr>
                    <w:keepNext w:val="0"/>
                    <w:keepLines w:val="0"/>
                    <w:suppressLineNumbers w:val="0"/>
                    <w:adjustRightInd w:val="0"/>
                    <w:snapToGrid w:val="0"/>
                    <w:spacing w:before="0" w:beforeAutospacing="0" w:after="0" w:afterAutospacing="0"/>
                    <w:ind w:left="0" w:leftChars="0" w:right="0" w:rightChars="0"/>
                    <w:jc w:val="center"/>
                  </w:pPr>
                  <w:r>
                    <w:rPr>
                      <w:rFonts w:hint="eastAsia"/>
                    </w:rPr>
                    <w:t>0</w:t>
                  </w:r>
                  <w:r>
                    <w:rPr>
                      <w:rFonts w:hint="eastAsia"/>
                      <w:lang w:val="en-US" w:eastAsia="zh-CN"/>
                    </w:rPr>
                    <w:t>.3</w:t>
                  </w:r>
                </w:p>
              </w:tc>
              <w:tc>
                <w:tcPr>
                  <w:tcW w:w="863" w:type="dxa"/>
                  <w:vAlign w:val="center"/>
                </w:tcPr>
                <w:p>
                  <w:pPr>
                    <w:keepNext w:val="0"/>
                    <w:keepLines w:val="0"/>
                    <w:suppressLineNumbers w:val="0"/>
                    <w:adjustRightInd w:val="0"/>
                    <w:snapToGrid w:val="0"/>
                    <w:spacing w:before="0" w:beforeAutospacing="0" w:after="0" w:afterAutospacing="0"/>
                    <w:ind w:left="0" w:leftChars="0" w:right="0" w:rightChars="0"/>
                    <w:jc w:val="center"/>
                  </w:pPr>
                  <w:r>
                    <w:rPr>
                      <w:rFonts w:hint="eastAsia"/>
                      <w:lang w:val="en-US" w:eastAsia="zh-CN"/>
                    </w:rPr>
                    <w:t>1.037</w:t>
                  </w:r>
                </w:p>
              </w:tc>
              <w:tc>
                <w:tcPr>
                  <w:tcW w:w="572"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lang w:val="en-US" w:eastAsia="zh-CN"/>
                    </w:rPr>
                  </w:pPr>
                  <w:r>
                    <w:rPr>
                      <w:rFonts w:hint="eastAsia"/>
                    </w:rPr>
                    <w:t>+0.</w:t>
                  </w:r>
                  <w:r>
                    <w:rPr>
                      <w:rFonts w:hint="eastAsia"/>
                      <w:lang w:val="en-US" w:eastAsia="zh-CN"/>
                    </w:rPr>
                    <w:t>737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54" w:type="pct"/>
                  <w:vMerge w:val="continue"/>
                  <w:vAlign w:val="center"/>
                </w:tcPr>
                <w:p>
                  <w:pPr>
                    <w:keepNext w:val="0"/>
                    <w:keepLines w:val="0"/>
                    <w:widowControl/>
                    <w:suppressLineNumbers w:val="0"/>
                    <w:spacing w:before="0" w:beforeAutospacing="0" w:after="0" w:afterAutospacing="0"/>
                    <w:ind w:left="0" w:right="0"/>
                    <w:jc w:val="center"/>
                    <w:rPr>
                      <w:bCs/>
                      <w:szCs w:val="21"/>
                    </w:rPr>
                  </w:pPr>
                </w:p>
              </w:tc>
              <w:tc>
                <w:tcPr>
                  <w:tcW w:w="497"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氨氮</w:t>
                  </w:r>
                </w:p>
              </w:tc>
              <w:tc>
                <w:tcPr>
                  <w:tcW w:w="549"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lang w:val="en-US" w:eastAsia="zh-CN"/>
                    </w:rPr>
                  </w:pPr>
                  <w:r>
                    <w:rPr>
                      <w:rFonts w:hint="eastAsia"/>
                    </w:rPr>
                    <w:t>0</w:t>
                  </w:r>
                  <w:r>
                    <w:rPr>
                      <w:rFonts w:hint="eastAsia"/>
                      <w:lang w:val="en-US" w:eastAsia="zh-CN"/>
                    </w:rPr>
                    <w:t>.03</w:t>
                  </w:r>
                </w:p>
              </w:tc>
              <w:tc>
                <w:tcPr>
                  <w:tcW w:w="695"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lang w:val="en-US" w:eastAsia="zh-CN"/>
                    </w:rPr>
                  </w:pPr>
                  <w:r>
                    <w:t>0.</w:t>
                  </w:r>
                  <w:r>
                    <w:rPr>
                      <w:rFonts w:hint="eastAsia"/>
                      <w:lang w:val="en-US" w:eastAsia="zh-CN"/>
                    </w:rPr>
                    <w:t>0864</w:t>
                  </w:r>
                </w:p>
              </w:tc>
              <w:tc>
                <w:tcPr>
                  <w:tcW w:w="695"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0</w:t>
                  </w:r>
                </w:p>
              </w:tc>
              <w:tc>
                <w:tcPr>
                  <w:tcW w:w="874" w:type="dxa"/>
                  <w:vAlign w:val="center"/>
                </w:tcPr>
                <w:p>
                  <w:pPr>
                    <w:keepNext w:val="0"/>
                    <w:keepLines w:val="0"/>
                    <w:suppressLineNumbers w:val="0"/>
                    <w:adjustRightInd w:val="0"/>
                    <w:snapToGrid w:val="0"/>
                    <w:spacing w:before="0" w:beforeAutospacing="0" w:after="0" w:afterAutospacing="0"/>
                    <w:ind w:left="0" w:leftChars="0" w:right="0" w:rightChars="0"/>
                    <w:jc w:val="center"/>
                  </w:pPr>
                  <w:r>
                    <w:t>0.</w:t>
                  </w:r>
                  <w:r>
                    <w:rPr>
                      <w:rFonts w:hint="eastAsia"/>
                      <w:lang w:val="en-US" w:eastAsia="zh-CN"/>
                    </w:rPr>
                    <w:t>0864</w:t>
                  </w:r>
                </w:p>
              </w:tc>
              <w:tc>
                <w:tcPr>
                  <w:tcW w:w="544" w:type="pct"/>
                  <w:vAlign w:val="center"/>
                </w:tcPr>
                <w:p>
                  <w:pPr>
                    <w:keepNext w:val="0"/>
                    <w:keepLines w:val="0"/>
                    <w:suppressLineNumbers w:val="0"/>
                    <w:adjustRightInd w:val="0"/>
                    <w:snapToGrid w:val="0"/>
                    <w:spacing w:before="0" w:beforeAutospacing="0" w:after="0" w:afterAutospacing="0"/>
                    <w:ind w:left="0" w:leftChars="0" w:right="0" w:rightChars="0"/>
                    <w:jc w:val="center"/>
                  </w:pPr>
                  <w:r>
                    <w:rPr>
                      <w:rFonts w:hint="eastAsia"/>
                    </w:rPr>
                    <w:t>0</w:t>
                  </w:r>
                  <w:r>
                    <w:rPr>
                      <w:rFonts w:hint="eastAsia"/>
                      <w:lang w:val="en-US" w:eastAsia="zh-CN"/>
                    </w:rPr>
                    <w:t>.03</w:t>
                  </w:r>
                </w:p>
              </w:tc>
              <w:tc>
                <w:tcPr>
                  <w:tcW w:w="863" w:type="dxa"/>
                  <w:vAlign w:val="center"/>
                </w:tcPr>
                <w:p>
                  <w:pPr>
                    <w:keepNext w:val="0"/>
                    <w:keepLines w:val="0"/>
                    <w:suppressLineNumbers w:val="0"/>
                    <w:adjustRightInd w:val="0"/>
                    <w:snapToGrid w:val="0"/>
                    <w:spacing w:before="0" w:beforeAutospacing="0" w:after="0" w:afterAutospacing="0"/>
                    <w:ind w:left="0" w:leftChars="0" w:right="0" w:rightChars="0"/>
                    <w:jc w:val="center"/>
                  </w:pPr>
                  <w:r>
                    <w:t>0.</w:t>
                  </w:r>
                  <w:r>
                    <w:rPr>
                      <w:rFonts w:hint="eastAsia"/>
                      <w:lang w:val="en-US" w:eastAsia="zh-CN"/>
                    </w:rPr>
                    <w:t>0864</w:t>
                  </w:r>
                </w:p>
              </w:tc>
              <w:tc>
                <w:tcPr>
                  <w:tcW w:w="572"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lang w:val="en-US" w:eastAsia="zh-CN"/>
                    </w:rPr>
                  </w:pPr>
                  <w:r>
                    <w:rPr>
                      <w:rFonts w:hint="eastAsia"/>
                    </w:rPr>
                    <w:t>+</w:t>
                  </w:r>
                  <w:r>
                    <w:t>0.0</w:t>
                  </w:r>
                  <w:r>
                    <w:rPr>
                      <w:rFonts w:hint="eastAsia"/>
                      <w:lang w:val="en-US" w:eastAsia="zh-CN"/>
                    </w:rPr>
                    <w:t>564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54" w:type="pct"/>
                  <w:vMerge w:val="continue"/>
                  <w:vAlign w:val="center"/>
                </w:tcPr>
                <w:p>
                  <w:pPr>
                    <w:keepNext w:val="0"/>
                    <w:keepLines w:val="0"/>
                    <w:widowControl/>
                    <w:suppressLineNumbers w:val="0"/>
                    <w:spacing w:before="0" w:beforeAutospacing="0" w:after="0" w:afterAutospacing="0"/>
                    <w:ind w:left="0" w:right="0"/>
                    <w:jc w:val="center"/>
                    <w:rPr>
                      <w:bCs/>
                      <w:szCs w:val="21"/>
                    </w:rPr>
                  </w:pPr>
                </w:p>
              </w:tc>
              <w:tc>
                <w:tcPr>
                  <w:tcW w:w="497"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TP</w:t>
                  </w:r>
                </w:p>
              </w:tc>
              <w:tc>
                <w:tcPr>
                  <w:tcW w:w="549"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lang w:val="en-US" w:eastAsia="zh-CN"/>
                    </w:rPr>
                  </w:pPr>
                  <w:r>
                    <w:rPr>
                      <w:rFonts w:hint="eastAsia"/>
                    </w:rPr>
                    <w:t>0</w:t>
                  </w:r>
                  <w:r>
                    <w:rPr>
                      <w:rFonts w:hint="eastAsia"/>
                      <w:lang w:val="en-US" w:eastAsia="zh-CN"/>
                    </w:rPr>
                    <w:t>.005</w:t>
                  </w:r>
                </w:p>
              </w:tc>
              <w:tc>
                <w:tcPr>
                  <w:tcW w:w="695"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lang w:val="en-US" w:eastAsia="zh-CN"/>
                    </w:rPr>
                  </w:pPr>
                  <w:r>
                    <w:t>0.0</w:t>
                  </w:r>
                  <w:r>
                    <w:rPr>
                      <w:rFonts w:hint="eastAsia"/>
                      <w:lang w:val="en-US" w:eastAsia="zh-CN"/>
                    </w:rPr>
                    <w:t>1728</w:t>
                  </w:r>
                </w:p>
              </w:tc>
              <w:tc>
                <w:tcPr>
                  <w:tcW w:w="695"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0</w:t>
                  </w:r>
                </w:p>
              </w:tc>
              <w:tc>
                <w:tcPr>
                  <w:tcW w:w="874" w:type="dxa"/>
                  <w:vAlign w:val="center"/>
                </w:tcPr>
                <w:p>
                  <w:pPr>
                    <w:keepNext w:val="0"/>
                    <w:keepLines w:val="0"/>
                    <w:suppressLineNumbers w:val="0"/>
                    <w:adjustRightInd w:val="0"/>
                    <w:snapToGrid w:val="0"/>
                    <w:spacing w:before="0" w:beforeAutospacing="0" w:after="0" w:afterAutospacing="0"/>
                    <w:ind w:left="0" w:leftChars="0" w:right="0" w:rightChars="0"/>
                    <w:jc w:val="center"/>
                  </w:pPr>
                  <w:r>
                    <w:t>0.0</w:t>
                  </w:r>
                  <w:r>
                    <w:rPr>
                      <w:rFonts w:hint="eastAsia"/>
                      <w:lang w:val="en-US" w:eastAsia="zh-CN"/>
                    </w:rPr>
                    <w:t>1728</w:t>
                  </w:r>
                </w:p>
              </w:tc>
              <w:tc>
                <w:tcPr>
                  <w:tcW w:w="544" w:type="pct"/>
                  <w:vAlign w:val="center"/>
                </w:tcPr>
                <w:p>
                  <w:pPr>
                    <w:keepNext w:val="0"/>
                    <w:keepLines w:val="0"/>
                    <w:suppressLineNumbers w:val="0"/>
                    <w:adjustRightInd w:val="0"/>
                    <w:snapToGrid w:val="0"/>
                    <w:spacing w:before="0" w:beforeAutospacing="0" w:after="0" w:afterAutospacing="0"/>
                    <w:ind w:left="0" w:leftChars="0" w:right="0" w:rightChars="0"/>
                    <w:jc w:val="center"/>
                  </w:pPr>
                  <w:r>
                    <w:rPr>
                      <w:rFonts w:hint="eastAsia"/>
                    </w:rPr>
                    <w:t>0</w:t>
                  </w:r>
                  <w:r>
                    <w:rPr>
                      <w:rFonts w:hint="eastAsia"/>
                      <w:lang w:val="en-US" w:eastAsia="zh-CN"/>
                    </w:rPr>
                    <w:t>.005</w:t>
                  </w:r>
                </w:p>
              </w:tc>
              <w:tc>
                <w:tcPr>
                  <w:tcW w:w="863" w:type="dxa"/>
                  <w:vAlign w:val="center"/>
                </w:tcPr>
                <w:p>
                  <w:pPr>
                    <w:keepNext w:val="0"/>
                    <w:keepLines w:val="0"/>
                    <w:suppressLineNumbers w:val="0"/>
                    <w:adjustRightInd w:val="0"/>
                    <w:snapToGrid w:val="0"/>
                    <w:spacing w:before="0" w:beforeAutospacing="0" w:after="0" w:afterAutospacing="0"/>
                    <w:ind w:left="0" w:leftChars="0" w:right="0" w:rightChars="0"/>
                    <w:jc w:val="center"/>
                  </w:pPr>
                  <w:r>
                    <w:t>0.0</w:t>
                  </w:r>
                  <w:r>
                    <w:rPr>
                      <w:rFonts w:hint="eastAsia"/>
                      <w:lang w:val="en-US" w:eastAsia="zh-CN"/>
                    </w:rPr>
                    <w:t>1728</w:t>
                  </w:r>
                </w:p>
              </w:tc>
              <w:tc>
                <w:tcPr>
                  <w:tcW w:w="572"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lang w:val="en-US" w:eastAsia="zh-CN"/>
                    </w:rPr>
                  </w:pPr>
                  <w:r>
                    <w:rPr>
                      <w:rFonts w:hint="eastAsia"/>
                    </w:rPr>
                    <w:t>+</w:t>
                  </w:r>
                  <w:r>
                    <w:t>0.0</w:t>
                  </w:r>
                  <w:r>
                    <w:rPr>
                      <w:rFonts w:hint="eastAsia"/>
                    </w:rPr>
                    <w:t>1</w:t>
                  </w:r>
                  <w:r>
                    <w:rPr>
                      <w:rFonts w:hint="eastAsia"/>
                      <w:lang w:val="en-US" w:eastAsia="zh-CN"/>
                    </w:rPr>
                    <w:t>228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54" w:type="pct"/>
                  <w:vMerge w:val="continue"/>
                  <w:vAlign w:val="center"/>
                </w:tcPr>
                <w:p>
                  <w:pPr>
                    <w:keepNext w:val="0"/>
                    <w:keepLines w:val="0"/>
                    <w:widowControl/>
                    <w:suppressLineNumbers w:val="0"/>
                    <w:spacing w:before="0" w:beforeAutospacing="0" w:after="0" w:afterAutospacing="0"/>
                    <w:ind w:left="0" w:right="0"/>
                    <w:jc w:val="center"/>
                    <w:rPr>
                      <w:bCs/>
                      <w:szCs w:val="21"/>
                    </w:rPr>
                  </w:pPr>
                </w:p>
              </w:tc>
              <w:tc>
                <w:tcPr>
                  <w:tcW w:w="497" w:type="pct"/>
                  <w:vAlign w:val="center"/>
                </w:tcPr>
                <w:p>
                  <w:pPr>
                    <w:keepNext w:val="0"/>
                    <w:keepLines w:val="0"/>
                    <w:suppressLineNumbers w:val="0"/>
                    <w:spacing w:before="0" w:beforeAutospacing="0" w:after="0" w:afterAutospacing="0"/>
                    <w:ind w:left="0" w:right="0"/>
                    <w:jc w:val="center"/>
                    <w:rPr>
                      <w:szCs w:val="21"/>
                    </w:rPr>
                  </w:pPr>
                  <w:r>
                    <w:rPr>
                      <w:szCs w:val="21"/>
                    </w:rPr>
                    <w:t>T</w:t>
                  </w:r>
                  <w:r>
                    <w:rPr>
                      <w:rFonts w:hint="eastAsia"/>
                      <w:szCs w:val="21"/>
                    </w:rPr>
                    <w:t>N</w:t>
                  </w:r>
                </w:p>
              </w:tc>
              <w:tc>
                <w:tcPr>
                  <w:tcW w:w="549" w:type="pct"/>
                  <w:vAlign w:val="center"/>
                </w:tcPr>
                <w:p>
                  <w:pPr>
                    <w:keepNext w:val="0"/>
                    <w:keepLines w:val="0"/>
                    <w:suppressLineNumbers w:val="0"/>
                    <w:adjustRightInd w:val="0"/>
                    <w:snapToGrid w:val="0"/>
                    <w:spacing w:before="0" w:beforeAutospacing="0" w:after="0" w:afterAutospacing="0"/>
                    <w:ind w:left="0" w:right="0"/>
                    <w:jc w:val="center"/>
                  </w:pPr>
                  <w:r>
                    <w:rPr>
                      <w:rFonts w:hint="eastAsia"/>
                    </w:rPr>
                    <w:t>0</w:t>
                  </w:r>
                </w:p>
              </w:tc>
              <w:tc>
                <w:tcPr>
                  <w:tcW w:w="695"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lang w:val="en-US" w:eastAsia="zh-CN"/>
                    </w:rPr>
                  </w:pPr>
                  <w:r>
                    <w:t>0.</w:t>
                  </w:r>
                  <w:r>
                    <w:rPr>
                      <w:rFonts w:hint="eastAsia"/>
                      <w:lang w:val="en-US" w:eastAsia="zh-CN"/>
                    </w:rPr>
                    <w:t>1728</w:t>
                  </w:r>
                </w:p>
              </w:tc>
              <w:tc>
                <w:tcPr>
                  <w:tcW w:w="695"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0</w:t>
                  </w:r>
                </w:p>
              </w:tc>
              <w:tc>
                <w:tcPr>
                  <w:tcW w:w="874" w:type="dxa"/>
                  <w:vAlign w:val="center"/>
                </w:tcPr>
                <w:p>
                  <w:pPr>
                    <w:keepNext w:val="0"/>
                    <w:keepLines w:val="0"/>
                    <w:suppressLineNumbers w:val="0"/>
                    <w:adjustRightInd w:val="0"/>
                    <w:snapToGrid w:val="0"/>
                    <w:spacing w:before="0" w:beforeAutospacing="0" w:after="0" w:afterAutospacing="0"/>
                    <w:ind w:left="0" w:leftChars="0" w:right="0" w:rightChars="0"/>
                    <w:jc w:val="center"/>
                  </w:pPr>
                  <w:r>
                    <w:t>0.</w:t>
                  </w:r>
                  <w:r>
                    <w:rPr>
                      <w:rFonts w:hint="eastAsia"/>
                      <w:lang w:val="en-US" w:eastAsia="zh-CN"/>
                    </w:rPr>
                    <w:t>1728</w:t>
                  </w:r>
                </w:p>
              </w:tc>
              <w:tc>
                <w:tcPr>
                  <w:tcW w:w="544" w:type="pct"/>
                  <w:vAlign w:val="center"/>
                </w:tcPr>
                <w:p>
                  <w:pPr>
                    <w:keepNext w:val="0"/>
                    <w:keepLines w:val="0"/>
                    <w:suppressLineNumbers w:val="0"/>
                    <w:adjustRightInd w:val="0"/>
                    <w:snapToGrid w:val="0"/>
                    <w:spacing w:before="0" w:beforeAutospacing="0" w:after="0" w:afterAutospacing="0"/>
                    <w:ind w:left="0" w:right="0"/>
                    <w:jc w:val="center"/>
                  </w:pPr>
                  <w:r>
                    <w:rPr>
                      <w:rFonts w:hint="eastAsia"/>
                    </w:rPr>
                    <w:t>0</w:t>
                  </w:r>
                </w:p>
              </w:tc>
              <w:tc>
                <w:tcPr>
                  <w:tcW w:w="863" w:type="dxa"/>
                  <w:vAlign w:val="center"/>
                </w:tcPr>
                <w:p>
                  <w:pPr>
                    <w:keepNext w:val="0"/>
                    <w:keepLines w:val="0"/>
                    <w:suppressLineNumbers w:val="0"/>
                    <w:adjustRightInd w:val="0"/>
                    <w:snapToGrid w:val="0"/>
                    <w:spacing w:before="0" w:beforeAutospacing="0" w:after="0" w:afterAutospacing="0"/>
                    <w:ind w:left="0" w:leftChars="0" w:right="0" w:rightChars="0"/>
                    <w:jc w:val="center"/>
                  </w:pPr>
                  <w:r>
                    <w:t>0.</w:t>
                  </w:r>
                  <w:r>
                    <w:rPr>
                      <w:rFonts w:hint="eastAsia"/>
                      <w:lang w:val="en-US" w:eastAsia="zh-CN"/>
                    </w:rPr>
                    <w:t>1728</w:t>
                  </w:r>
                </w:p>
              </w:tc>
              <w:tc>
                <w:tcPr>
                  <w:tcW w:w="572"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lang w:val="en-US" w:eastAsia="zh-CN"/>
                    </w:rPr>
                  </w:pPr>
                  <w:r>
                    <w:rPr>
                      <w:rFonts w:hint="eastAsia"/>
                    </w:rPr>
                    <w:t>+</w:t>
                  </w:r>
                  <w:r>
                    <w:t>0.</w:t>
                  </w:r>
                  <w:r>
                    <w:rPr>
                      <w:rFonts w:hint="eastAsia"/>
                    </w:rPr>
                    <w:t>1</w:t>
                  </w:r>
                  <w:r>
                    <w:rPr>
                      <w:rFonts w:hint="eastAsia"/>
                      <w:lang w:val="en-US" w:eastAsia="zh-CN"/>
                    </w:rPr>
                    <w:t>728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54" w:type="pct"/>
                  <w:vMerge w:val="continue"/>
                  <w:vAlign w:val="center"/>
                </w:tcPr>
                <w:p>
                  <w:pPr>
                    <w:keepNext w:val="0"/>
                    <w:keepLines w:val="0"/>
                    <w:widowControl/>
                    <w:suppressLineNumbers w:val="0"/>
                    <w:spacing w:before="0" w:beforeAutospacing="0" w:after="0" w:afterAutospacing="0"/>
                    <w:ind w:left="0" w:right="0"/>
                    <w:jc w:val="center"/>
                    <w:rPr>
                      <w:bCs/>
                      <w:szCs w:val="21"/>
                    </w:rPr>
                  </w:pPr>
                </w:p>
              </w:tc>
              <w:tc>
                <w:tcPr>
                  <w:tcW w:w="497"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动植物油</w:t>
                  </w:r>
                </w:p>
              </w:tc>
              <w:tc>
                <w:tcPr>
                  <w:tcW w:w="549" w:type="pct"/>
                  <w:vAlign w:val="center"/>
                </w:tcPr>
                <w:p>
                  <w:pPr>
                    <w:keepNext w:val="0"/>
                    <w:keepLines w:val="0"/>
                    <w:suppressLineNumbers w:val="0"/>
                    <w:adjustRightInd w:val="0"/>
                    <w:snapToGrid w:val="0"/>
                    <w:spacing w:before="0" w:beforeAutospacing="0" w:after="0" w:afterAutospacing="0"/>
                    <w:ind w:left="0" w:right="0"/>
                    <w:jc w:val="center"/>
                  </w:pPr>
                  <w:r>
                    <w:rPr>
                      <w:rFonts w:hint="eastAsia"/>
                    </w:rPr>
                    <w:t>0</w:t>
                  </w:r>
                </w:p>
              </w:tc>
              <w:tc>
                <w:tcPr>
                  <w:tcW w:w="695"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lang w:val="en-US" w:eastAsia="zh-CN"/>
                    </w:rPr>
                  </w:pPr>
                  <w:r>
                    <w:rPr>
                      <w:rFonts w:hint="eastAsia"/>
                    </w:rPr>
                    <w:t>0.0</w:t>
                  </w:r>
                  <w:r>
                    <w:rPr>
                      <w:rFonts w:hint="eastAsia"/>
                      <w:lang w:val="en-US" w:eastAsia="zh-CN"/>
                    </w:rPr>
                    <w:t>46</w:t>
                  </w:r>
                </w:p>
              </w:tc>
              <w:tc>
                <w:tcPr>
                  <w:tcW w:w="695" w:type="pct"/>
                  <w:vAlign w:val="center"/>
                </w:tcPr>
                <w:p>
                  <w:pPr>
                    <w:keepNext w:val="0"/>
                    <w:keepLines w:val="0"/>
                    <w:suppressLineNumbers w:val="0"/>
                    <w:spacing w:before="0" w:beforeAutospacing="0" w:after="0" w:afterAutospacing="0"/>
                    <w:ind w:left="0" w:right="0"/>
                    <w:jc w:val="center"/>
                    <w:rPr>
                      <w:rFonts w:hint="default" w:eastAsia="宋体"/>
                      <w:szCs w:val="21"/>
                      <w:lang w:val="en-US" w:eastAsia="zh-CN"/>
                    </w:rPr>
                  </w:pPr>
                  <w:r>
                    <w:rPr>
                      <w:rFonts w:hint="eastAsia"/>
                      <w:szCs w:val="21"/>
                    </w:rPr>
                    <w:t>0.0</w:t>
                  </w:r>
                  <w:r>
                    <w:rPr>
                      <w:rFonts w:hint="eastAsia"/>
                      <w:szCs w:val="21"/>
                      <w:lang w:val="en-US" w:eastAsia="zh-CN"/>
                    </w:rPr>
                    <w:t>23</w:t>
                  </w:r>
                </w:p>
              </w:tc>
              <w:tc>
                <w:tcPr>
                  <w:tcW w:w="874" w:type="dxa"/>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lang w:val="en-US"/>
                    </w:rPr>
                  </w:pPr>
                  <w:r>
                    <w:rPr>
                      <w:rFonts w:hint="eastAsia"/>
                    </w:rPr>
                    <w:t>0.0</w:t>
                  </w:r>
                  <w:r>
                    <w:rPr>
                      <w:rFonts w:hint="eastAsia"/>
                      <w:lang w:val="en-US" w:eastAsia="zh-CN"/>
                    </w:rPr>
                    <w:t>23</w:t>
                  </w:r>
                </w:p>
              </w:tc>
              <w:tc>
                <w:tcPr>
                  <w:tcW w:w="544" w:type="pct"/>
                  <w:vAlign w:val="center"/>
                </w:tcPr>
                <w:p>
                  <w:pPr>
                    <w:keepNext w:val="0"/>
                    <w:keepLines w:val="0"/>
                    <w:suppressLineNumbers w:val="0"/>
                    <w:adjustRightInd w:val="0"/>
                    <w:snapToGrid w:val="0"/>
                    <w:spacing w:before="0" w:beforeAutospacing="0" w:after="0" w:afterAutospacing="0"/>
                    <w:ind w:left="0" w:right="0"/>
                    <w:jc w:val="center"/>
                  </w:pPr>
                  <w:r>
                    <w:rPr>
                      <w:rFonts w:hint="eastAsia"/>
                    </w:rPr>
                    <w:t>0</w:t>
                  </w:r>
                </w:p>
              </w:tc>
              <w:tc>
                <w:tcPr>
                  <w:tcW w:w="863" w:type="dxa"/>
                  <w:vAlign w:val="center"/>
                </w:tcPr>
                <w:p>
                  <w:pPr>
                    <w:keepNext w:val="0"/>
                    <w:keepLines w:val="0"/>
                    <w:suppressLineNumbers w:val="0"/>
                    <w:adjustRightInd w:val="0"/>
                    <w:snapToGrid w:val="0"/>
                    <w:spacing w:before="0" w:beforeAutospacing="0" w:after="0" w:afterAutospacing="0"/>
                    <w:ind w:left="0" w:leftChars="0" w:right="0" w:rightChars="0"/>
                    <w:jc w:val="center"/>
                  </w:pPr>
                  <w:r>
                    <w:rPr>
                      <w:rFonts w:hint="eastAsia"/>
                    </w:rPr>
                    <w:t>0.0</w:t>
                  </w:r>
                  <w:r>
                    <w:rPr>
                      <w:rFonts w:hint="eastAsia"/>
                      <w:lang w:val="en-US" w:eastAsia="zh-CN"/>
                    </w:rPr>
                    <w:t>23</w:t>
                  </w:r>
                </w:p>
              </w:tc>
              <w:tc>
                <w:tcPr>
                  <w:tcW w:w="572"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lang w:val="en-US" w:eastAsia="zh-CN"/>
                    </w:rPr>
                  </w:pPr>
                  <w:r>
                    <w:rPr>
                      <w:rFonts w:hint="eastAsia"/>
                    </w:rPr>
                    <w:t>+0.0</w:t>
                  </w:r>
                  <w:r>
                    <w:rPr>
                      <w:rFonts w:hint="eastAsia"/>
                      <w:lang w:val="en-US" w:eastAsia="zh-CN"/>
                    </w:rPr>
                    <w:t>23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54" w:type="pct"/>
                  <w:vMerge w:val="restart"/>
                  <w:vAlign w:val="center"/>
                </w:tcPr>
                <w:p>
                  <w:pPr>
                    <w:keepNext w:val="0"/>
                    <w:keepLines w:val="0"/>
                    <w:widowControl/>
                    <w:suppressLineNumbers w:val="0"/>
                    <w:spacing w:before="0" w:beforeAutospacing="0" w:after="0" w:afterAutospacing="0"/>
                    <w:ind w:left="0" w:right="0"/>
                    <w:jc w:val="center"/>
                    <w:rPr>
                      <w:bCs/>
                      <w:szCs w:val="21"/>
                    </w:rPr>
                  </w:pPr>
                  <w:r>
                    <w:rPr>
                      <w:bCs/>
                      <w:szCs w:val="21"/>
                    </w:rPr>
                    <w:t>废气</w:t>
                  </w:r>
                </w:p>
              </w:tc>
              <w:tc>
                <w:tcPr>
                  <w:tcW w:w="497"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VOCs</w:t>
                  </w:r>
                </w:p>
              </w:tc>
              <w:tc>
                <w:tcPr>
                  <w:tcW w:w="549"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0</w:t>
                  </w:r>
                </w:p>
              </w:tc>
              <w:tc>
                <w:tcPr>
                  <w:tcW w:w="695" w:type="pct"/>
                  <w:vAlign w:val="center"/>
                </w:tcPr>
                <w:p>
                  <w:pPr>
                    <w:keepNext w:val="0"/>
                    <w:keepLines w:val="0"/>
                    <w:suppressLineNumbers w:val="0"/>
                    <w:spacing w:before="0" w:beforeAutospacing="0" w:after="0" w:afterAutospacing="0"/>
                    <w:ind w:left="0" w:right="0"/>
                    <w:jc w:val="center"/>
                    <w:rPr>
                      <w:rFonts w:hint="default" w:eastAsia="宋体"/>
                      <w:szCs w:val="21"/>
                      <w:lang w:val="en-US" w:eastAsia="zh-CN"/>
                    </w:rPr>
                  </w:pPr>
                  <w:r>
                    <w:rPr>
                      <w:rFonts w:hint="eastAsia"/>
                      <w:szCs w:val="21"/>
                    </w:rPr>
                    <w:t>0.</w:t>
                  </w:r>
                  <w:r>
                    <w:rPr>
                      <w:rFonts w:hint="eastAsia"/>
                      <w:szCs w:val="21"/>
                      <w:lang w:val="en-US" w:eastAsia="zh-CN"/>
                    </w:rPr>
                    <w:t>5562</w:t>
                  </w:r>
                </w:p>
              </w:tc>
              <w:tc>
                <w:tcPr>
                  <w:tcW w:w="695" w:type="pct"/>
                  <w:vAlign w:val="center"/>
                </w:tcPr>
                <w:p>
                  <w:pPr>
                    <w:keepNext w:val="0"/>
                    <w:keepLines w:val="0"/>
                    <w:suppressLineNumbers w:val="0"/>
                    <w:spacing w:before="0" w:beforeAutospacing="0" w:after="0" w:afterAutospacing="0"/>
                    <w:ind w:left="0" w:right="0"/>
                    <w:jc w:val="center"/>
                    <w:rPr>
                      <w:rFonts w:hint="default" w:eastAsia="宋体"/>
                      <w:szCs w:val="21"/>
                      <w:lang w:val="en-US" w:eastAsia="zh-CN"/>
                    </w:rPr>
                  </w:pPr>
                  <w:r>
                    <w:rPr>
                      <w:rFonts w:hint="eastAsia"/>
                      <w:szCs w:val="21"/>
                    </w:rPr>
                    <w:t>0.</w:t>
                  </w:r>
                  <w:r>
                    <w:rPr>
                      <w:rFonts w:hint="eastAsia"/>
                      <w:szCs w:val="21"/>
                      <w:lang w:val="en-US" w:eastAsia="zh-CN"/>
                    </w:rPr>
                    <w:t>4452</w:t>
                  </w:r>
                </w:p>
              </w:tc>
              <w:tc>
                <w:tcPr>
                  <w:tcW w:w="547" w:type="pct"/>
                  <w:vAlign w:val="center"/>
                </w:tcPr>
                <w:p>
                  <w:pPr>
                    <w:keepNext w:val="0"/>
                    <w:keepLines w:val="0"/>
                    <w:suppressLineNumbers w:val="0"/>
                    <w:spacing w:before="0" w:beforeAutospacing="0" w:after="0" w:afterAutospacing="0"/>
                    <w:ind w:left="0" w:right="0"/>
                    <w:jc w:val="center"/>
                    <w:rPr>
                      <w:rFonts w:hint="default" w:eastAsia="宋体"/>
                      <w:szCs w:val="21"/>
                      <w:lang w:val="en-US" w:eastAsia="zh-CN"/>
                    </w:rPr>
                  </w:pPr>
                  <w:r>
                    <w:rPr>
                      <w:rFonts w:hint="eastAsia"/>
                      <w:szCs w:val="21"/>
                    </w:rPr>
                    <w:t>0.</w:t>
                  </w:r>
                  <w:r>
                    <w:rPr>
                      <w:rFonts w:hint="eastAsia"/>
                      <w:szCs w:val="21"/>
                      <w:lang w:val="en-US" w:eastAsia="zh-CN"/>
                    </w:rPr>
                    <w:t>111</w:t>
                  </w:r>
                </w:p>
              </w:tc>
              <w:tc>
                <w:tcPr>
                  <w:tcW w:w="544"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0</w:t>
                  </w:r>
                </w:p>
              </w:tc>
              <w:tc>
                <w:tcPr>
                  <w:tcW w:w="544" w:type="pct"/>
                  <w:vAlign w:val="center"/>
                </w:tcPr>
                <w:p>
                  <w:pPr>
                    <w:keepNext w:val="0"/>
                    <w:keepLines w:val="0"/>
                    <w:suppressLineNumbers w:val="0"/>
                    <w:spacing w:before="0" w:beforeAutospacing="0" w:after="0" w:afterAutospacing="0"/>
                    <w:ind w:left="0" w:right="0"/>
                    <w:jc w:val="center"/>
                    <w:rPr>
                      <w:rFonts w:hint="default" w:eastAsia="宋体"/>
                      <w:szCs w:val="21"/>
                      <w:lang w:val="en-US" w:eastAsia="zh-CN"/>
                    </w:rPr>
                  </w:pPr>
                  <w:r>
                    <w:rPr>
                      <w:rFonts w:hint="eastAsia"/>
                      <w:szCs w:val="21"/>
                    </w:rPr>
                    <w:t>0.</w:t>
                  </w:r>
                  <w:r>
                    <w:rPr>
                      <w:rFonts w:hint="eastAsia"/>
                      <w:szCs w:val="21"/>
                      <w:lang w:val="en-US" w:eastAsia="zh-CN"/>
                    </w:rPr>
                    <w:t>111</w:t>
                  </w:r>
                </w:p>
              </w:tc>
              <w:tc>
                <w:tcPr>
                  <w:tcW w:w="572" w:type="pct"/>
                  <w:vAlign w:val="center"/>
                </w:tcPr>
                <w:p>
                  <w:pPr>
                    <w:keepNext w:val="0"/>
                    <w:keepLines w:val="0"/>
                    <w:suppressLineNumbers w:val="0"/>
                    <w:spacing w:before="0" w:beforeAutospacing="0" w:after="0" w:afterAutospacing="0"/>
                    <w:ind w:left="0" w:right="0"/>
                    <w:jc w:val="center"/>
                    <w:rPr>
                      <w:rFonts w:hint="default" w:eastAsia="宋体"/>
                      <w:szCs w:val="21"/>
                      <w:lang w:val="en-US" w:eastAsia="zh-CN"/>
                    </w:rPr>
                  </w:pPr>
                  <w:r>
                    <w:rPr>
                      <w:rFonts w:hint="eastAsia"/>
                      <w:szCs w:val="21"/>
                    </w:rPr>
                    <w:t>+0.</w:t>
                  </w:r>
                  <w:r>
                    <w:rPr>
                      <w:rFonts w:hint="eastAsia"/>
                      <w:szCs w:val="21"/>
                      <w:lang w:val="en-US" w:eastAsia="zh-CN"/>
                    </w:rPr>
                    <w:t>111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54" w:type="pct"/>
                  <w:vMerge w:val="continue"/>
                  <w:vAlign w:val="center"/>
                </w:tcPr>
                <w:p>
                  <w:pPr>
                    <w:keepNext w:val="0"/>
                    <w:keepLines w:val="0"/>
                    <w:widowControl/>
                    <w:suppressLineNumbers w:val="0"/>
                    <w:spacing w:before="0" w:beforeAutospacing="0" w:after="0" w:afterAutospacing="0"/>
                    <w:ind w:left="0" w:right="0"/>
                    <w:jc w:val="center"/>
                    <w:rPr>
                      <w:bCs/>
                      <w:szCs w:val="21"/>
                    </w:rPr>
                  </w:pPr>
                </w:p>
              </w:tc>
              <w:tc>
                <w:tcPr>
                  <w:tcW w:w="497"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颗粒物</w:t>
                  </w:r>
                </w:p>
              </w:tc>
              <w:tc>
                <w:tcPr>
                  <w:tcW w:w="549"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0.216</w:t>
                  </w:r>
                </w:p>
              </w:tc>
              <w:tc>
                <w:tcPr>
                  <w:tcW w:w="695"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4.9</w:t>
                  </w:r>
                </w:p>
              </w:tc>
              <w:tc>
                <w:tcPr>
                  <w:tcW w:w="695"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4.802</w:t>
                  </w:r>
                </w:p>
              </w:tc>
              <w:tc>
                <w:tcPr>
                  <w:tcW w:w="547"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0.098</w:t>
                  </w:r>
                </w:p>
              </w:tc>
              <w:tc>
                <w:tcPr>
                  <w:tcW w:w="544" w:type="pct"/>
                  <w:vAlign w:val="center"/>
                </w:tcPr>
                <w:p>
                  <w:pPr>
                    <w:keepNext w:val="0"/>
                    <w:keepLines w:val="0"/>
                    <w:suppressLineNumbers w:val="0"/>
                    <w:spacing w:before="0" w:beforeAutospacing="0" w:after="0" w:afterAutospacing="0"/>
                    <w:ind w:left="0" w:leftChars="0" w:right="0" w:rightChars="0"/>
                    <w:jc w:val="center"/>
                    <w:rPr>
                      <w:szCs w:val="21"/>
                    </w:rPr>
                  </w:pPr>
                  <w:r>
                    <w:rPr>
                      <w:rFonts w:hint="eastAsia"/>
                      <w:szCs w:val="21"/>
                    </w:rPr>
                    <w:t>0.216</w:t>
                  </w:r>
                </w:p>
              </w:tc>
              <w:tc>
                <w:tcPr>
                  <w:tcW w:w="544"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0.098</w:t>
                  </w:r>
                </w:p>
              </w:tc>
              <w:tc>
                <w:tcPr>
                  <w:tcW w:w="572" w:type="pct"/>
                  <w:vAlign w:val="center"/>
                </w:tcPr>
                <w:p>
                  <w:pPr>
                    <w:keepNext w:val="0"/>
                    <w:keepLines w:val="0"/>
                    <w:suppressLineNumbers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-0.118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54" w:type="pct"/>
                  <w:vMerge w:val="continue"/>
                  <w:vAlign w:val="center"/>
                </w:tcPr>
                <w:p>
                  <w:pPr>
                    <w:keepNext w:val="0"/>
                    <w:keepLines w:val="0"/>
                    <w:widowControl/>
                    <w:suppressLineNumbers w:val="0"/>
                    <w:spacing w:before="0" w:beforeAutospacing="0" w:after="0" w:afterAutospacing="0"/>
                    <w:ind w:left="0" w:right="0"/>
                    <w:jc w:val="center"/>
                    <w:rPr>
                      <w:bCs/>
                      <w:szCs w:val="21"/>
                    </w:rPr>
                  </w:pPr>
                </w:p>
              </w:tc>
              <w:tc>
                <w:tcPr>
                  <w:tcW w:w="497" w:type="pct"/>
                  <w:vAlign w:val="center"/>
                </w:tcPr>
                <w:p>
                  <w:pPr>
                    <w:keepNext w:val="0"/>
                    <w:keepLines w:val="0"/>
                    <w:suppressLineNumbers w:val="0"/>
                    <w:spacing w:before="0" w:beforeAutospacing="0" w:after="0" w:afterAutospacing="0"/>
                    <w:ind w:left="0" w:right="0"/>
                    <w:jc w:val="center"/>
                    <w:rPr>
                      <w:szCs w:val="21"/>
                      <w:vertAlign w:val="subscript"/>
                    </w:rPr>
                  </w:pPr>
                  <w:r>
                    <w:rPr>
                      <w:rFonts w:hint="eastAsia"/>
                      <w:szCs w:val="21"/>
                    </w:rPr>
                    <w:t>NO</w:t>
                  </w:r>
                  <w:r>
                    <w:rPr>
                      <w:rFonts w:hint="eastAsia"/>
                      <w:szCs w:val="21"/>
                      <w:vertAlign w:val="subscript"/>
                    </w:rPr>
                    <w:t>X</w:t>
                  </w:r>
                </w:p>
              </w:tc>
              <w:tc>
                <w:tcPr>
                  <w:tcW w:w="549"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0.19</w:t>
                  </w:r>
                </w:p>
              </w:tc>
              <w:tc>
                <w:tcPr>
                  <w:tcW w:w="695"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0</w:t>
                  </w:r>
                </w:p>
              </w:tc>
              <w:tc>
                <w:tcPr>
                  <w:tcW w:w="695"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0</w:t>
                  </w:r>
                </w:p>
              </w:tc>
              <w:tc>
                <w:tcPr>
                  <w:tcW w:w="547"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0</w:t>
                  </w:r>
                </w:p>
              </w:tc>
              <w:tc>
                <w:tcPr>
                  <w:tcW w:w="544" w:type="pct"/>
                  <w:vAlign w:val="center"/>
                </w:tcPr>
                <w:p>
                  <w:pPr>
                    <w:keepNext w:val="0"/>
                    <w:keepLines w:val="0"/>
                    <w:suppressLineNumbers w:val="0"/>
                    <w:spacing w:before="0" w:beforeAutospacing="0" w:after="0" w:afterAutospacing="0"/>
                    <w:ind w:left="0" w:leftChars="0" w:right="0" w:rightChars="0"/>
                    <w:jc w:val="center"/>
                    <w:rPr>
                      <w:szCs w:val="21"/>
                    </w:rPr>
                  </w:pPr>
                  <w:r>
                    <w:rPr>
                      <w:rFonts w:hint="eastAsia"/>
                      <w:szCs w:val="21"/>
                    </w:rPr>
                    <w:t>0.19</w:t>
                  </w:r>
                </w:p>
              </w:tc>
              <w:tc>
                <w:tcPr>
                  <w:tcW w:w="544"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0</w:t>
                  </w:r>
                </w:p>
              </w:tc>
              <w:tc>
                <w:tcPr>
                  <w:tcW w:w="1017" w:type="dxa"/>
                  <w:vAlign w:val="center"/>
                </w:tcPr>
                <w:p>
                  <w:pPr>
                    <w:keepNext w:val="0"/>
                    <w:keepLines w:val="0"/>
                    <w:suppressLineNumbers w:val="0"/>
                    <w:spacing w:before="0" w:beforeAutospacing="0" w:after="0" w:afterAutospacing="0"/>
                    <w:ind w:left="0" w:leftChars="0" w:right="0" w:rightChars="0"/>
                    <w:jc w:val="center"/>
                    <w:rPr>
                      <w:szCs w:val="21"/>
                    </w:rPr>
                  </w:pPr>
                  <w:r>
                    <w:rPr>
                      <w:rFonts w:hint="eastAsia"/>
                      <w:szCs w:val="21"/>
                      <w:lang w:val="en-US" w:eastAsia="zh-CN"/>
                    </w:rPr>
                    <w:t>-</w:t>
                  </w:r>
                  <w:r>
                    <w:rPr>
                      <w:rFonts w:hint="eastAsia"/>
                      <w:szCs w:val="21"/>
                    </w:rPr>
                    <w:t>0.19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54" w:type="pct"/>
                  <w:vMerge w:val="continue"/>
                  <w:vAlign w:val="center"/>
                </w:tcPr>
                <w:p>
                  <w:pPr>
                    <w:keepNext w:val="0"/>
                    <w:keepLines w:val="0"/>
                    <w:widowControl/>
                    <w:suppressLineNumbers w:val="0"/>
                    <w:spacing w:before="0" w:beforeAutospacing="0" w:after="0" w:afterAutospacing="0"/>
                    <w:ind w:left="0" w:right="0"/>
                    <w:jc w:val="center"/>
                    <w:rPr>
                      <w:bCs/>
                      <w:szCs w:val="21"/>
                    </w:rPr>
                  </w:pPr>
                </w:p>
              </w:tc>
              <w:tc>
                <w:tcPr>
                  <w:tcW w:w="497" w:type="pct"/>
                  <w:vAlign w:val="center"/>
                </w:tcPr>
                <w:p>
                  <w:pPr>
                    <w:keepNext w:val="0"/>
                    <w:keepLines w:val="0"/>
                    <w:suppressLineNumbers w:val="0"/>
                    <w:spacing w:before="0" w:beforeAutospacing="0" w:after="0" w:afterAutospacing="0"/>
                    <w:ind w:left="0" w:right="0"/>
                    <w:jc w:val="center"/>
                    <w:rPr>
                      <w:szCs w:val="21"/>
                      <w:vertAlign w:val="subscript"/>
                    </w:rPr>
                  </w:pPr>
                  <w:r>
                    <w:rPr>
                      <w:rFonts w:hint="eastAsia"/>
                      <w:szCs w:val="21"/>
                    </w:rPr>
                    <w:t>SO</w:t>
                  </w:r>
                  <w:r>
                    <w:rPr>
                      <w:rFonts w:hint="eastAsia"/>
                      <w:szCs w:val="21"/>
                      <w:vertAlign w:val="subscript"/>
                    </w:rPr>
                    <w:t>2</w:t>
                  </w:r>
                </w:p>
              </w:tc>
              <w:tc>
                <w:tcPr>
                  <w:tcW w:w="549"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0.04</w:t>
                  </w:r>
                </w:p>
              </w:tc>
              <w:tc>
                <w:tcPr>
                  <w:tcW w:w="695"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0</w:t>
                  </w:r>
                </w:p>
              </w:tc>
              <w:tc>
                <w:tcPr>
                  <w:tcW w:w="695"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0</w:t>
                  </w:r>
                </w:p>
              </w:tc>
              <w:tc>
                <w:tcPr>
                  <w:tcW w:w="547"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0</w:t>
                  </w:r>
                </w:p>
              </w:tc>
              <w:tc>
                <w:tcPr>
                  <w:tcW w:w="544" w:type="pct"/>
                  <w:vAlign w:val="center"/>
                </w:tcPr>
                <w:p>
                  <w:pPr>
                    <w:keepNext w:val="0"/>
                    <w:keepLines w:val="0"/>
                    <w:suppressLineNumbers w:val="0"/>
                    <w:spacing w:before="0" w:beforeAutospacing="0" w:after="0" w:afterAutospacing="0"/>
                    <w:ind w:left="0" w:leftChars="0" w:right="0" w:rightChars="0"/>
                    <w:jc w:val="center"/>
                    <w:rPr>
                      <w:szCs w:val="21"/>
                    </w:rPr>
                  </w:pPr>
                  <w:r>
                    <w:rPr>
                      <w:rFonts w:hint="eastAsia"/>
                      <w:szCs w:val="21"/>
                    </w:rPr>
                    <w:t>0.04</w:t>
                  </w:r>
                </w:p>
              </w:tc>
              <w:tc>
                <w:tcPr>
                  <w:tcW w:w="544"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0</w:t>
                  </w:r>
                </w:p>
              </w:tc>
              <w:tc>
                <w:tcPr>
                  <w:tcW w:w="1017" w:type="dxa"/>
                  <w:vAlign w:val="center"/>
                </w:tcPr>
                <w:p>
                  <w:pPr>
                    <w:keepNext w:val="0"/>
                    <w:keepLines w:val="0"/>
                    <w:suppressLineNumbers w:val="0"/>
                    <w:spacing w:before="0" w:beforeAutospacing="0" w:after="0" w:afterAutospacing="0"/>
                    <w:ind w:left="0" w:leftChars="0" w:right="0" w:rightChars="0"/>
                    <w:jc w:val="center"/>
                    <w:rPr>
                      <w:szCs w:val="21"/>
                    </w:rPr>
                  </w:pPr>
                  <w:r>
                    <w:rPr>
                      <w:rFonts w:hint="eastAsia"/>
                      <w:szCs w:val="21"/>
                      <w:lang w:val="en-US" w:eastAsia="zh-CN"/>
                    </w:rPr>
                    <w:t>-</w:t>
                  </w:r>
                  <w:r>
                    <w:rPr>
                      <w:rFonts w:hint="eastAsia"/>
                      <w:szCs w:val="21"/>
                    </w:rPr>
                    <w:t>0.04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54" w:type="pct"/>
                  <w:vMerge w:val="restart"/>
                  <w:vAlign w:val="center"/>
                </w:tcPr>
                <w:p>
                  <w:pPr>
                    <w:keepNext w:val="0"/>
                    <w:keepLines w:val="0"/>
                    <w:widowControl/>
                    <w:suppressLineNumbers w:val="0"/>
                    <w:spacing w:before="0" w:beforeAutospacing="0" w:after="0" w:afterAutospacing="0"/>
                    <w:ind w:left="0" w:right="0"/>
                    <w:jc w:val="center"/>
                    <w:rPr>
                      <w:bCs/>
                      <w:szCs w:val="21"/>
                    </w:rPr>
                  </w:pPr>
                  <w:r>
                    <w:rPr>
                      <w:bCs/>
                      <w:szCs w:val="21"/>
                    </w:rPr>
                    <w:t>固废</w:t>
                  </w:r>
                </w:p>
              </w:tc>
              <w:tc>
                <w:tcPr>
                  <w:tcW w:w="497" w:type="pct"/>
                  <w:vAlign w:val="center"/>
                </w:tcPr>
                <w:p>
                  <w:pPr>
                    <w:keepNext w:val="0"/>
                    <w:keepLines w:val="0"/>
                    <w:suppressLineNumbers w:val="0"/>
                    <w:spacing w:before="0" w:beforeAutospacing="0" w:after="0" w:afterAutospacing="0"/>
                    <w:ind w:left="0" w:right="0"/>
                    <w:jc w:val="center"/>
                    <w:rPr>
                      <w:szCs w:val="21"/>
                    </w:rPr>
                  </w:pPr>
                  <w:r>
                    <w:rPr>
                      <w:szCs w:val="21"/>
                    </w:rPr>
                    <w:t>一般固废</w:t>
                  </w:r>
                </w:p>
              </w:tc>
              <w:tc>
                <w:tcPr>
                  <w:tcW w:w="549"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0</w:t>
                  </w:r>
                </w:p>
              </w:tc>
              <w:tc>
                <w:tcPr>
                  <w:tcW w:w="695" w:type="pct"/>
                  <w:vAlign w:val="center"/>
                </w:tcPr>
                <w:p>
                  <w:pPr>
                    <w:keepNext w:val="0"/>
                    <w:keepLines w:val="0"/>
                    <w:suppressLineNumbers w:val="0"/>
                    <w:spacing w:before="0" w:beforeAutospacing="0" w:after="0" w:afterAutospacing="0"/>
                    <w:ind w:left="0" w:right="0"/>
                    <w:jc w:val="center"/>
                    <w:rPr>
                      <w:rFonts w:hint="default" w:eastAsia="宋体"/>
                      <w:szCs w:val="21"/>
                      <w:lang w:val="en-US" w:eastAsia="zh-CN"/>
                    </w:rPr>
                  </w:pPr>
                  <w:r>
                    <w:rPr>
                      <w:rFonts w:hint="eastAsia"/>
                      <w:szCs w:val="21"/>
                    </w:rPr>
                    <w:t>1</w:t>
                  </w:r>
                  <w:r>
                    <w:rPr>
                      <w:rFonts w:hint="eastAsia"/>
                      <w:szCs w:val="21"/>
                      <w:lang w:val="en-US" w:eastAsia="zh-CN"/>
                    </w:rPr>
                    <w:t>240.0834</w:t>
                  </w:r>
                </w:p>
              </w:tc>
              <w:tc>
                <w:tcPr>
                  <w:tcW w:w="1109" w:type="dxa"/>
                  <w:vAlign w:val="center"/>
                </w:tcPr>
                <w:p>
                  <w:pPr>
                    <w:keepNext w:val="0"/>
                    <w:keepLines w:val="0"/>
                    <w:suppressLineNumbers w:val="0"/>
                    <w:spacing w:before="0" w:beforeAutospacing="0" w:after="0" w:afterAutospacing="0"/>
                    <w:ind w:left="0" w:leftChars="0" w:right="0" w:rightChars="0"/>
                    <w:jc w:val="center"/>
                    <w:rPr>
                      <w:szCs w:val="21"/>
                    </w:rPr>
                  </w:pPr>
                  <w:r>
                    <w:rPr>
                      <w:rFonts w:hint="eastAsia"/>
                      <w:szCs w:val="21"/>
                    </w:rPr>
                    <w:t>1</w:t>
                  </w:r>
                  <w:r>
                    <w:rPr>
                      <w:rFonts w:hint="eastAsia"/>
                      <w:szCs w:val="21"/>
                      <w:lang w:val="en-US" w:eastAsia="zh-CN"/>
                    </w:rPr>
                    <w:t>240.0834</w:t>
                  </w:r>
                </w:p>
              </w:tc>
              <w:tc>
                <w:tcPr>
                  <w:tcW w:w="547"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0</w:t>
                  </w:r>
                </w:p>
              </w:tc>
              <w:tc>
                <w:tcPr>
                  <w:tcW w:w="544"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0</w:t>
                  </w:r>
                </w:p>
              </w:tc>
              <w:tc>
                <w:tcPr>
                  <w:tcW w:w="544"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0</w:t>
                  </w:r>
                </w:p>
              </w:tc>
              <w:tc>
                <w:tcPr>
                  <w:tcW w:w="572"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354" w:type="pct"/>
                  <w:vMerge w:val="continue"/>
                  <w:vAlign w:val="center"/>
                </w:tcPr>
                <w:p>
                  <w:pPr>
                    <w:keepNext w:val="0"/>
                    <w:keepLines w:val="0"/>
                    <w:widowControl/>
                    <w:suppressLineNumbers w:val="0"/>
                    <w:spacing w:before="0" w:beforeAutospacing="0" w:after="0" w:afterAutospacing="0"/>
                    <w:ind w:left="0" w:right="0"/>
                    <w:jc w:val="center"/>
                    <w:rPr>
                      <w:bCs/>
                      <w:szCs w:val="21"/>
                    </w:rPr>
                  </w:pPr>
                </w:p>
              </w:tc>
              <w:tc>
                <w:tcPr>
                  <w:tcW w:w="497" w:type="pct"/>
                  <w:vAlign w:val="center"/>
                </w:tcPr>
                <w:p>
                  <w:pPr>
                    <w:keepNext w:val="0"/>
                    <w:keepLines w:val="0"/>
                    <w:suppressLineNumbers w:val="0"/>
                    <w:spacing w:before="0" w:beforeAutospacing="0" w:after="0" w:afterAutospacing="0"/>
                    <w:ind w:left="0" w:right="0"/>
                    <w:jc w:val="center"/>
                    <w:rPr>
                      <w:szCs w:val="21"/>
                    </w:rPr>
                  </w:pPr>
                  <w:r>
                    <w:rPr>
                      <w:szCs w:val="21"/>
                    </w:rPr>
                    <w:t>危险固废</w:t>
                  </w:r>
                </w:p>
              </w:tc>
              <w:tc>
                <w:tcPr>
                  <w:tcW w:w="549"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0</w:t>
                  </w:r>
                </w:p>
              </w:tc>
              <w:tc>
                <w:tcPr>
                  <w:tcW w:w="695" w:type="pct"/>
                  <w:vAlign w:val="center"/>
                </w:tcPr>
                <w:p>
                  <w:pPr>
                    <w:keepNext w:val="0"/>
                    <w:keepLines w:val="0"/>
                    <w:suppressLineNumbers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9.7</w:t>
                  </w:r>
                </w:p>
              </w:tc>
              <w:tc>
                <w:tcPr>
                  <w:tcW w:w="695" w:type="pct"/>
                  <w:vAlign w:val="center"/>
                </w:tcPr>
                <w:p>
                  <w:pPr>
                    <w:keepNext w:val="0"/>
                    <w:keepLines w:val="0"/>
                    <w:suppressLineNumbers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9.7</w:t>
                  </w:r>
                </w:p>
              </w:tc>
              <w:tc>
                <w:tcPr>
                  <w:tcW w:w="547"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0</w:t>
                  </w:r>
                </w:p>
              </w:tc>
              <w:tc>
                <w:tcPr>
                  <w:tcW w:w="544"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0</w:t>
                  </w:r>
                </w:p>
              </w:tc>
              <w:tc>
                <w:tcPr>
                  <w:tcW w:w="544"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0</w:t>
                  </w:r>
                </w:p>
              </w:tc>
              <w:tc>
                <w:tcPr>
                  <w:tcW w:w="572"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54" w:type="pct"/>
                  <w:vMerge w:val="continue"/>
                  <w:vAlign w:val="center"/>
                </w:tcPr>
                <w:p>
                  <w:pPr>
                    <w:keepNext w:val="0"/>
                    <w:keepLines w:val="0"/>
                    <w:widowControl/>
                    <w:suppressLineNumbers w:val="0"/>
                    <w:spacing w:before="0" w:beforeAutospacing="0" w:after="0" w:afterAutospacing="0"/>
                    <w:ind w:left="0" w:right="0"/>
                    <w:jc w:val="center"/>
                    <w:rPr>
                      <w:bCs/>
                      <w:szCs w:val="21"/>
                    </w:rPr>
                  </w:pPr>
                </w:p>
              </w:tc>
              <w:tc>
                <w:tcPr>
                  <w:tcW w:w="497" w:type="pct"/>
                  <w:vAlign w:val="center"/>
                </w:tcPr>
                <w:p>
                  <w:pPr>
                    <w:keepNext w:val="0"/>
                    <w:keepLines w:val="0"/>
                    <w:suppressLineNumbers w:val="0"/>
                    <w:spacing w:before="0" w:beforeAutospacing="0" w:after="0" w:afterAutospacing="0"/>
                    <w:ind w:left="0" w:right="0"/>
                    <w:jc w:val="center"/>
                    <w:rPr>
                      <w:szCs w:val="21"/>
                    </w:rPr>
                  </w:pPr>
                  <w:r>
                    <w:rPr>
                      <w:szCs w:val="21"/>
                    </w:rPr>
                    <w:t>生活垃圾</w:t>
                  </w:r>
                </w:p>
              </w:tc>
              <w:tc>
                <w:tcPr>
                  <w:tcW w:w="549"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0</w:t>
                  </w:r>
                </w:p>
              </w:tc>
              <w:tc>
                <w:tcPr>
                  <w:tcW w:w="695"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36</w:t>
                  </w:r>
                </w:p>
              </w:tc>
              <w:tc>
                <w:tcPr>
                  <w:tcW w:w="695"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36</w:t>
                  </w:r>
                </w:p>
              </w:tc>
              <w:tc>
                <w:tcPr>
                  <w:tcW w:w="547"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0</w:t>
                  </w:r>
                </w:p>
              </w:tc>
              <w:tc>
                <w:tcPr>
                  <w:tcW w:w="544"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0</w:t>
                  </w:r>
                </w:p>
              </w:tc>
              <w:tc>
                <w:tcPr>
                  <w:tcW w:w="544"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0</w:t>
                  </w:r>
                </w:p>
              </w:tc>
              <w:tc>
                <w:tcPr>
                  <w:tcW w:w="572"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0</w:t>
                  </w:r>
                </w:p>
              </w:tc>
            </w:tr>
          </w:tbl>
          <w:p>
            <w:pPr>
              <w:keepNext w:val="0"/>
              <w:keepLines w:val="0"/>
              <w:suppressLineNumbers w:val="0"/>
              <w:overflowPunct w:val="0"/>
              <w:autoSpaceDE w:val="0"/>
              <w:snapToGrid w:val="0"/>
              <w:spacing w:before="0" w:beforeAutospacing="0" w:after="0" w:afterAutospacing="0" w:line="360" w:lineRule="auto"/>
              <w:ind w:left="0" w:right="0" w:firstLine="482" w:firstLineChars="200"/>
              <w:rPr>
                <w:rFonts w:ascii="宋体" w:hAnsi="宋体"/>
                <w:b/>
                <w:bCs/>
                <w:sz w:val="24"/>
              </w:rPr>
            </w:pPr>
            <w:r>
              <w:rPr>
                <w:b/>
                <w:bCs/>
                <w:sz w:val="24"/>
              </w:rPr>
              <w:t>2、总</w:t>
            </w:r>
            <w:r>
              <w:rPr>
                <w:rFonts w:hint="eastAsia" w:ascii="宋体" w:hAnsi="宋体"/>
                <w:b/>
                <w:bCs/>
                <w:sz w:val="24"/>
              </w:rPr>
              <w:t>量平衡方案</w:t>
            </w:r>
          </w:p>
          <w:p>
            <w:pPr>
              <w:keepNext w:val="0"/>
              <w:keepLines w:val="0"/>
              <w:suppressLineNumbers w:val="0"/>
              <w:overflowPunct w:val="0"/>
              <w:autoSpaceDE w:val="0"/>
              <w:snapToGrid w:val="0"/>
              <w:spacing w:before="0" w:beforeAutospacing="0" w:after="0" w:afterAutospacing="0" w:line="360" w:lineRule="auto"/>
              <w:ind w:left="0" w:right="0" w:firstLine="480" w:firstLineChars="200"/>
              <w:rPr>
                <w:sz w:val="24"/>
              </w:rPr>
            </w:pPr>
            <w:r>
              <w:rPr>
                <w:sz w:val="24"/>
              </w:rPr>
              <w:t>废水：</w:t>
            </w:r>
            <w:r>
              <w:rPr>
                <w:rFonts w:hint="eastAsia"/>
                <w:sz w:val="24"/>
              </w:rPr>
              <w:t>水污染物：本项目污水水量3</w:t>
            </w:r>
            <w:r>
              <w:rPr>
                <w:rFonts w:hint="eastAsia"/>
                <w:sz w:val="24"/>
                <w:lang w:val="en-US" w:eastAsia="zh-CN"/>
              </w:rPr>
              <w:t>456</w:t>
            </w:r>
            <w:r>
              <w:rPr>
                <w:rFonts w:hint="eastAsia"/>
                <w:sz w:val="24"/>
              </w:rPr>
              <w:t xml:space="preserve">t/a，COD </w:t>
            </w:r>
            <w:r>
              <w:rPr>
                <w:rFonts w:hint="eastAsia"/>
                <w:sz w:val="24"/>
                <w:lang w:val="en-US" w:eastAsia="zh-CN"/>
              </w:rPr>
              <w:t>1.382</w:t>
            </w:r>
            <w:r>
              <w:rPr>
                <w:rFonts w:hint="eastAsia"/>
                <w:sz w:val="24"/>
              </w:rPr>
              <w:t xml:space="preserve">t/a、SS </w:t>
            </w:r>
            <w:r>
              <w:rPr>
                <w:rFonts w:hint="eastAsia"/>
                <w:sz w:val="24"/>
                <w:lang w:val="en-US" w:eastAsia="zh-CN"/>
              </w:rPr>
              <w:t>1.037</w:t>
            </w:r>
            <w:r>
              <w:rPr>
                <w:rFonts w:hint="eastAsia"/>
                <w:sz w:val="24"/>
              </w:rPr>
              <w:t>t/a、TN 0.</w:t>
            </w:r>
            <w:r>
              <w:rPr>
                <w:rFonts w:hint="eastAsia"/>
                <w:sz w:val="24"/>
                <w:lang w:val="en-US" w:eastAsia="zh-CN"/>
              </w:rPr>
              <w:t>1728</w:t>
            </w:r>
            <w:r>
              <w:rPr>
                <w:rFonts w:hint="eastAsia"/>
                <w:sz w:val="24"/>
              </w:rPr>
              <w:t>t/a、NH</w:t>
            </w:r>
            <w:r>
              <w:rPr>
                <w:rFonts w:hint="eastAsia"/>
                <w:sz w:val="24"/>
                <w:vertAlign w:val="subscript"/>
              </w:rPr>
              <w:t>3</w:t>
            </w:r>
            <w:r>
              <w:rPr>
                <w:rFonts w:hint="eastAsia"/>
                <w:sz w:val="24"/>
              </w:rPr>
              <w:t>-N 0.0</w:t>
            </w:r>
            <w:r>
              <w:rPr>
                <w:rFonts w:hint="eastAsia"/>
                <w:sz w:val="24"/>
                <w:lang w:val="en-US" w:eastAsia="zh-CN"/>
              </w:rPr>
              <w:t>864</w:t>
            </w:r>
            <w:r>
              <w:rPr>
                <w:rFonts w:hint="eastAsia"/>
                <w:sz w:val="24"/>
              </w:rPr>
              <w:t>t/a、TP 0.0</w:t>
            </w:r>
            <w:r>
              <w:rPr>
                <w:rFonts w:hint="eastAsia"/>
                <w:sz w:val="24"/>
                <w:lang w:val="en-US" w:eastAsia="zh-CN"/>
              </w:rPr>
              <w:t>1728</w:t>
            </w:r>
            <w:r>
              <w:rPr>
                <w:rFonts w:hint="eastAsia"/>
                <w:sz w:val="24"/>
              </w:rPr>
              <w:t>t/a、动植物油 0.0</w:t>
            </w:r>
            <w:r>
              <w:rPr>
                <w:rFonts w:hint="eastAsia"/>
                <w:sz w:val="24"/>
                <w:lang w:val="en-US" w:eastAsia="zh-CN"/>
              </w:rPr>
              <w:t>23</w:t>
            </w:r>
            <w:r>
              <w:rPr>
                <w:rFonts w:hint="eastAsia"/>
                <w:sz w:val="24"/>
              </w:rPr>
              <w:t>t/a，接入污水管网，排入武南污水处理厂集中处理，污染物总量在污水处理厂内平衡。</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sz w:val="24"/>
              </w:rPr>
              <w:t>废气：</w:t>
            </w:r>
            <w:r>
              <w:rPr>
                <w:rFonts w:hint="eastAsia" w:ascii="宋体" w:hAnsi="宋体"/>
                <w:sz w:val="24"/>
              </w:rPr>
              <w:t>项目排放</w:t>
            </w:r>
            <w:r>
              <w:rPr>
                <w:sz w:val="24"/>
              </w:rPr>
              <w:t>VOCs</w:t>
            </w:r>
            <w:r>
              <w:rPr>
                <w:rFonts w:hint="eastAsia"/>
                <w:sz w:val="24"/>
              </w:rPr>
              <w:t xml:space="preserve"> </w:t>
            </w:r>
            <w:r>
              <w:rPr>
                <w:sz w:val="24"/>
              </w:rPr>
              <w:t>0.</w:t>
            </w:r>
            <w:r>
              <w:rPr>
                <w:rFonts w:hint="eastAsia"/>
                <w:sz w:val="24"/>
                <w:lang w:val="en-US" w:eastAsia="zh-CN"/>
              </w:rPr>
              <w:t>111</w:t>
            </w:r>
            <w:r>
              <w:rPr>
                <w:sz w:val="24"/>
              </w:rPr>
              <w:t>t/a</w:t>
            </w:r>
            <w:r>
              <w:rPr>
                <w:rFonts w:hint="eastAsia"/>
                <w:sz w:val="24"/>
              </w:rPr>
              <w:t>、颗粒物0.098t/a</w:t>
            </w:r>
            <w:r>
              <w:rPr>
                <w:sz w:val="24"/>
              </w:rPr>
              <w:t>，根据《市政</w:t>
            </w:r>
            <w:r>
              <w:rPr>
                <w:rFonts w:hint="eastAsia" w:ascii="宋体" w:hAnsi="宋体"/>
                <w:sz w:val="24"/>
              </w:rPr>
              <w:t>府办公</w:t>
            </w:r>
            <w:r>
              <w:rPr>
                <w:sz w:val="24"/>
              </w:rPr>
              <w:t>室关于印发&lt;常州市建设项目主要污染物排放总量指标审核及管理实施细则&gt;的通知》（常政办发[2015]104号），“新、改、扩建排放挥发性有机物的项目，按工程减排类项目2倍削减量替代或关闭类项目1.5倍削减量替代”，因此，本项目VOCs</w:t>
            </w:r>
            <w:r>
              <w:rPr>
                <w:rFonts w:hint="eastAsia"/>
                <w:sz w:val="24"/>
              </w:rPr>
              <w:t>、颗粒物</w:t>
            </w:r>
            <w:r>
              <w:rPr>
                <w:sz w:val="24"/>
              </w:rPr>
              <w:t>应落实区域减量替代方案，总量在武进区削减的总量内平衡。</w:t>
            </w:r>
          </w:p>
          <w:p>
            <w:pPr>
              <w:keepNext w:val="0"/>
              <w:keepLines w:val="0"/>
              <w:suppressLineNumbers w:val="0"/>
              <w:spacing w:before="0" w:beforeAutospacing="0" w:after="0" w:afterAutospacing="0" w:line="360" w:lineRule="auto"/>
              <w:ind w:left="0" w:right="0" w:firstLine="480" w:firstLineChars="200"/>
              <w:rPr>
                <w:szCs w:val="21"/>
              </w:rPr>
            </w:pPr>
            <w:r>
              <w:rPr>
                <w:sz w:val="24"/>
              </w:rPr>
              <w:t>固废：本项目产生的固体废物均进行合理处置，实现固体废物零排放，无需申请总量。</w:t>
            </w:r>
          </w:p>
          <w:p>
            <w:pPr>
              <w:pStyle w:val="27"/>
              <w:keepNext w:val="0"/>
              <w:keepLines w:val="0"/>
              <w:suppressLineNumbers w:val="0"/>
              <w:ind w:left="-84" w:firstLine="560"/>
              <w:rPr>
                <w:rFonts w:eastAsiaTheme="minorEastAsia"/>
              </w:rPr>
            </w:pPr>
          </w:p>
          <w:p>
            <w:pPr>
              <w:pStyle w:val="27"/>
              <w:keepNext w:val="0"/>
              <w:keepLines w:val="0"/>
              <w:suppressLineNumbers w:val="0"/>
              <w:ind w:left="-84" w:firstLine="560"/>
              <w:rPr>
                <w:rFonts w:eastAsiaTheme="minorEastAsia"/>
              </w:rPr>
            </w:pPr>
          </w:p>
          <w:p>
            <w:pPr>
              <w:pStyle w:val="27"/>
              <w:keepNext w:val="0"/>
              <w:keepLines w:val="0"/>
              <w:suppressLineNumbers w:val="0"/>
              <w:ind w:left="0" w:leftChars="0" w:firstLine="383" w:firstLineChars="137"/>
              <w:rPr>
                <w:rFonts w:eastAsiaTheme="minorEastAsia"/>
              </w:rPr>
            </w:pPr>
          </w:p>
          <w:p>
            <w:pPr>
              <w:pStyle w:val="27"/>
              <w:keepNext w:val="0"/>
              <w:keepLines w:val="0"/>
              <w:suppressLineNumbers w:val="0"/>
              <w:ind w:left="0" w:leftChars="0" w:firstLine="383" w:firstLineChars="137"/>
              <w:rPr>
                <w:rFonts w:eastAsiaTheme="minorEastAsia"/>
              </w:rPr>
            </w:pPr>
          </w:p>
          <w:p>
            <w:pPr>
              <w:pStyle w:val="27"/>
              <w:keepNext w:val="0"/>
              <w:keepLines w:val="0"/>
              <w:suppressLineNumbers w:val="0"/>
              <w:ind w:left="0" w:leftChars="0" w:firstLine="383" w:firstLineChars="137"/>
              <w:rPr>
                <w:rFonts w:eastAsiaTheme="minorEastAsia"/>
              </w:rPr>
            </w:pPr>
          </w:p>
          <w:p>
            <w:pPr>
              <w:pStyle w:val="27"/>
              <w:keepNext w:val="0"/>
              <w:keepLines w:val="0"/>
              <w:suppressLineNumbers w:val="0"/>
              <w:ind w:left="0" w:leftChars="0" w:firstLine="383" w:firstLineChars="137"/>
              <w:rPr>
                <w:rFonts w:eastAsiaTheme="minorEastAsia"/>
              </w:rPr>
            </w:pPr>
          </w:p>
          <w:p>
            <w:pPr>
              <w:pStyle w:val="27"/>
              <w:keepNext w:val="0"/>
              <w:keepLines w:val="0"/>
              <w:suppressLineNumbers w:val="0"/>
              <w:ind w:left="0" w:leftChars="0" w:firstLine="383" w:firstLineChars="137"/>
              <w:rPr>
                <w:rFonts w:eastAsiaTheme="minorEastAsia"/>
              </w:rPr>
            </w:pPr>
          </w:p>
          <w:p>
            <w:pPr>
              <w:pStyle w:val="27"/>
              <w:keepNext w:val="0"/>
              <w:keepLines w:val="0"/>
              <w:suppressLineNumbers w:val="0"/>
              <w:ind w:left="0" w:leftChars="0" w:firstLine="383" w:firstLineChars="137"/>
              <w:rPr>
                <w:rFonts w:eastAsiaTheme="minorEastAsia"/>
              </w:rPr>
            </w:pPr>
          </w:p>
          <w:p>
            <w:pPr>
              <w:pStyle w:val="27"/>
              <w:keepNext w:val="0"/>
              <w:keepLines w:val="0"/>
              <w:suppressLineNumbers w:val="0"/>
              <w:ind w:left="0" w:leftChars="0" w:firstLine="383" w:firstLineChars="137"/>
              <w:rPr>
                <w:rFonts w:eastAsiaTheme="minorEastAsia"/>
              </w:rPr>
            </w:pPr>
          </w:p>
          <w:p>
            <w:pPr>
              <w:pStyle w:val="27"/>
              <w:keepNext w:val="0"/>
              <w:keepLines w:val="0"/>
              <w:suppressLineNumbers w:val="0"/>
              <w:ind w:left="0" w:leftChars="0" w:firstLine="383" w:firstLineChars="137"/>
              <w:rPr>
                <w:rFonts w:eastAsiaTheme="minorEastAsia"/>
              </w:rPr>
            </w:pPr>
          </w:p>
          <w:p>
            <w:pPr>
              <w:pStyle w:val="27"/>
              <w:keepNext w:val="0"/>
              <w:keepLines w:val="0"/>
              <w:suppressLineNumbers w:val="0"/>
              <w:ind w:left="0" w:leftChars="0" w:firstLine="383" w:firstLineChars="137"/>
              <w:rPr>
                <w:rFonts w:eastAsiaTheme="minorEastAsia"/>
              </w:rPr>
            </w:pPr>
          </w:p>
          <w:p>
            <w:pPr>
              <w:pStyle w:val="27"/>
              <w:keepNext w:val="0"/>
              <w:keepLines w:val="0"/>
              <w:suppressLineNumbers w:val="0"/>
              <w:ind w:left="0" w:leftChars="0" w:firstLine="383" w:firstLineChars="137"/>
              <w:rPr>
                <w:rFonts w:eastAsiaTheme="minorEastAsia"/>
              </w:rPr>
            </w:pPr>
          </w:p>
          <w:p>
            <w:pPr>
              <w:pStyle w:val="27"/>
              <w:keepNext w:val="0"/>
              <w:keepLines w:val="0"/>
              <w:suppressLineNumbers w:val="0"/>
              <w:ind w:left="0" w:leftChars="0" w:firstLine="383" w:firstLineChars="137"/>
              <w:rPr>
                <w:rFonts w:eastAsiaTheme="minorEastAsia"/>
              </w:rPr>
            </w:pPr>
          </w:p>
          <w:p>
            <w:pPr>
              <w:pStyle w:val="27"/>
              <w:keepNext w:val="0"/>
              <w:keepLines w:val="0"/>
              <w:suppressLineNumbers w:val="0"/>
              <w:ind w:left="0" w:leftChars="0" w:firstLine="383" w:firstLineChars="137"/>
              <w:rPr>
                <w:rFonts w:eastAsiaTheme="minorEastAsia"/>
              </w:rPr>
            </w:pPr>
          </w:p>
          <w:p>
            <w:pPr>
              <w:pStyle w:val="27"/>
              <w:keepNext w:val="0"/>
              <w:keepLines w:val="0"/>
              <w:suppressLineNumbers w:val="0"/>
              <w:ind w:left="0" w:leftChars="0" w:firstLine="383" w:firstLineChars="137"/>
              <w:rPr>
                <w:rFonts w:eastAsiaTheme="minorEastAsia"/>
              </w:rPr>
            </w:pPr>
          </w:p>
        </w:tc>
      </w:tr>
    </w:tbl>
    <w:p>
      <w:pPr>
        <w:pStyle w:val="18"/>
        <w:spacing w:before="0" w:beforeAutospacing="0" w:after="0" w:afterAutospacing="0"/>
        <w:jc w:val="center"/>
        <w:outlineLvl w:val="0"/>
        <w:rPr>
          <w:rFonts w:ascii="黑体" w:hAnsi="黑体" w:eastAsia="黑体"/>
          <w:snapToGrid w:val="0"/>
          <w:sz w:val="30"/>
          <w:szCs w:val="30"/>
        </w:rPr>
      </w:pPr>
      <w:r>
        <w:rPr>
          <w:rFonts w:ascii="黑体" w:hAnsi="黑体" w:eastAsia="黑体"/>
          <w:snapToGrid w:val="0"/>
          <w:sz w:val="36"/>
          <w:szCs w:val="36"/>
        </w:rPr>
        <w:br w:type="page"/>
      </w:r>
      <w:bookmarkStart w:id="5" w:name="_Toc22731"/>
      <w:r>
        <w:rPr>
          <w:rFonts w:hint="eastAsia" w:ascii="黑体" w:hAnsi="黑体" w:eastAsia="黑体"/>
          <w:snapToGrid w:val="0"/>
          <w:sz w:val="30"/>
          <w:szCs w:val="30"/>
        </w:rPr>
        <w:t>四、主要环境影响和保护措施</w:t>
      </w:r>
      <w:bookmarkEnd w:id="5"/>
    </w:p>
    <w:tbl>
      <w:tblPr>
        <w:tblStyle w:val="21"/>
        <w:tblW w:w="89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3"/>
        <w:gridCol w:w="83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3" w:hRule="atLeast"/>
          <w:jc w:val="center"/>
        </w:trPr>
        <w:tc>
          <w:tcPr>
            <w:tcW w:w="583" w:type="dxa"/>
            <w:tcMar>
              <w:left w:w="28" w:type="dxa"/>
              <w:right w:w="28" w:type="dxa"/>
            </w:tcMar>
            <w:vAlign w:val="center"/>
          </w:tcPr>
          <w:p>
            <w:pPr>
              <w:pStyle w:val="18"/>
              <w:keepNext w:val="0"/>
              <w:keepLines w:val="0"/>
              <w:suppressLineNumbers w:val="0"/>
              <w:adjustRightInd w:val="0"/>
              <w:snapToGrid w:val="0"/>
              <w:spacing w:before="0" w:beforeAutospacing="0" w:after="0" w:afterAutospacing="0"/>
              <w:ind w:left="0" w:right="0"/>
              <w:jc w:val="center"/>
              <w:rPr>
                <w:rFonts w:cs="宋体"/>
                <w:kern w:val="2"/>
                <w:sz w:val="21"/>
                <w:szCs w:val="21"/>
              </w:rPr>
            </w:pPr>
            <w:r>
              <w:rPr>
                <w:rFonts w:hint="eastAsia" w:cs="宋体"/>
                <w:kern w:val="2"/>
                <w:sz w:val="21"/>
                <w:szCs w:val="21"/>
              </w:rPr>
              <w:t>施工</w:t>
            </w:r>
          </w:p>
          <w:p>
            <w:pPr>
              <w:pStyle w:val="18"/>
              <w:keepNext w:val="0"/>
              <w:keepLines w:val="0"/>
              <w:suppressLineNumbers w:val="0"/>
              <w:adjustRightInd w:val="0"/>
              <w:snapToGrid w:val="0"/>
              <w:spacing w:before="0" w:beforeAutospacing="0" w:after="0" w:afterAutospacing="0"/>
              <w:ind w:left="0" w:right="0"/>
              <w:jc w:val="center"/>
              <w:rPr>
                <w:rFonts w:cs="宋体"/>
                <w:kern w:val="2"/>
                <w:sz w:val="21"/>
                <w:szCs w:val="21"/>
              </w:rPr>
            </w:pPr>
            <w:r>
              <w:rPr>
                <w:rFonts w:hint="eastAsia" w:cs="宋体"/>
                <w:kern w:val="2"/>
                <w:sz w:val="21"/>
                <w:szCs w:val="21"/>
              </w:rPr>
              <w:t>期环</w:t>
            </w:r>
          </w:p>
          <w:p>
            <w:pPr>
              <w:pStyle w:val="18"/>
              <w:keepNext w:val="0"/>
              <w:keepLines w:val="0"/>
              <w:suppressLineNumbers w:val="0"/>
              <w:adjustRightInd w:val="0"/>
              <w:snapToGrid w:val="0"/>
              <w:spacing w:before="0" w:beforeAutospacing="0" w:after="0" w:afterAutospacing="0"/>
              <w:ind w:left="0" w:right="0"/>
              <w:jc w:val="center"/>
              <w:rPr>
                <w:rFonts w:cs="宋体"/>
                <w:kern w:val="2"/>
                <w:sz w:val="21"/>
                <w:szCs w:val="21"/>
              </w:rPr>
            </w:pPr>
            <w:r>
              <w:rPr>
                <w:rFonts w:hint="eastAsia" w:cs="宋体"/>
                <w:kern w:val="2"/>
                <w:sz w:val="21"/>
                <w:szCs w:val="21"/>
              </w:rPr>
              <w:t>境保</w:t>
            </w:r>
          </w:p>
          <w:p>
            <w:pPr>
              <w:pStyle w:val="18"/>
              <w:keepNext w:val="0"/>
              <w:keepLines w:val="0"/>
              <w:suppressLineNumbers w:val="0"/>
              <w:adjustRightInd w:val="0"/>
              <w:snapToGrid w:val="0"/>
              <w:spacing w:before="0" w:beforeAutospacing="0" w:after="0" w:afterAutospacing="0"/>
              <w:ind w:left="0" w:right="0"/>
              <w:jc w:val="center"/>
              <w:rPr>
                <w:rFonts w:cs="宋体"/>
                <w:kern w:val="2"/>
                <w:sz w:val="21"/>
                <w:szCs w:val="21"/>
              </w:rPr>
            </w:pPr>
            <w:r>
              <w:rPr>
                <w:rFonts w:hint="eastAsia" w:cs="宋体"/>
                <w:kern w:val="2"/>
                <w:sz w:val="21"/>
                <w:szCs w:val="21"/>
              </w:rPr>
              <w:t>护措</w:t>
            </w:r>
          </w:p>
          <w:p>
            <w:pPr>
              <w:pStyle w:val="18"/>
              <w:keepNext w:val="0"/>
              <w:keepLines w:val="0"/>
              <w:suppressLineNumbers w:val="0"/>
              <w:adjustRightInd w:val="0"/>
              <w:snapToGrid w:val="0"/>
              <w:spacing w:before="0" w:beforeAutospacing="0" w:after="0" w:afterAutospacing="0"/>
              <w:ind w:left="0" w:right="0"/>
              <w:jc w:val="center"/>
              <w:rPr>
                <w:rFonts w:cs="宋体"/>
                <w:bCs/>
                <w:kern w:val="2"/>
                <w:sz w:val="21"/>
                <w:szCs w:val="21"/>
              </w:rPr>
            </w:pPr>
            <w:r>
              <w:rPr>
                <w:rFonts w:hint="eastAsia" w:cs="宋体"/>
                <w:kern w:val="2"/>
                <w:sz w:val="21"/>
                <w:szCs w:val="21"/>
              </w:rPr>
              <w:t>施</w:t>
            </w:r>
          </w:p>
        </w:tc>
        <w:tc>
          <w:tcPr>
            <w:tcW w:w="8398" w:type="dxa"/>
            <w:vAlign w:val="center"/>
          </w:tcPr>
          <w:p>
            <w:pPr>
              <w:keepNext w:val="0"/>
              <w:keepLines w:val="0"/>
              <w:pageBreakBefore w:val="0"/>
              <w:widowControl w:val="0"/>
              <w:suppressLineNumbers w:val="0"/>
              <w:tabs>
                <w:tab w:val="left" w:pos="7875"/>
              </w:tabs>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宋体" w:hAnsi="宋体" w:cs="宋体"/>
                <w:color w:val="000000"/>
                <w:sz w:val="24"/>
              </w:rPr>
            </w:pPr>
            <w:r>
              <w:rPr>
                <w:rFonts w:hint="eastAsia" w:ascii="宋体" w:hAnsi="宋体" w:cs="宋体"/>
                <w:color w:val="000000"/>
                <w:sz w:val="24"/>
              </w:rPr>
              <w:t>企业</w:t>
            </w:r>
            <w:r>
              <w:rPr>
                <w:rFonts w:hAnsi="宋体"/>
                <w:sz w:val="24"/>
              </w:rPr>
              <w:t>购买</w:t>
            </w:r>
            <w:r>
              <w:rPr>
                <w:rFonts w:hint="eastAsia" w:hAnsi="宋体"/>
                <w:sz w:val="24"/>
                <w:lang w:eastAsia="zh-CN"/>
              </w:rPr>
              <w:t>常州武进武新资产经营有限公司</w:t>
            </w:r>
            <w:r>
              <w:rPr>
                <w:rFonts w:hAnsi="宋体"/>
                <w:sz w:val="24"/>
              </w:rPr>
              <w:t>存量土地</w:t>
            </w:r>
            <w:r>
              <w:rPr>
                <w:sz w:val="24"/>
              </w:rPr>
              <w:t>68</w:t>
            </w:r>
            <w:r>
              <w:rPr>
                <w:rFonts w:hAnsi="宋体"/>
                <w:sz w:val="24"/>
              </w:rPr>
              <w:t>亩、存量厂房</w:t>
            </w:r>
            <w:r>
              <w:rPr>
                <w:sz w:val="24"/>
              </w:rPr>
              <w:t>26541.73</w:t>
            </w:r>
            <w:r>
              <w:rPr>
                <w:rFonts w:hAnsi="宋体"/>
                <w:sz w:val="24"/>
              </w:rPr>
              <w:t>平方米</w:t>
            </w:r>
            <w:r>
              <w:rPr>
                <w:rFonts w:hint="eastAsia" w:hAnsi="宋体"/>
                <w:sz w:val="24"/>
                <w:lang w:eastAsia="zh-CN"/>
              </w:rPr>
              <w:t>，</w:t>
            </w:r>
            <w:r>
              <w:rPr>
                <w:rFonts w:hAnsi="宋体"/>
                <w:sz w:val="24"/>
              </w:rPr>
              <w:t>并进行厂房改造</w:t>
            </w:r>
            <w:r>
              <w:rPr>
                <w:rFonts w:hint="eastAsia" w:ascii="宋体" w:hAnsi="宋体" w:cs="宋体"/>
                <w:color w:val="000000"/>
                <w:sz w:val="24"/>
              </w:rPr>
              <w:t>，施工期环境影响分析</w:t>
            </w:r>
            <w:r>
              <w:rPr>
                <w:rFonts w:hint="eastAsia" w:ascii="宋体" w:hAnsi="宋体" w:cs="宋体"/>
                <w:color w:val="000000"/>
                <w:sz w:val="24"/>
                <w:lang w:eastAsia="zh-CN"/>
              </w:rPr>
              <w:t>如下</w:t>
            </w:r>
            <w:r>
              <w:rPr>
                <w:rFonts w:hint="eastAsia" w:ascii="宋体" w:hAnsi="宋体" w:cs="宋体"/>
                <w:color w:val="000000"/>
                <w:sz w:val="24"/>
              </w:rPr>
              <w:t>。</w:t>
            </w:r>
          </w:p>
          <w:p>
            <w:pPr>
              <w:keepNext w:val="0"/>
              <w:keepLines w:val="0"/>
              <w:pageBreakBefore w:val="0"/>
              <w:widowControl w:val="0"/>
              <w:suppressLineNumbers w:val="0"/>
              <w:tabs>
                <w:tab w:val="left" w:pos="7875"/>
              </w:tabs>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eastAsia" w:ascii="宋体" w:hAnsi="宋体" w:eastAsia="宋体" w:cs="宋体"/>
                <w:b/>
                <w:bCs/>
                <w:snapToGrid w:val="0"/>
                <w:color w:val="auto"/>
                <w:kern w:val="0"/>
                <w:sz w:val="24"/>
              </w:rPr>
            </w:pPr>
            <w:r>
              <w:rPr>
                <w:rFonts w:hint="eastAsia" w:ascii="宋体" w:hAnsi="宋体" w:eastAsia="宋体" w:cs="宋体"/>
                <w:b/>
                <w:bCs/>
                <w:snapToGrid w:val="0"/>
                <w:color w:val="auto"/>
                <w:kern w:val="0"/>
                <w:sz w:val="24"/>
              </w:rPr>
              <w:t>1、废气</w:t>
            </w:r>
          </w:p>
          <w:p>
            <w:pPr>
              <w:keepNext w:val="0"/>
              <w:keepLines w:val="0"/>
              <w:pageBreakBefore w:val="0"/>
              <w:widowControl w:val="0"/>
              <w:suppressLineNumbers w:val="0"/>
              <w:tabs>
                <w:tab w:val="left" w:pos="7875"/>
              </w:tabs>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宋体" w:hAnsi="宋体" w:eastAsia="宋体" w:cs="宋体"/>
                <w:snapToGrid w:val="0"/>
                <w:color w:val="auto"/>
                <w:kern w:val="0"/>
                <w:sz w:val="24"/>
              </w:rPr>
            </w:pPr>
            <w:r>
              <w:rPr>
                <w:rFonts w:hint="eastAsia" w:ascii="宋体" w:hAnsi="宋体" w:eastAsia="宋体" w:cs="宋体"/>
                <w:snapToGrid w:val="0"/>
                <w:color w:val="auto"/>
                <w:kern w:val="0"/>
                <w:sz w:val="24"/>
              </w:rPr>
              <w:t>为防止建设期废气污染</w:t>
            </w:r>
            <w:r>
              <w:rPr>
                <w:rFonts w:hint="eastAsia" w:ascii="宋体" w:hAnsi="宋体" w:eastAsia="宋体" w:cs="宋体"/>
                <w:snapToGrid w:val="0"/>
                <w:color w:val="auto"/>
                <w:kern w:val="0"/>
                <w:sz w:val="24"/>
                <w:lang w:eastAsia="zh-CN"/>
              </w:rPr>
              <w:t>，</w:t>
            </w:r>
            <w:r>
              <w:rPr>
                <w:rFonts w:hint="eastAsia" w:ascii="宋体" w:hAnsi="宋体" w:eastAsia="宋体" w:cs="宋体"/>
                <w:snapToGrid w:val="0"/>
                <w:color w:val="auto"/>
                <w:kern w:val="0"/>
                <w:sz w:val="24"/>
              </w:rPr>
              <w:t>可采取如下措施：</w:t>
            </w:r>
          </w:p>
          <w:p>
            <w:pPr>
              <w:keepNext w:val="0"/>
              <w:keepLines w:val="0"/>
              <w:suppressLineNumbers w:val="0"/>
              <w:spacing w:before="0" w:beforeAutospacing="0" w:after="0" w:afterAutospacing="0" w:line="360" w:lineRule="auto"/>
              <w:ind w:left="0" w:right="0" w:firstLine="480" w:firstLineChars="200"/>
              <w:rPr>
                <w:rFonts w:hint="eastAsia" w:ascii="宋体" w:hAnsi="宋体" w:eastAsia="宋体" w:cs="宋体"/>
                <w:color w:val="auto"/>
                <w:sz w:val="24"/>
              </w:rPr>
            </w:pPr>
            <w:r>
              <w:rPr>
                <w:rFonts w:hint="eastAsia" w:ascii="宋体" w:hAnsi="宋体" w:eastAsia="宋体" w:cs="宋体"/>
                <w:color w:val="auto"/>
                <w:sz w:val="24"/>
              </w:rPr>
              <w:t>①对施工现场实行合理化管理</w:t>
            </w:r>
            <w:r>
              <w:rPr>
                <w:rFonts w:hint="eastAsia" w:ascii="宋体" w:hAnsi="宋体" w:eastAsia="宋体" w:cs="宋体"/>
                <w:color w:val="auto"/>
                <w:sz w:val="24"/>
                <w:lang w:eastAsia="zh-CN"/>
              </w:rPr>
              <w:t>，</w:t>
            </w:r>
            <w:r>
              <w:rPr>
                <w:rFonts w:hint="eastAsia" w:ascii="宋体" w:hAnsi="宋体" w:eastAsia="宋体" w:cs="宋体"/>
                <w:color w:val="auto"/>
                <w:sz w:val="24"/>
              </w:rPr>
              <w:t>使砂石料统一堆放</w:t>
            </w:r>
            <w:r>
              <w:rPr>
                <w:rFonts w:hint="eastAsia" w:ascii="宋体" w:hAnsi="宋体" w:eastAsia="宋体" w:cs="宋体"/>
                <w:color w:val="auto"/>
                <w:sz w:val="24"/>
                <w:lang w:eastAsia="zh-CN"/>
              </w:rPr>
              <w:t>，</w:t>
            </w:r>
            <w:r>
              <w:rPr>
                <w:rFonts w:hint="eastAsia" w:ascii="宋体" w:hAnsi="宋体" w:eastAsia="宋体" w:cs="宋体"/>
                <w:color w:val="auto"/>
                <w:sz w:val="24"/>
              </w:rPr>
              <w:t>水泥应设专门库房堆放</w:t>
            </w:r>
            <w:r>
              <w:rPr>
                <w:rFonts w:hint="eastAsia" w:ascii="宋体" w:hAnsi="宋体" w:eastAsia="宋体" w:cs="宋体"/>
                <w:color w:val="auto"/>
                <w:sz w:val="24"/>
                <w:lang w:eastAsia="zh-CN"/>
              </w:rPr>
              <w:t>，</w:t>
            </w:r>
            <w:r>
              <w:rPr>
                <w:rFonts w:hint="eastAsia" w:ascii="宋体" w:hAnsi="宋体" w:eastAsia="宋体" w:cs="宋体"/>
                <w:color w:val="auto"/>
                <w:sz w:val="24"/>
              </w:rPr>
              <w:t>并尽量减少搬运环节</w:t>
            </w:r>
            <w:r>
              <w:rPr>
                <w:rFonts w:hint="eastAsia" w:ascii="宋体" w:hAnsi="宋体" w:eastAsia="宋体" w:cs="宋体"/>
                <w:color w:val="auto"/>
                <w:sz w:val="24"/>
                <w:lang w:eastAsia="zh-CN"/>
              </w:rPr>
              <w:t>，</w:t>
            </w:r>
            <w:r>
              <w:rPr>
                <w:rFonts w:hint="eastAsia" w:ascii="宋体" w:hAnsi="宋体" w:eastAsia="宋体" w:cs="宋体"/>
                <w:color w:val="auto"/>
                <w:sz w:val="24"/>
              </w:rPr>
              <w:t>搬运时做到轻举轻放</w:t>
            </w:r>
            <w:r>
              <w:rPr>
                <w:rFonts w:hint="eastAsia" w:ascii="宋体" w:hAnsi="宋体" w:eastAsia="宋体" w:cs="宋体"/>
                <w:color w:val="auto"/>
                <w:sz w:val="24"/>
                <w:lang w:eastAsia="zh-CN"/>
              </w:rPr>
              <w:t>，</w:t>
            </w:r>
            <w:r>
              <w:rPr>
                <w:rFonts w:hint="eastAsia" w:ascii="宋体" w:hAnsi="宋体" w:eastAsia="宋体" w:cs="宋体"/>
                <w:color w:val="auto"/>
                <w:sz w:val="24"/>
              </w:rPr>
              <w:t>防止包装袋破裂</w:t>
            </w:r>
            <w:r>
              <w:rPr>
                <w:rFonts w:hint="eastAsia" w:ascii="宋体" w:hAnsi="宋体" w:eastAsia="宋体" w:cs="宋体"/>
                <w:color w:val="auto"/>
                <w:sz w:val="24"/>
                <w:lang w:eastAsia="zh-CN"/>
              </w:rPr>
              <w:t>，</w:t>
            </w:r>
            <w:r>
              <w:rPr>
                <w:rFonts w:hint="eastAsia" w:ascii="宋体" w:hAnsi="宋体" w:eastAsia="宋体" w:cs="宋体"/>
                <w:color w:val="auto"/>
                <w:sz w:val="24"/>
              </w:rPr>
              <w:t>对水泥类等建筑材料设专门库房堆放碎包；</w:t>
            </w:r>
          </w:p>
          <w:p>
            <w:pPr>
              <w:keepNext w:val="0"/>
              <w:keepLines w:val="0"/>
              <w:suppressLineNumbers w:val="0"/>
              <w:spacing w:before="0" w:beforeAutospacing="0" w:after="0" w:afterAutospacing="0" w:line="360" w:lineRule="auto"/>
              <w:ind w:left="0" w:right="0" w:firstLine="480" w:firstLineChars="200"/>
              <w:rPr>
                <w:rFonts w:hint="eastAsia" w:ascii="宋体" w:hAnsi="宋体" w:eastAsia="宋体" w:cs="宋体"/>
                <w:color w:val="auto"/>
                <w:sz w:val="24"/>
              </w:rPr>
            </w:pPr>
            <w:r>
              <w:rPr>
                <w:rFonts w:hint="eastAsia" w:ascii="宋体" w:hAnsi="宋体" w:eastAsia="宋体" w:cs="宋体"/>
                <w:color w:val="auto"/>
                <w:sz w:val="24"/>
              </w:rPr>
              <w:t>②施工区和堆土区要经常洒水。开挖时</w:t>
            </w:r>
            <w:r>
              <w:rPr>
                <w:rFonts w:hint="eastAsia" w:ascii="宋体" w:hAnsi="宋体" w:eastAsia="宋体" w:cs="宋体"/>
                <w:color w:val="auto"/>
                <w:sz w:val="24"/>
                <w:lang w:eastAsia="zh-CN"/>
              </w:rPr>
              <w:t>，</w:t>
            </w:r>
            <w:r>
              <w:rPr>
                <w:rFonts w:hint="eastAsia" w:ascii="宋体" w:hAnsi="宋体" w:eastAsia="宋体" w:cs="宋体"/>
                <w:color w:val="auto"/>
                <w:sz w:val="24"/>
              </w:rPr>
              <w:t>对作业面和土堆适当洒水</w:t>
            </w:r>
            <w:r>
              <w:rPr>
                <w:rFonts w:hint="eastAsia" w:ascii="宋体" w:hAnsi="宋体" w:eastAsia="宋体" w:cs="宋体"/>
                <w:color w:val="auto"/>
                <w:sz w:val="24"/>
                <w:lang w:eastAsia="zh-CN"/>
              </w:rPr>
              <w:t>，</w:t>
            </w:r>
            <w:r>
              <w:rPr>
                <w:rFonts w:hint="eastAsia" w:ascii="宋体" w:hAnsi="宋体" w:eastAsia="宋体" w:cs="宋体"/>
                <w:color w:val="auto"/>
                <w:sz w:val="24"/>
              </w:rPr>
              <w:t>使其保持一定湿度</w:t>
            </w:r>
            <w:r>
              <w:rPr>
                <w:rFonts w:hint="eastAsia" w:ascii="宋体" w:hAnsi="宋体" w:eastAsia="宋体" w:cs="宋体"/>
                <w:color w:val="auto"/>
                <w:sz w:val="24"/>
                <w:lang w:eastAsia="zh-CN"/>
              </w:rPr>
              <w:t>，</w:t>
            </w:r>
            <w:r>
              <w:rPr>
                <w:rFonts w:hint="eastAsia" w:ascii="宋体" w:hAnsi="宋体" w:eastAsia="宋体" w:cs="宋体"/>
                <w:color w:val="auto"/>
                <w:sz w:val="24"/>
              </w:rPr>
              <w:t>以减少扬尘量。而且开挖的泥土和建筑垃圾要及时运走</w:t>
            </w:r>
            <w:r>
              <w:rPr>
                <w:rFonts w:hint="eastAsia" w:ascii="宋体" w:hAnsi="宋体" w:eastAsia="宋体" w:cs="宋体"/>
                <w:color w:val="auto"/>
                <w:sz w:val="24"/>
                <w:lang w:eastAsia="zh-CN"/>
              </w:rPr>
              <w:t>，</w:t>
            </w:r>
            <w:r>
              <w:rPr>
                <w:rFonts w:hint="eastAsia" w:ascii="宋体" w:hAnsi="宋体" w:eastAsia="宋体" w:cs="宋体"/>
                <w:color w:val="auto"/>
                <w:sz w:val="24"/>
              </w:rPr>
              <w:t>以防长期堆放表面干燥而起尘或被雨水冲刷；</w:t>
            </w:r>
          </w:p>
          <w:p>
            <w:pPr>
              <w:keepNext w:val="0"/>
              <w:keepLines w:val="0"/>
              <w:suppressLineNumbers w:val="0"/>
              <w:spacing w:before="0" w:beforeAutospacing="0" w:after="0" w:afterAutospacing="0" w:line="360" w:lineRule="auto"/>
              <w:ind w:left="0" w:right="0" w:firstLine="480" w:firstLineChars="200"/>
              <w:rPr>
                <w:rFonts w:hint="eastAsia" w:ascii="宋体" w:hAnsi="宋体" w:eastAsia="宋体" w:cs="宋体"/>
                <w:color w:val="auto"/>
                <w:sz w:val="24"/>
              </w:rPr>
            </w:pPr>
            <w:r>
              <w:rPr>
                <w:rFonts w:hint="eastAsia" w:ascii="宋体" w:hAnsi="宋体" w:eastAsia="宋体" w:cs="宋体"/>
                <w:color w:val="auto"/>
                <w:sz w:val="24"/>
              </w:rPr>
              <w:t>③运输车辆应完好</w:t>
            </w:r>
            <w:r>
              <w:rPr>
                <w:rFonts w:hint="eastAsia" w:ascii="宋体" w:hAnsi="宋体" w:eastAsia="宋体" w:cs="宋体"/>
                <w:color w:val="auto"/>
                <w:sz w:val="24"/>
                <w:lang w:eastAsia="zh-CN"/>
              </w:rPr>
              <w:t>，</w:t>
            </w:r>
            <w:r>
              <w:rPr>
                <w:rFonts w:hint="eastAsia" w:ascii="宋体" w:hAnsi="宋体" w:eastAsia="宋体" w:cs="宋体"/>
                <w:color w:val="auto"/>
                <w:sz w:val="24"/>
              </w:rPr>
              <w:t>不应装载过满</w:t>
            </w:r>
            <w:r>
              <w:rPr>
                <w:rFonts w:hint="eastAsia" w:ascii="宋体" w:hAnsi="宋体" w:eastAsia="宋体" w:cs="宋体"/>
                <w:color w:val="auto"/>
                <w:sz w:val="24"/>
                <w:lang w:eastAsia="zh-CN"/>
              </w:rPr>
              <w:t>，</w:t>
            </w:r>
            <w:r>
              <w:rPr>
                <w:rFonts w:hint="eastAsia" w:ascii="宋体" w:hAnsi="宋体" w:eastAsia="宋体" w:cs="宋体"/>
                <w:color w:val="auto"/>
                <w:sz w:val="24"/>
              </w:rPr>
              <w:t>并尽量采取遮盖、密闭措施</w:t>
            </w:r>
            <w:r>
              <w:rPr>
                <w:rFonts w:hint="eastAsia" w:ascii="宋体" w:hAnsi="宋体" w:eastAsia="宋体" w:cs="宋体"/>
                <w:color w:val="auto"/>
                <w:sz w:val="24"/>
                <w:lang w:eastAsia="zh-CN"/>
              </w:rPr>
              <w:t>，</w:t>
            </w:r>
            <w:r>
              <w:rPr>
                <w:rFonts w:hint="eastAsia" w:ascii="宋体" w:hAnsi="宋体" w:eastAsia="宋体" w:cs="宋体"/>
                <w:color w:val="auto"/>
                <w:sz w:val="24"/>
              </w:rPr>
              <w:t>运输弃土的车辆要减少沿途撒落</w:t>
            </w:r>
            <w:r>
              <w:rPr>
                <w:rFonts w:hint="eastAsia" w:ascii="宋体" w:hAnsi="宋体" w:eastAsia="宋体" w:cs="宋体"/>
                <w:color w:val="auto"/>
                <w:sz w:val="24"/>
                <w:lang w:eastAsia="zh-CN"/>
              </w:rPr>
              <w:t>，</w:t>
            </w:r>
            <w:r>
              <w:rPr>
                <w:rFonts w:hint="eastAsia" w:ascii="宋体" w:hAnsi="宋体" w:eastAsia="宋体" w:cs="宋体"/>
                <w:color w:val="auto"/>
                <w:sz w:val="24"/>
              </w:rPr>
              <w:t>并及时清扫散落在地面上的泥土和建筑材料</w:t>
            </w:r>
            <w:r>
              <w:rPr>
                <w:rFonts w:hint="eastAsia" w:ascii="宋体" w:hAnsi="宋体" w:eastAsia="宋体" w:cs="宋体"/>
                <w:color w:val="auto"/>
                <w:sz w:val="24"/>
                <w:lang w:eastAsia="zh-CN"/>
              </w:rPr>
              <w:t>，</w:t>
            </w:r>
            <w:r>
              <w:rPr>
                <w:rFonts w:hint="eastAsia" w:ascii="宋体" w:hAnsi="宋体" w:eastAsia="宋体" w:cs="宋体"/>
                <w:color w:val="auto"/>
                <w:sz w:val="24"/>
              </w:rPr>
              <w:t>冲洗轮胎</w:t>
            </w:r>
            <w:r>
              <w:rPr>
                <w:rFonts w:hint="eastAsia" w:ascii="宋体" w:hAnsi="宋体" w:eastAsia="宋体" w:cs="宋体"/>
                <w:color w:val="auto"/>
                <w:sz w:val="24"/>
                <w:lang w:eastAsia="zh-CN"/>
              </w:rPr>
              <w:t>，</w:t>
            </w:r>
            <w:r>
              <w:rPr>
                <w:rFonts w:hint="eastAsia" w:ascii="宋体" w:hAnsi="宋体" w:eastAsia="宋体" w:cs="宋体"/>
                <w:color w:val="auto"/>
                <w:sz w:val="24"/>
              </w:rPr>
              <w:t>定时洒水压尘</w:t>
            </w:r>
            <w:r>
              <w:rPr>
                <w:rFonts w:hint="eastAsia" w:ascii="宋体" w:hAnsi="宋体" w:eastAsia="宋体" w:cs="宋体"/>
                <w:color w:val="auto"/>
                <w:sz w:val="24"/>
                <w:lang w:eastAsia="zh-CN"/>
              </w:rPr>
              <w:t>，</w:t>
            </w:r>
            <w:r>
              <w:rPr>
                <w:rFonts w:hint="eastAsia" w:ascii="宋体" w:hAnsi="宋体" w:eastAsia="宋体" w:cs="宋体"/>
                <w:color w:val="auto"/>
                <w:sz w:val="24"/>
              </w:rPr>
              <w:t>以减少运输过程中的扬尘；</w:t>
            </w:r>
          </w:p>
          <w:p>
            <w:pPr>
              <w:keepNext w:val="0"/>
              <w:keepLines w:val="0"/>
              <w:suppressLineNumbers w:val="0"/>
              <w:spacing w:before="0" w:beforeAutospacing="0" w:after="0" w:afterAutospacing="0" w:line="360" w:lineRule="auto"/>
              <w:ind w:left="0" w:right="0" w:firstLine="480" w:firstLineChars="200"/>
              <w:rPr>
                <w:rFonts w:hint="eastAsia" w:ascii="宋体" w:hAnsi="宋体" w:eastAsia="宋体" w:cs="宋体"/>
                <w:color w:val="auto"/>
                <w:sz w:val="24"/>
              </w:rPr>
            </w:pPr>
            <w:r>
              <w:rPr>
                <w:rFonts w:hint="eastAsia" w:ascii="宋体" w:hAnsi="宋体" w:eastAsia="宋体" w:cs="宋体"/>
                <w:color w:val="auto"/>
                <w:sz w:val="24"/>
              </w:rPr>
              <w:t>④使用商品混凝土；</w:t>
            </w:r>
          </w:p>
          <w:p>
            <w:pPr>
              <w:keepNext w:val="0"/>
              <w:keepLines w:val="0"/>
              <w:suppressLineNumbers w:val="0"/>
              <w:spacing w:before="0" w:beforeAutospacing="0" w:after="0" w:afterAutospacing="0" w:line="360" w:lineRule="auto"/>
              <w:ind w:left="0" w:right="0" w:firstLine="480" w:firstLineChars="200"/>
              <w:rPr>
                <w:rFonts w:hint="eastAsia" w:ascii="宋体" w:hAnsi="宋体" w:eastAsia="宋体" w:cs="宋体"/>
                <w:color w:val="auto"/>
                <w:sz w:val="24"/>
              </w:rPr>
            </w:pPr>
            <w:r>
              <w:rPr>
                <w:rFonts w:hint="eastAsia" w:ascii="宋体" w:hAnsi="宋体" w:eastAsia="宋体" w:cs="宋体"/>
                <w:color w:val="auto"/>
                <w:sz w:val="24"/>
              </w:rPr>
              <w:t>⑤施工现场要设围栏</w:t>
            </w:r>
            <w:r>
              <w:rPr>
                <w:rFonts w:hint="eastAsia" w:ascii="宋体" w:hAnsi="宋体" w:eastAsia="宋体" w:cs="宋体"/>
                <w:color w:val="auto"/>
                <w:sz w:val="24"/>
                <w:lang w:eastAsia="zh-CN"/>
              </w:rPr>
              <w:t>，</w:t>
            </w:r>
            <w:r>
              <w:rPr>
                <w:rFonts w:hint="eastAsia" w:ascii="宋体" w:hAnsi="宋体" w:eastAsia="宋体" w:cs="宋体"/>
                <w:color w:val="auto"/>
                <w:sz w:val="24"/>
              </w:rPr>
              <w:t>缩小施工扬尘扩散范围；</w:t>
            </w:r>
          </w:p>
          <w:p>
            <w:pPr>
              <w:keepNext w:val="0"/>
              <w:keepLines w:val="0"/>
              <w:suppressLineNumbers w:val="0"/>
              <w:spacing w:before="0" w:beforeAutospacing="0" w:after="0" w:afterAutospacing="0" w:line="360" w:lineRule="auto"/>
              <w:ind w:left="0" w:right="0" w:firstLine="480" w:firstLineChars="200"/>
              <w:rPr>
                <w:rFonts w:hint="eastAsia" w:ascii="宋体" w:hAnsi="宋体" w:eastAsia="宋体" w:cs="宋体"/>
                <w:color w:val="auto"/>
                <w:sz w:val="24"/>
              </w:rPr>
            </w:pPr>
            <w:r>
              <w:rPr>
                <w:rFonts w:hint="eastAsia" w:ascii="宋体" w:hAnsi="宋体" w:eastAsia="宋体" w:cs="宋体"/>
                <w:color w:val="auto"/>
                <w:sz w:val="24"/>
              </w:rPr>
              <w:t>⑥当风速过大时</w:t>
            </w:r>
            <w:r>
              <w:rPr>
                <w:rFonts w:hint="eastAsia" w:ascii="宋体" w:hAnsi="宋体" w:eastAsia="宋体" w:cs="宋体"/>
                <w:color w:val="auto"/>
                <w:sz w:val="24"/>
                <w:lang w:eastAsia="zh-CN"/>
              </w:rPr>
              <w:t>，</w:t>
            </w:r>
            <w:r>
              <w:rPr>
                <w:rFonts w:hint="eastAsia" w:ascii="宋体" w:hAnsi="宋体" w:eastAsia="宋体" w:cs="宋体"/>
                <w:color w:val="auto"/>
                <w:sz w:val="24"/>
              </w:rPr>
              <w:t>应停止施工作业</w:t>
            </w:r>
            <w:r>
              <w:rPr>
                <w:rFonts w:hint="eastAsia" w:ascii="宋体" w:hAnsi="宋体" w:eastAsia="宋体" w:cs="宋体"/>
                <w:color w:val="auto"/>
                <w:sz w:val="24"/>
                <w:lang w:eastAsia="zh-CN"/>
              </w:rPr>
              <w:t>，</w:t>
            </w:r>
            <w:r>
              <w:rPr>
                <w:rFonts w:hint="eastAsia" w:ascii="宋体" w:hAnsi="宋体" w:eastAsia="宋体" w:cs="宋体"/>
                <w:color w:val="auto"/>
                <w:sz w:val="24"/>
              </w:rPr>
              <w:t>并对堆存的砂粉等建筑材料采取遮盖措施；</w:t>
            </w:r>
          </w:p>
          <w:p>
            <w:pPr>
              <w:keepNext w:val="0"/>
              <w:keepLines w:val="0"/>
              <w:suppressLineNumbers w:val="0"/>
              <w:spacing w:before="0" w:beforeAutospacing="0" w:after="0" w:afterAutospacing="0" w:line="360" w:lineRule="auto"/>
              <w:ind w:left="0" w:right="0" w:firstLine="480" w:firstLineChars="200"/>
              <w:rPr>
                <w:rFonts w:hint="eastAsia" w:ascii="宋体" w:hAnsi="宋体" w:eastAsia="宋体" w:cs="宋体"/>
                <w:color w:val="auto"/>
                <w:sz w:val="24"/>
              </w:rPr>
            </w:pPr>
            <w:r>
              <w:rPr>
                <w:rFonts w:hint="eastAsia" w:ascii="宋体" w:hAnsi="宋体" w:eastAsia="宋体" w:cs="宋体"/>
                <w:color w:val="auto"/>
                <w:sz w:val="24"/>
              </w:rPr>
              <w:t>⑦对排烟大的施工机械安装消烟装置</w:t>
            </w:r>
            <w:r>
              <w:rPr>
                <w:rFonts w:hint="eastAsia" w:ascii="宋体" w:hAnsi="宋体" w:eastAsia="宋体" w:cs="宋体"/>
                <w:color w:val="auto"/>
                <w:sz w:val="24"/>
                <w:lang w:eastAsia="zh-CN"/>
              </w:rPr>
              <w:t>，</w:t>
            </w:r>
            <w:r>
              <w:rPr>
                <w:rFonts w:hint="eastAsia" w:ascii="宋体" w:hAnsi="宋体" w:eastAsia="宋体" w:cs="宋体"/>
                <w:color w:val="auto"/>
                <w:sz w:val="24"/>
              </w:rPr>
              <w:t>以减轻对大气环境的污染。</w:t>
            </w:r>
          </w:p>
          <w:p>
            <w:pPr>
              <w:keepNext w:val="0"/>
              <w:keepLines w:val="0"/>
              <w:pageBreakBefore w:val="0"/>
              <w:widowControl w:val="0"/>
              <w:suppressLineNumbers w:val="0"/>
              <w:tabs>
                <w:tab w:val="left" w:pos="7875"/>
              </w:tabs>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eastAsia" w:ascii="宋体" w:hAnsi="宋体" w:eastAsia="宋体" w:cs="宋体"/>
                <w:b/>
                <w:bCs/>
                <w:snapToGrid w:val="0"/>
                <w:color w:val="auto"/>
                <w:kern w:val="0"/>
                <w:sz w:val="24"/>
              </w:rPr>
            </w:pPr>
            <w:r>
              <w:rPr>
                <w:rFonts w:hint="eastAsia" w:ascii="宋体" w:hAnsi="宋体" w:eastAsia="宋体" w:cs="宋体"/>
                <w:b/>
                <w:bCs/>
                <w:snapToGrid w:val="0"/>
                <w:color w:val="auto"/>
                <w:kern w:val="0"/>
                <w:sz w:val="24"/>
              </w:rPr>
              <w:t>2、废水</w:t>
            </w:r>
          </w:p>
          <w:p>
            <w:pPr>
              <w:keepNext w:val="0"/>
              <w:keepLines w:val="0"/>
              <w:pageBreakBefore w:val="0"/>
              <w:widowControl w:val="0"/>
              <w:suppressLineNumbers w:val="0"/>
              <w:tabs>
                <w:tab w:val="left" w:pos="7875"/>
              </w:tabs>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宋体" w:hAnsi="宋体" w:eastAsia="宋体" w:cs="宋体"/>
                <w:snapToGrid w:val="0"/>
                <w:color w:val="auto"/>
                <w:kern w:val="0"/>
                <w:sz w:val="24"/>
              </w:rPr>
            </w:pPr>
            <w:r>
              <w:rPr>
                <w:rFonts w:hint="eastAsia" w:ascii="宋体" w:hAnsi="宋体" w:eastAsia="宋体" w:cs="宋体"/>
                <w:snapToGrid w:val="0"/>
                <w:color w:val="auto"/>
                <w:kern w:val="0"/>
                <w:sz w:val="24"/>
                <w:lang w:val="en-US" w:eastAsia="zh-CN"/>
              </w:rPr>
              <w:t>施工期</w:t>
            </w:r>
            <w:r>
              <w:rPr>
                <w:rFonts w:hint="eastAsia" w:ascii="宋体" w:hAnsi="宋体" w:eastAsia="宋体" w:cs="宋体"/>
                <w:snapToGrid w:val="0"/>
                <w:color w:val="auto"/>
                <w:kern w:val="0"/>
                <w:sz w:val="24"/>
              </w:rPr>
              <w:t>污水水量不大</w:t>
            </w:r>
            <w:r>
              <w:rPr>
                <w:rFonts w:hint="eastAsia" w:ascii="宋体" w:hAnsi="宋体" w:eastAsia="宋体" w:cs="宋体"/>
                <w:snapToGrid w:val="0"/>
                <w:color w:val="auto"/>
                <w:kern w:val="0"/>
                <w:sz w:val="24"/>
                <w:lang w:eastAsia="zh-CN"/>
              </w:rPr>
              <w:t>，</w:t>
            </w:r>
            <w:r>
              <w:rPr>
                <w:rFonts w:hint="eastAsia" w:ascii="宋体" w:hAnsi="宋体" w:eastAsia="宋体" w:cs="宋体"/>
                <w:snapToGrid w:val="0"/>
                <w:color w:val="auto"/>
                <w:kern w:val="0"/>
                <w:sz w:val="24"/>
              </w:rPr>
              <w:t>但如果不经处理或处理不当</w:t>
            </w:r>
            <w:r>
              <w:rPr>
                <w:rFonts w:hint="eastAsia" w:ascii="宋体" w:hAnsi="宋体" w:eastAsia="宋体" w:cs="宋体"/>
                <w:snapToGrid w:val="0"/>
                <w:color w:val="auto"/>
                <w:kern w:val="0"/>
                <w:sz w:val="24"/>
                <w:lang w:eastAsia="zh-CN"/>
              </w:rPr>
              <w:t>，</w:t>
            </w:r>
            <w:r>
              <w:rPr>
                <w:rFonts w:hint="eastAsia" w:ascii="宋体" w:hAnsi="宋体" w:eastAsia="宋体" w:cs="宋体"/>
                <w:snapToGrid w:val="0"/>
                <w:color w:val="auto"/>
                <w:kern w:val="0"/>
                <w:sz w:val="24"/>
              </w:rPr>
              <w:t>同样会危害环境。其污染防范措施主要有：</w:t>
            </w:r>
          </w:p>
          <w:p>
            <w:pPr>
              <w:keepNext w:val="0"/>
              <w:keepLines w:val="0"/>
              <w:pageBreakBefore w:val="0"/>
              <w:widowControl w:val="0"/>
              <w:suppressLineNumbers w:val="0"/>
              <w:tabs>
                <w:tab w:val="left" w:pos="7875"/>
              </w:tabs>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宋体" w:hAnsi="宋体" w:eastAsia="宋体" w:cs="宋体"/>
                <w:snapToGrid w:val="0"/>
                <w:color w:val="auto"/>
                <w:kern w:val="0"/>
                <w:sz w:val="24"/>
              </w:rPr>
            </w:pPr>
            <w:r>
              <w:rPr>
                <w:rFonts w:hint="eastAsia" w:ascii="宋体" w:hAnsi="宋体" w:eastAsia="宋体" w:cs="宋体"/>
                <w:snapToGrid w:val="0"/>
                <w:color w:val="auto"/>
                <w:kern w:val="0"/>
                <w:sz w:val="24"/>
              </w:rPr>
              <w:t>①加强施工期管理</w:t>
            </w:r>
            <w:r>
              <w:rPr>
                <w:rFonts w:hint="eastAsia" w:ascii="宋体" w:hAnsi="宋体" w:eastAsia="宋体" w:cs="宋体"/>
                <w:snapToGrid w:val="0"/>
                <w:color w:val="auto"/>
                <w:kern w:val="0"/>
                <w:sz w:val="24"/>
                <w:lang w:eastAsia="zh-CN"/>
              </w:rPr>
              <w:t>，</w:t>
            </w:r>
            <w:r>
              <w:rPr>
                <w:rFonts w:hint="eastAsia" w:ascii="宋体" w:hAnsi="宋体" w:eastAsia="宋体" w:cs="宋体"/>
                <w:snapToGrid w:val="0"/>
                <w:color w:val="auto"/>
                <w:kern w:val="0"/>
                <w:sz w:val="24"/>
              </w:rPr>
              <w:t>生活污水接管；</w:t>
            </w:r>
          </w:p>
          <w:p>
            <w:pPr>
              <w:keepNext w:val="0"/>
              <w:keepLines w:val="0"/>
              <w:pageBreakBefore w:val="0"/>
              <w:widowControl w:val="0"/>
              <w:suppressLineNumbers w:val="0"/>
              <w:tabs>
                <w:tab w:val="left" w:pos="7875"/>
              </w:tabs>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宋体" w:hAnsi="宋体" w:eastAsia="宋体" w:cs="宋体"/>
                <w:snapToGrid w:val="0"/>
                <w:color w:val="auto"/>
                <w:kern w:val="0"/>
                <w:sz w:val="24"/>
              </w:rPr>
            </w:pPr>
            <w:r>
              <w:rPr>
                <w:rFonts w:hint="eastAsia" w:ascii="宋体" w:hAnsi="宋体" w:eastAsia="宋体" w:cs="宋体"/>
                <w:snapToGrid w:val="0"/>
                <w:color w:val="auto"/>
                <w:kern w:val="0"/>
                <w:sz w:val="24"/>
              </w:rPr>
              <w:t>②施工现场建造沉淀池、隔油池等污水临时处理设施</w:t>
            </w:r>
            <w:r>
              <w:rPr>
                <w:rFonts w:hint="eastAsia" w:ascii="宋体" w:hAnsi="宋体" w:eastAsia="宋体" w:cs="宋体"/>
                <w:snapToGrid w:val="0"/>
                <w:color w:val="auto"/>
                <w:kern w:val="0"/>
                <w:sz w:val="24"/>
                <w:lang w:eastAsia="zh-CN"/>
              </w:rPr>
              <w:t>，</w:t>
            </w:r>
            <w:r>
              <w:rPr>
                <w:rFonts w:hint="eastAsia" w:ascii="宋体" w:hAnsi="宋体" w:eastAsia="宋体" w:cs="宋体"/>
                <w:snapToGrid w:val="0"/>
                <w:color w:val="auto"/>
                <w:kern w:val="0"/>
                <w:sz w:val="24"/>
              </w:rPr>
              <w:t>对含油量高的施工机械冲洗水或悬浮物含量高的</w:t>
            </w:r>
            <w:r>
              <w:rPr>
                <w:rFonts w:hint="eastAsia" w:ascii="宋体" w:hAnsi="宋体" w:cs="宋体"/>
                <w:snapToGrid w:val="0"/>
                <w:color w:val="auto"/>
                <w:kern w:val="0"/>
                <w:sz w:val="24"/>
                <w:lang w:eastAsia="zh-CN"/>
              </w:rPr>
              <w:t>其他施工</w:t>
            </w:r>
            <w:r>
              <w:rPr>
                <w:rFonts w:hint="eastAsia" w:ascii="宋体" w:hAnsi="宋体" w:eastAsia="宋体" w:cs="宋体"/>
                <w:snapToGrid w:val="0"/>
                <w:color w:val="auto"/>
                <w:kern w:val="0"/>
                <w:sz w:val="24"/>
              </w:rPr>
              <w:t>废水处理后</w:t>
            </w:r>
            <w:r>
              <w:rPr>
                <w:rFonts w:hint="eastAsia" w:ascii="宋体" w:hAnsi="宋体" w:eastAsia="宋体" w:cs="宋体"/>
                <w:snapToGrid w:val="0"/>
                <w:color w:val="auto"/>
                <w:kern w:val="0"/>
                <w:sz w:val="24"/>
                <w:lang w:val="en-US" w:eastAsia="zh-CN"/>
              </w:rPr>
              <w:t>回用</w:t>
            </w:r>
            <w:r>
              <w:rPr>
                <w:rFonts w:hint="eastAsia" w:ascii="宋体" w:hAnsi="宋体" w:eastAsia="宋体" w:cs="宋体"/>
                <w:snapToGrid w:val="0"/>
                <w:color w:val="auto"/>
                <w:kern w:val="0"/>
                <w:sz w:val="24"/>
              </w:rPr>
              <w:t>；</w:t>
            </w:r>
          </w:p>
          <w:p>
            <w:pPr>
              <w:keepNext w:val="0"/>
              <w:keepLines w:val="0"/>
              <w:pageBreakBefore w:val="0"/>
              <w:widowControl w:val="0"/>
              <w:suppressLineNumbers w:val="0"/>
              <w:tabs>
                <w:tab w:val="left" w:pos="7875"/>
              </w:tabs>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宋体" w:hAnsi="宋体" w:eastAsia="宋体" w:cs="宋体"/>
                <w:snapToGrid w:val="0"/>
                <w:color w:val="auto"/>
                <w:kern w:val="0"/>
                <w:sz w:val="24"/>
              </w:rPr>
            </w:pPr>
            <w:r>
              <w:rPr>
                <w:rFonts w:hint="eastAsia" w:ascii="宋体" w:hAnsi="宋体" w:eastAsia="宋体" w:cs="宋体"/>
                <w:snapToGrid w:val="0"/>
                <w:color w:val="auto"/>
                <w:kern w:val="0"/>
                <w:sz w:val="24"/>
              </w:rPr>
              <w:t>③水泥、黄砂、石灰类的建筑材料需集中堆放</w:t>
            </w:r>
            <w:r>
              <w:rPr>
                <w:rFonts w:hint="eastAsia" w:ascii="宋体" w:hAnsi="宋体" w:eastAsia="宋体" w:cs="宋体"/>
                <w:snapToGrid w:val="0"/>
                <w:color w:val="auto"/>
                <w:kern w:val="0"/>
                <w:sz w:val="24"/>
                <w:lang w:eastAsia="zh-CN"/>
              </w:rPr>
              <w:t>，</w:t>
            </w:r>
            <w:r>
              <w:rPr>
                <w:rFonts w:hint="eastAsia" w:ascii="宋体" w:hAnsi="宋体" w:eastAsia="宋体" w:cs="宋体"/>
                <w:snapToGrid w:val="0"/>
                <w:color w:val="auto"/>
                <w:kern w:val="0"/>
                <w:sz w:val="24"/>
              </w:rPr>
              <w:t>并采取一定防雨措施</w:t>
            </w:r>
            <w:r>
              <w:rPr>
                <w:rFonts w:hint="eastAsia" w:ascii="宋体" w:hAnsi="宋体" w:eastAsia="宋体" w:cs="宋体"/>
                <w:snapToGrid w:val="0"/>
                <w:color w:val="auto"/>
                <w:kern w:val="0"/>
                <w:sz w:val="24"/>
                <w:lang w:eastAsia="zh-CN"/>
              </w:rPr>
              <w:t>，</w:t>
            </w:r>
            <w:r>
              <w:rPr>
                <w:rFonts w:hint="eastAsia" w:ascii="宋体" w:hAnsi="宋体" w:eastAsia="宋体" w:cs="宋体"/>
                <w:snapToGrid w:val="0"/>
                <w:color w:val="auto"/>
                <w:kern w:val="0"/>
                <w:sz w:val="24"/>
              </w:rPr>
              <w:t>及时清扫施工过程中抛洒的上述建筑材料</w:t>
            </w:r>
            <w:r>
              <w:rPr>
                <w:rFonts w:hint="eastAsia" w:ascii="宋体" w:hAnsi="宋体" w:eastAsia="宋体" w:cs="宋体"/>
                <w:snapToGrid w:val="0"/>
                <w:color w:val="auto"/>
                <w:kern w:val="0"/>
                <w:sz w:val="24"/>
                <w:lang w:eastAsia="zh-CN"/>
              </w:rPr>
              <w:t>，</w:t>
            </w:r>
            <w:r>
              <w:rPr>
                <w:rFonts w:hint="eastAsia" w:ascii="宋体" w:hAnsi="宋体" w:eastAsia="宋体" w:cs="宋体"/>
                <w:snapToGrid w:val="0"/>
                <w:color w:val="auto"/>
                <w:kern w:val="0"/>
                <w:sz w:val="24"/>
              </w:rPr>
              <w:t>以免这些物质随雨水冲刷污染附近水体。</w:t>
            </w:r>
          </w:p>
          <w:p>
            <w:pPr>
              <w:keepNext w:val="0"/>
              <w:keepLines w:val="0"/>
              <w:pageBreakBefore w:val="0"/>
              <w:widowControl w:val="0"/>
              <w:suppressLineNumbers w:val="0"/>
              <w:tabs>
                <w:tab w:val="left" w:pos="7875"/>
              </w:tabs>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eastAsia" w:ascii="宋体" w:hAnsi="宋体" w:eastAsia="宋体" w:cs="宋体"/>
                <w:b/>
                <w:bCs/>
                <w:snapToGrid w:val="0"/>
                <w:color w:val="auto"/>
                <w:kern w:val="0"/>
                <w:sz w:val="24"/>
              </w:rPr>
            </w:pPr>
            <w:r>
              <w:rPr>
                <w:rFonts w:hint="eastAsia" w:ascii="宋体" w:hAnsi="宋体" w:eastAsia="宋体" w:cs="宋体"/>
                <w:b/>
                <w:bCs/>
                <w:snapToGrid w:val="0"/>
                <w:color w:val="auto"/>
                <w:kern w:val="0"/>
                <w:sz w:val="24"/>
              </w:rPr>
              <w:t>3、噪声</w:t>
            </w:r>
          </w:p>
          <w:p>
            <w:pPr>
              <w:keepNext w:val="0"/>
              <w:keepLines w:val="0"/>
              <w:suppressLineNumbers w:val="0"/>
              <w:spacing w:before="0" w:beforeAutospacing="0" w:after="0" w:afterAutospacing="0" w:line="360" w:lineRule="auto"/>
              <w:ind w:left="0" w:right="0" w:firstLine="480" w:firstLineChars="200"/>
              <w:rPr>
                <w:rFonts w:hint="eastAsia" w:ascii="宋体" w:hAnsi="宋体" w:eastAsia="宋体" w:cs="宋体"/>
                <w:color w:val="auto"/>
                <w:sz w:val="24"/>
              </w:rPr>
            </w:pPr>
            <w:r>
              <w:rPr>
                <w:rFonts w:hint="eastAsia" w:ascii="宋体" w:hAnsi="宋体" w:eastAsia="宋体" w:cs="宋体"/>
                <w:color w:val="auto"/>
                <w:sz w:val="24"/>
              </w:rPr>
              <w:t>①为了减少施工对周围的居民影响</w:t>
            </w:r>
            <w:r>
              <w:rPr>
                <w:rFonts w:hint="eastAsia" w:ascii="宋体" w:hAnsi="宋体" w:eastAsia="宋体" w:cs="宋体"/>
                <w:color w:val="auto"/>
                <w:sz w:val="24"/>
                <w:lang w:eastAsia="zh-CN"/>
              </w:rPr>
              <w:t>，</w:t>
            </w:r>
            <w:r>
              <w:rPr>
                <w:rFonts w:hint="eastAsia" w:ascii="宋体" w:hAnsi="宋体" w:eastAsia="宋体" w:cs="宋体"/>
                <w:color w:val="auto"/>
                <w:sz w:val="24"/>
              </w:rPr>
              <w:t>工程不允许在晚上十一点至次日上午六时内施工</w:t>
            </w:r>
            <w:r>
              <w:rPr>
                <w:rFonts w:hint="eastAsia" w:ascii="宋体" w:hAnsi="宋体" w:eastAsia="宋体" w:cs="宋体"/>
                <w:color w:val="auto"/>
                <w:sz w:val="24"/>
                <w:lang w:eastAsia="zh-CN"/>
              </w:rPr>
              <w:t>，</w:t>
            </w:r>
            <w:r>
              <w:rPr>
                <w:rFonts w:hint="eastAsia" w:ascii="宋体" w:hAnsi="宋体" w:eastAsia="宋体" w:cs="宋体"/>
                <w:color w:val="auto"/>
                <w:sz w:val="24"/>
              </w:rPr>
              <w:t>同时应在施工设备和施工方法加以考虑</w:t>
            </w:r>
            <w:r>
              <w:rPr>
                <w:rFonts w:hint="eastAsia" w:ascii="宋体" w:hAnsi="宋体" w:eastAsia="宋体" w:cs="宋体"/>
                <w:color w:val="auto"/>
                <w:sz w:val="24"/>
                <w:lang w:eastAsia="zh-CN"/>
              </w:rPr>
              <w:t>，</w:t>
            </w:r>
            <w:r>
              <w:rPr>
                <w:rFonts w:hint="eastAsia" w:ascii="宋体" w:hAnsi="宋体" w:eastAsia="宋体" w:cs="宋体"/>
                <w:color w:val="auto"/>
                <w:sz w:val="24"/>
              </w:rPr>
              <w:t>尽量采用低噪声机械。</w:t>
            </w:r>
          </w:p>
          <w:p>
            <w:pPr>
              <w:keepNext w:val="0"/>
              <w:keepLines w:val="0"/>
              <w:suppressLineNumbers w:val="0"/>
              <w:spacing w:before="0" w:beforeAutospacing="0" w:after="0" w:afterAutospacing="0" w:line="360" w:lineRule="auto"/>
              <w:ind w:left="0" w:right="0" w:firstLine="480" w:firstLineChars="200"/>
              <w:rPr>
                <w:rFonts w:hint="eastAsia" w:ascii="宋体" w:hAnsi="宋体" w:eastAsia="宋体" w:cs="宋体"/>
                <w:color w:val="auto"/>
                <w:sz w:val="24"/>
              </w:rPr>
            </w:pPr>
            <w:r>
              <w:rPr>
                <w:rFonts w:hint="eastAsia" w:ascii="宋体" w:hAnsi="宋体" w:eastAsia="宋体" w:cs="宋体"/>
                <w:color w:val="auto"/>
                <w:sz w:val="24"/>
              </w:rPr>
              <w:t>②改革工艺和操作方法以降低施工噪声；对动力机械设备进行定期的维修、养护</w:t>
            </w:r>
            <w:r>
              <w:rPr>
                <w:rFonts w:hint="eastAsia" w:ascii="宋体" w:hAnsi="宋体" w:eastAsia="宋体" w:cs="宋体"/>
                <w:color w:val="auto"/>
                <w:sz w:val="24"/>
                <w:lang w:eastAsia="zh-CN"/>
              </w:rPr>
              <w:t>，</w:t>
            </w:r>
            <w:r>
              <w:rPr>
                <w:rFonts w:hint="eastAsia" w:ascii="宋体" w:hAnsi="宋体" w:eastAsia="宋体" w:cs="宋体"/>
                <w:color w:val="auto"/>
                <w:sz w:val="24"/>
              </w:rPr>
              <w:t>尽量采用低噪声的施工工具</w:t>
            </w:r>
            <w:r>
              <w:rPr>
                <w:rFonts w:hint="eastAsia" w:ascii="宋体" w:hAnsi="宋体" w:eastAsia="宋体" w:cs="宋体"/>
                <w:color w:val="auto"/>
                <w:sz w:val="24"/>
                <w:lang w:eastAsia="zh-CN"/>
              </w:rPr>
              <w:t>，</w:t>
            </w:r>
            <w:r>
              <w:rPr>
                <w:rFonts w:hint="eastAsia" w:ascii="宋体" w:hAnsi="宋体" w:eastAsia="宋体" w:cs="宋体"/>
                <w:color w:val="auto"/>
                <w:sz w:val="24"/>
              </w:rPr>
              <w:t>如以液压工具代替气压工具</w:t>
            </w:r>
            <w:r>
              <w:rPr>
                <w:rFonts w:hint="eastAsia" w:ascii="宋体" w:hAnsi="宋体" w:eastAsia="宋体" w:cs="宋体"/>
                <w:color w:val="auto"/>
                <w:sz w:val="24"/>
                <w:lang w:eastAsia="zh-CN"/>
              </w:rPr>
              <w:t>，</w:t>
            </w:r>
            <w:r>
              <w:rPr>
                <w:rFonts w:hint="eastAsia" w:ascii="宋体" w:hAnsi="宋体" w:eastAsia="宋体" w:cs="宋体"/>
                <w:color w:val="auto"/>
                <w:sz w:val="24"/>
              </w:rPr>
              <w:t>闲置不用的设备应立即关闭。</w:t>
            </w:r>
          </w:p>
          <w:p>
            <w:pPr>
              <w:keepNext w:val="0"/>
              <w:keepLines w:val="0"/>
              <w:suppressLineNumbers w:val="0"/>
              <w:spacing w:before="0" w:beforeAutospacing="0" w:after="0" w:afterAutospacing="0" w:line="360" w:lineRule="auto"/>
              <w:ind w:left="0" w:right="0" w:firstLine="480" w:firstLineChars="200"/>
              <w:rPr>
                <w:rFonts w:hint="eastAsia" w:ascii="宋体" w:hAnsi="宋体" w:eastAsia="宋体" w:cs="宋体"/>
                <w:color w:val="auto"/>
                <w:sz w:val="24"/>
              </w:rPr>
            </w:pPr>
            <w:r>
              <w:rPr>
                <w:rFonts w:hint="eastAsia" w:ascii="宋体" w:hAnsi="宋体" w:eastAsia="宋体" w:cs="宋体"/>
                <w:color w:val="auto"/>
                <w:sz w:val="24"/>
              </w:rPr>
              <w:t>③除上述施工机械产生的噪声外</w:t>
            </w:r>
            <w:r>
              <w:rPr>
                <w:rFonts w:hint="eastAsia" w:ascii="宋体" w:hAnsi="宋体" w:eastAsia="宋体" w:cs="宋体"/>
                <w:color w:val="auto"/>
                <w:sz w:val="24"/>
                <w:lang w:eastAsia="zh-CN"/>
              </w:rPr>
              <w:t>，</w:t>
            </w:r>
            <w:r>
              <w:rPr>
                <w:rFonts w:hint="eastAsia" w:ascii="宋体" w:hAnsi="宋体" w:eastAsia="宋体" w:cs="宋体"/>
                <w:color w:val="auto"/>
                <w:sz w:val="24"/>
              </w:rPr>
              <w:t>施工过程中各种运输车辆的运行</w:t>
            </w:r>
            <w:r>
              <w:rPr>
                <w:rFonts w:hint="eastAsia" w:ascii="宋体" w:hAnsi="宋体" w:eastAsia="宋体" w:cs="宋体"/>
                <w:color w:val="auto"/>
                <w:sz w:val="24"/>
                <w:lang w:eastAsia="zh-CN"/>
              </w:rPr>
              <w:t>，</w:t>
            </w:r>
            <w:r>
              <w:rPr>
                <w:rFonts w:hint="eastAsia" w:ascii="宋体" w:hAnsi="宋体" w:eastAsia="宋体" w:cs="宋体"/>
                <w:color w:val="auto"/>
                <w:sz w:val="24"/>
              </w:rPr>
              <w:t>将引起居民区噪声级的增加。因此</w:t>
            </w:r>
            <w:r>
              <w:rPr>
                <w:rFonts w:hint="eastAsia" w:ascii="宋体" w:hAnsi="宋体" w:eastAsia="宋体" w:cs="宋体"/>
                <w:color w:val="auto"/>
                <w:sz w:val="24"/>
                <w:lang w:eastAsia="zh-CN"/>
              </w:rPr>
              <w:t>，</w:t>
            </w:r>
            <w:r>
              <w:rPr>
                <w:rFonts w:hint="eastAsia" w:ascii="宋体" w:hAnsi="宋体" w:eastAsia="宋体" w:cs="宋体"/>
                <w:color w:val="auto"/>
                <w:sz w:val="24"/>
              </w:rPr>
              <w:t>应加强对运输车辆的管理</w:t>
            </w:r>
            <w:r>
              <w:rPr>
                <w:rFonts w:hint="eastAsia" w:ascii="宋体" w:hAnsi="宋体" w:eastAsia="宋体" w:cs="宋体"/>
                <w:color w:val="auto"/>
                <w:sz w:val="24"/>
                <w:lang w:eastAsia="zh-CN"/>
              </w:rPr>
              <w:t>，</w:t>
            </w:r>
            <w:r>
              <w:rPr>
                <w:rFonts w:hint="eastAsia" w:ascii="宋体" w:hAnsi="宋体" w:eastAsia="宋体" w:cs="宋体"/>
                <w:color w:val="auto"/>
                <w:sz w:val="24"/>
              </w:rPr>
              <w:t>尽量压缩工区汽车数量和行车密度</w:t>
            </w:r>
            <w:r>
              <w:rPr>
                <w:rFonts w:hint="eastAsia" w:ascii="宋体" w:hAnsi="宋体" w:eastAsia="宋体" w:cs="宋体"/>
                <w:color w:val="auto"/>
                <w:sz w:val="24"/>
                <w:lang w:eastAsia="zh-CN"/>
              </w:rPr>
              <w:t>，</w:t>
            </w:r>
            <w:r>
              <w:rPr>
                <w:rFonts w:hint="eastAsia" w:ascii="宋体" w:hAnsi="宋体" w:eastAsia="宋体" w:cs="宋体"/>
                <w:color w:val="auto"/>
                <w:sz w:val="24"/>
              </w:rPr>
              <w:t>控制汽车鸣笛。</w:t>
            </w:r>
          </w:p>
          <w:p>
            <w:pPr>
              <w:keepNext w:val="0"/>
              <w:keepLines w:val="0"/>
              <w:pageBreakBefore w:val="0"/>
              <w:widowControl w:val="0"/>
              <w:suppressLineNumbers w:val="0"/>
              <w:tabs>
                <w:tab w:val="left" w:pos="7875"/>
              </w:tabs>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eastAsia" w:ascii="宋体" w:hAnsi="宋体" w:eastAsia="宋体" w:cs="宋体"/>
                <w:b/>
                <w:bCs/>
                <w:snapToGrid w:val="0"/>
                <w:color w:val="auto"/>
                <w:kern w:val="0"/>
                <w:sz w:val="24"/>
                <w:lang w:eastAsia="zh-CN"/>
              </w:rPr>
            </w:pPr>
            <w:r>
              <w:rPr>
                <w:rFonts w:hint="eastAsia" w:ascii="宋体" w:hAnsi="宋体" w:eastAsia="宋体" w:cs="宋体"/>
                <w:b/>
                <w:bCs/>
                <w:snapToGrid w:val="0"/>
                <w:color w:val="auto"/>
                <w:kern w:val="0"/>
                <w:sz w:val="24"/>
              </w:rPr>
              <w:t>4、</w:t>
            </w:r>
            <w:r>
              <w:rPr>
                <w:rFonts w:hint="eastAsia" w:ascii="宋体" w:hAnsi="宋体" w:eastAsia="宋体" w:cs="宋体"/>
                <w:b/>
                <w:bCs/>
                <w:snapToGrid w:val="0"/>
                <w:color w:val="auto"/>
                <w:kern w:val="0"/>
                <w:sz w:val="24"/>
                <w:lang w:val="en-US" w:eastAsia="zh-CN"/>
              </w:rPr>
              <w:t>固体废物</w:t>
            </w:r>
          </w:p>
          <w:p>
            <w:pPr>
              <w:keepNext w:val="0"/>
              <w:keepLines w:val="0"/>
              <w:suppressLineNumbers w:val="0"/>
              <w:spacing w:before="0" w:beforeAutospacing="0" w:after="0" w:afterAutospacing="0" w:line="360" w:lineRule="auto"/>
              <w:ind w:left="0" w:right="0" w:firstLine="480" w:firstLineChars="200"/>
              <w:rPr>
                <w:rFonts w:hint="eastAsia" w:ascii="宋体" w:hAnsi="宋体" w:eastAsia="宋体" w:cs="宋体"/>
                <w:color w:val="auto"/>
                <w:sz w:val="24"/>
              </w:rPr>
            </w:pPr>
            <w:r>
              <w:rPr>
                <w:rFonts w:hint="eastAsia" w:ascii="宋体" w:hAnsi="宋体" w:eastAsia="宋体" w:cs="宋体"/>
                <w:color w:val="auto"/>
                <w:sz w:val="24"/>
              </w:rPr>
              <w:t>施工固体废物主要来自施工所产生的建筑垃圾和施工队伍产生的生活垃圾。其防治措施主要有：</w:t>
            </w:r>
          </w:p>
          <w:p>
            <w:pPr>
              <w:keepNext w:val="0"/>
              <w:keepLines w:val="0"/>
              <w:suppressLineNumbers w:val="0"/>
              <w:spacing w:before="0" w:beforeAutospacing="0" w:after="0" w:afterAutospacing="0" w:line="360" w:lineRule="auto"/>
              <w:ind w:left="0" w:right="0" w:firstLine="480" w:firstLineChars="200"/>
              <w:rPr>
                <w:rFonts w:hint="eastAsia" w:ascii="宋体" w:hAnsi="宋体" w:eastAsia="宋体" w:cs="宋体"/>
                <w:color w:val="auto"/>
                <w:sz w:val="24"/>
              </w:rPr>
            </w:pPr>
            <w:r>
              <w:rPr>
                <w:rFonts w:hint="eastAsia" w:ascii="宋体" w:hAnsi="宋体" w:eastAsia="宋体" w:cs="宋体"/>
                <w:color w:val="auto"/>
                <w:sz w:val="24"/>
              </w:rPr>
              <w:t>①尽量减少建筑材料在运输、装卸、施工过程中的跑、冒、滴、漏</w:t>
            </w:r>
            <w:r>
              <w:rPr>
                <w:rFonts w:hint="eastAsia" w:ascii="宋体" w:hAnsi="宋体" w:eastAsia="宋体" w:cs="宋体"/>
                <w:color w:val="auto"/>
                <w:sz w:val="24"/>
                <w:lang w:eastAsia="zh-CN"/>
              </w:rPr>
              <w:t>，</w:t>
            </w:r>
            <w:r>
              <w:rPr>
                <w:rFonts w:hint="eastAsia" w:ascii="宋体" w:hAnsi="宋体" w:eastAsia="宋体" w:cs="宋体"/>
                <w:color w:val="auto"/>
                <w:sz w:val="24"/>
              </w:rPr>
              <w:t>建筑垃圾应在指定的堆放点存放</w:t>
            </w:r>
            <w:r>
              <w:rPr>
                <w:rFonts w:hint="eastAsia" w:ascii="宋体" w:hAnsi="宋体" w:eastAsia="宋体" w:cs="宋体"/>
                <w:color w:val="auto"/>
                <w:sz w:val="24"/>
                <w:lang w:eastAsia="zh-CN"/>
              </w:rPr>
              <w:t>，</w:t>
            </w:r>
            <w:r>
              <w:rPr>
                <w:rFonts w:hint="eastAsia" w:ascii="宋体" w:hAnsi="宋体" w:eastAsia="宋体" w:cs="宋体"/>
                <w:color w:val="auto"/>
                <w:sz w:val="24"/>
              </w:rPr>
              <w:t>并及时送城市垃圾填埋场。</w:t>
            </w:r>
          </w:p>
          <w:p>
            <w:pPr>
              <w:keepNext w:val="0"/>
              <w:keepLines w:val="0"/>
              <w:suppressLineNumbers w:val="0"/>
              <w:spacing w:before="0" w:beforeAutospacing="0" w:after="0" w:afterAutospacing="0" w:line="360" w:lineRule="auto"/>
              <w:ind w:left="0" w:right="0" w:firstLine="480" w:firstLineChars="200"/>
              <w:rPr>
                <w:rFonts w:hint="eastAsia" w:ascii="宋体" w:hAnsi="宋体" w:eastAsia="宋体" w:cs="宋体"/>
                <w:color w:val="auto"/>
                <w:sz w:val="24"/>
              </w:rPr>
            </w:pPr>
            <w:r>
              <w:rPr>
                <w:rFonts w:hint="eastAsia" w:ascii="宋体" w:hAnsi="宋体" w:eastAsia="宋体" w:cs="宋体"/>
                <w:color w:val="auto"/>
                <w:sz w:val="24"/>
              </w:rPr>
              <w:t>②在工地废料被运送到合适的市场去以前</w:t>
            </w:r>
            <w:r>
              <w:rPr>
                <w:rFonts w:hint="eastAsia" w:ascii="宋体" w:hAnsi="宋体" w:eastAsia="宋体" w:cs="宋体"/>
                <w:color w:val="auto"/>
                <w:sz w:val="24"/>
                <w:lang w:eastAsia="zh-CN"/>
              </w:rPr>
              <w:t>，</w:t>
            </w:r>
            <w:r>
              <w:rPr>
                <w:rFonts w:hint="eastAsia" w:ascii="宋体" w:hAnsi="宋体" w:eastAsia="宋体" w:cs="宋体"/>
                <w:color w:val="auto"/>
                <w:sz w:val="24"/>
              </w:rPr>
              <w:t>需要制定一个堆放、分类回收和贮存材料的计划。一般而言</w:t>
            </w:r>
            <w:r>
              <w:rPr>
                <w:rFonts w:hint="eastAsia" w:ascii="宋体" w:hAnsi="宋体" w:eastAsia="宋体" w:cs="宋体"/>
                <w:color w:val="auto"/>
                <w:sz w:val="24"/>
                <w:lang w:eastAsia="zh-CN"/>
              </w:rPr>
              <w:t>，</w:t>
            </w:r>
            <w:r>
              <w:rPr>
                <w:rFonts w:hint="eastAsia" w:ascii="宋体" w:hAnsi="宋体" w:eastAsia="宋体" w:cs="宋体"/>
                <w:color w:val="auto"/>
                <w:sz w:val="24"/>
              </w:rPr>
              <w:t>主要针对钢材、金属、砌块、混凝土、未加工木材、瓦楞板纸和沥青等可再生材料进行现场分类和收集。</w:t>
            </w:r>
          </w:p>
          <w:p>
            <w:pPr>
              <w:keepNext w:val="0"/>
              <w:keepLines w:val="0"/>
              <w:suppressLineNumbers w:val="0"/>
              <w:spacing w:before="0" w:beforeAutospacing="0" w:after="0" w:afterAutospacing="0" w:line="360" w:lineRule="auto"/>
              <w:ind w:left="0" w:right="0" w:firstLine="480" w:firstLineChars="200"/>
              <w:rPr>
                <w:rFonts w:hint="eastAsia" w:ascii="宋体" w:hAnsi="宋体" w:eastAsia="宋体" w:cs="宋体"/>
                <w:color w:val="auto"/>
                <w:sz w:val="24"/>
              </w:rPr>
            </w:pPr>
            <w:r>
              <w:rPr>
                <w:rFonts w:hint="eastAsia" w:ascii="宋体" w:hAnsi="宋体" w:eastAsia="宋体" w:cs="宋体"/>
                <w:color w:val="auto"/>
                <w:sz w:val="24"/>
              </w:rPr>
              <w:t>③对施工现场及时清理</w:t>
            </w:r>
            <w:r>
              <w:rPr>
                <w:rFonts w:hint="eastAsia" w:ascii="宋体" w:hAnsi="宋体" w:eastAsia="宋体" w:cs="宋体"/>
                <w:color w:val="auto"/>
                <w:sz w:val="24"/>
                <w:lang w:eastAsia="zh-CN"/>
              </w:rPr>
              <w:t>，</w:t>
            </w:r>
            <w:r>
              <w:rPr>
                <w:rFonts w:hint="eastAsia" w:ascii="宋体" w:hAnsi="宋体" w:eastAsia="宋体" w:cs="宋体"/>
                <w:color w:val="auto"/>
                <w:sz w:val="24"/>
              </w:rPr>
              <w:t>建筑垃圾及时清运、加以利用</w:t>
            </w:r>
            <w:r>
              <w:rPr>
                <w:rFonts w:hint="eastAsia" w:ascii="宋体" w:hAnsi="宋体" w:eastAsia="宋体" w:cs="宋体"/>
                <w:color w:val="auto"/>
                <w:sz w:val="24"/>
                <w:lang w:eastAsia="zh-CN"/>
              </w:rPr>
              <w:t>，</w:t>
            </w:r>
            <w:r>
              <w:rPr>
                <w:rFonts w:hint="eastAsia" w:ascii="宋体" w:hAnsi="宋体" w:eastAsia="宋体" w:cs="宋体"/>
                <w:color w:val="auto"/>
                <w:sz w:val="24"/>
              </w:rPr>
              <w:t>防止其因长期堆放而产生扬尘。</w:t>
            </w:r>
          </w:p>
          <w:p>
            <w:pPr>
              <w:keepNext w:val="0"/>
              <w:keepLines w:val="0"/>
              <w:suppressLineNumbers w:val="0"/>
              <w:spacing w:before="0" w:beforeAutospacing="0" w:after="0" w:afterAutospacing="0" w:line="360" w:lineRule="auto"/>
              <w:ind w:left="0" w:right="0" w:firstLine="480" w:firstLineChars="200"/>
              <w:rPr>
                <w:rFonts w:hint="eastAsia" w:ascii="宋体" w:hAnsi="宋体" w:eastAsia="宋体" w:cs="宋体"/>
                <w:color w:val="auto"/>
                <w:sz w:val="24"/>
              </w:rPr>
            </w:pPr>
            <w:r>
              <w:rPr>
                <w:rFonts w:hint="eastAsia" w:ascii="宋体" w:hAnsi="宋体" w:eastAsia="宋体" w:cs="宋体"/>
                <w:color w:val="auto"/>
                <w:sz w:val="24"/>
              </w:rPr>
              <w:t>④施工人员居住区的生活垃圾要实行袋装化</w:t>
            </w:r>
            <w:r>
              <w:rPr>
                <w:rFonts w:hint="eastAsia" w:ascii="宋体" w:hAnsi="宋体" w:eastAsia="宋体" w:cs="宋体"/>
                <w:color w:val="auto"/>
                <w:sz w:val="24"/>
                <w:lang w:eastAsia="zh-CN"/>
              </w:rPr>
              <w:t>，</w:t>
            </w:r>
            <w:r>
              <w:rPr>
                <w:rFonts w:hint="eastAsia" w:ascii="宋体" w:hAnsi="宋体" w:eastAsia="宋体" w:cs="宋体"/>
                <w:color w:val="auto"/>
                <w:sz w:val="24"/>
              </w:rPr>
              <w:t>每天由清洁员清理</w:t>
            </w:r>
            <w:r>
              <w:rPr>
                <w:rFonts w:hint="eastAsia" w:ascii="宋体" w:hAnsi="宋体" w:eastAsia="宋体" w:cs="宋体"/>
                <w:color w:val="auto"/>
                <w:sz w:val="24"/>
                <w:lang w:eastAsia="zh-CN"/>
              </w:rPr>
              <w:t>，</w:t>
            </w:r>
            <w:r>
              <w:rPr>
                <w:rFonts w:hint="eastAsia" w:ascii="宋体" w:hAnsi="宋体" w:eastAsia="宋体" w:cs="宋体"/>
                <w:color w:val="auto"/>
                <w:sz w:val="24"/>
              </w:rPr>
              <w:t>集中送至指定堆放点</w:t>
            </w:r>
            <w:r>
              <w:rPr>
                <w:rFonts w:hint="eastAsia" w:ascii="宋体" w:hAnsi="宋体" w:eastAsia="宋体" w:cs="宋体"/>
                <w:color w:val="auto"/>
                <w:sz w:val="24"/>
                <w:lang w:eastAsia="zh-CN"/>
              </w:rPr>
              <w:t>，</w:t>
            </w:r>
            <w:r>
              <w:rPr>
                <w:rFonts w:hint="eastAsia" w:ascii="宋体" w:hAnsi="宋体" w:eastAsia="宋体" w:cs="宋体"/>
                <w:color w:val="auto"/>
                <w:sz w:val="24"/>
              </w:rPr>
              <w:t>由环卫所定期将之送往较近的垃圾场进行合理处理</w:t>
            </w:r>
            <w:r>
              <w:rPr>
                <w:rFonts w:hint="eastAsia" w:ascii="宋体" w:hAnsi="宋体" w:eastAsia="宋体" w:cs="宋体"/>
                <w:color w:val="auto"/>
                <w:sz w:val="24"/>
                <w:lang w:eastAsia="zh-CN"/>
              </w:rPr>
              <w:t>，</w:t>
            </w:r>
            <w:r>
              <w:rPr>
                <w:rFonts w:hint="eastAsia" w:ascii="宋体" w:hAnsi="宋体" w:eastAsia="宋体" w:cs="宋体"/>
                <w:color w:val="auto"/>
                <w:sz w:val="24"/>
              </w:rPr>
              <w:t>严禁乱堆乱扔</w:t>
            </w:r>
            <w:r>
              <w:rPr>
                <w:rFonts w:hint="eastAsia" w:ascii="宋体" w:hAnsi="宋体" w:eastAsia="宋体" w:cs="宋体"/>
                <w:color w:val="auto"/>
                <w:sz w:val="24"/>
                <w:lang w:eastAsia="zh-CN"/>
              </w:rPr>
              <w:t>，</w:t>
            </w:r>
            <w:r>
              <w:rPr>
                <w:rFonts w:hint="eastAsia" w:ascii="宋体" w:hAnsi="宋体" w:eastAsia="宋体" w:cs="宋体"/>
                <w:color w:val="auto"/>
                <w:sz w:val="24"/>
              </w:rPr>
              <w:t>防止产生二次污染。</w:t>
            </w:r>
          </w:p>
          <w:p>
            <w:pPr>
              <w:pStyle w:val="2"/>
              <w:keepNext w:val="0"/>
              <w:keepLines w:val="0"/>
              <w:suppressLineNumbers w:val="0"/>
              <w:spacing w:before="0" w:beforeAutospacing="0" w:afterAutospacing="0"/>
              <w:rPr>
                <w:rFonts w:hint="eastAsia" w:ascii="宋体" w:hAnsi="宋体" w:eastAsia="宋体" w:cs="宋体"/>
                <w:color w:val="auto"/>
                <w:sz w:val="24"/>
              </w:rPr>
            </w:pPr>
          </w:p>
          <w:p>
            <w:pPr>
              <w:pStyle w:val="2"/>
              <w:keepNext w:val="0"/>
              <w:keepLines w:val="0"/>
              <w:suppressLineNumbers w:val="0"/>
              <w:spacing w:before="0" w:beforeAutospacing="0" w:afterAutospacing="0"/>
              <w:rPr>
                <w:rFonts w:hint="eastAsia" w:ascii="宋体" w:hAnsi="宋体" w:eastAsia="宋体" w:cs="宋体"/>
                <w:color w:val="auto"/>
                <w:sz w:val="24"/>
              </w:rPr>
            </w:pPr>
          </w:p>
          <w:p>
            <w:pPr>
              <w:pStyle w:val="2"/>
              <w:keepNext w:val="0"/>
              <w:keepLines w:val="0"/>
              <w:suppressLineNumbers w:val="0"/>
              <w:spacing w:before="0" w:beforeAutospacing="0" w:afterAutospacing="0"/>
              <w:rPr>
                <w:rFonts w:hint="eastAsia" w:ascii="宋体" w:hAnsi="宋体" w:eastAsia="宋体" w:cs="宋体"/>
                <w:color w:val="auto"/>
                <w:sz w:val="24"/>
              </w:rPr>
            </w:pPr>
          </w:p>
          <w:p>
            <w:pPr>
              <w:pStyle w:val="2"/>
              <w:keepNext w:val="0"/>
              <w:keepLines w:val="0"/>
              <w:suppressLineNumbers w:val="0"/>
              <w:spacing w:before="0" w:beforeAutospacing="0" w:afterAutospacing="0"/>
              <w:rPr>
                <w:rFonts w:hint="eastAsia" w:ascii="宋体" w:hAnsi="宋体" w:eastAsia="宋体" w:cs="宋体"/>
                <w:color w:val="auto"/>
                <w:sz w:val="24"/>
              </w:rPr>
            </w:pPr>
          </w:p>
          <w:p>
            <w:pPr>
              <w:keepNext w:val="0"/>
              <w:keepLines w:val="0"/>
              <w:suppressLineNumbers w:val="0"/>
              <w:adjustRightInd w:val="0"/>
              <w:snapToGrid w:val="0"/>
              <w:spacing w:before="0" w:beforeAutospacing="0" w:after="0" w:afterAutospacing="0" w:line="360" w:lineRule="auto"/>
              <w:ind w:left="0" w:right="0" w:firstLine="480" w:firstLineChars="200"/>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3" w:hRule="atLeast"/>
          <w:jc w:val="center"/>
        </w:trPr>
        <w:tc>
          <w:tcPr>
            <w:tcW w:w="583" w:type="dxa"/>
            <w:tcMar>
              <w:left w:w="28" w:type="dxa"/>
              <w:right w:w="28" w:type="dxa"/>
            </w:tcMar>
            <w:vAlign w:val="center"/>
          </w:tcPr>
          <w:p>
            <w:pPr>
              <w:keepNext w:val="0"/>
              <w:keepLines w:val="0"/>
              <w:suppressLineNumbers w:val="0"/>
              <w:adjustRightInd w:val="0"/>
              <w:snapToGrid w:val="0"/>
              <w:spacing w:before="0" w:beforeAutospacing="0" w:after="0" w:afterAutospacing="0"/>
              <w:ind w:left="0" w:right="0"/>
              <w:jc w:val="center"/>
              <w:rPr>
                <w:rFonts w:ascii="宋体" w:hAnsi="宋体" w:cs="宋体"/>
                <w:bCs/>
                <w:szCs w:val="21"/>
              </w:rPr>
            </w:pPr>
            <w:r>
              <w:rPr>
                <w:rFonts w:hint="eastAsia" w:ascii="宋体" w:hAnsi="宋体" w:cs="宋体"/>
                <w:bCs/>
                <w:szCs w:val="21"/>
              </w:rPr>
              <w:t>运营</w:t>
            </w:r>
          </w:p>
          <w:p>
            <w:pPr>
              <w:keepNext w:val="0"/>
              <w:keepLines w:val="0"/>
              <w:suppressLineNumbers w:val="0"/>
              <w:adjustRightInd w:val="0"/>
              <w:snapToGrid w:val="0"/>
              <w:spacing w:before="0" w:beforeAutospacing="0" w:after="0" w:afterAutospacing="0"/>
              <w:ind w:left="0" w:right="0"/>
              <w:jc w:val="center"/>
              <w:rPr>
                <w:rFonts w:ascii="宋体" w:hAnsi="宋体" w:cs="宋体"/>
                <w:bCs/>
                <w:szCs w:val="21"/>
              </w:rPr>
            </w:pPr>
            <w:r>
              <w:rPr>
                <w:rFonts w:hint="eastAsia" w:ascii="宋体" w:hAnsi="宋体" w:cs="宋体"/>
                <w:bCs/>
                <w:szCs w:val="21"/>
              </w:rPr>
              <w:t>期环</w:t>
            </w:r>
          </w:p>
          <w:p>
            <w:pPr>
              <w:keepNext w:val="0"/>
              <w:keepLines w:val="0"/>
              <w:suppressLineNumbers w:val="0"/>
              <w:adjustRightInd w:val="0"/>
              <w:snapToGrid w:val="0"/>
              <w:spacing w:before="0" w:beforeAutospacing="0" w:after="0" w:afterAutospacing="0"/>
              <w:ind w:left="0" w:right="0"/>
              <w:jc w:val="center"/>
              <w:rPr>
                <w:rFonts w:ascii="宋体" w:hAnsi="宋体" w:cs="宋体"/>
                <w:bCs/>
                <w:szCs w:val="21"/>
              </w:rPr>
            </w:pPr>
            <w:r>
              <w:rPr>
                <w:rFonts w:hint="eastAsia" w:ascii="宋体" w:hAnsi="宋体" w:cs="宋体"/>
                <w:bCs/>
                <w:szCs w:val="21"/>
              </w:rPr>
              <w:t>境影</w:t>
            </w:r>
          </w:p>
          <w:p>
            <w:pPr>
              <w:keepNext w:val="0"/>
              <w:keepLines w:val="0"/>
              <w:suppressLineNumbers w:val="0"/>
              <w:adjustRightInd w:val="0"/>
              <w:snapToGrid w:val="0"/>
              <w:spacing w:before="0" w:beforeAutospacing="0" w:after="0" w:afterAutospacing="0"/>
              <w:ind w:left="0" w:right="0"/>
              <w:jc w:val="center"/>
              <w:rPr>
                <w:rFonts w:ascii="宋体" w:hAnsi="宋体" w:cs="宋体"/>
                <w:bCs/>
                <w:szCs w:val="21"/>
              </w:rPr>
            </w:pPr>
            <w:r>
              <w:rPr>
                <w:rFonts w:hint="eastAsia" w:ascii="宋体" w:hAnsi="宋体" w:cs="宋体"/>
                <w:bCs/>
                <w:szCs w:val="21"/>
              </w:rPr>
              <w:t>响和</w:t>
            </w:r>
          </w:p>
          <w:p>
            <w:pPr>
              <w:keepNext w:val="0"/>
              <w:keepLines w:val="0"/>
              <w:suppressLineNumbers w:val="0"/>
              <w:adjustRightInd w:val="0"/>
              <w:snapToGrid w:val="0"/>
              <w:spacing w:before="0" w:beforeAutospacing="0" w:after="0" w:afterAutospacing="0"/>
              <w:ind w:left="0" w:right="0"/>
              <w:jc w:val="center"/>
              <w:rPr>
                <w:rFonts w:ascii="宋体" w:hAnsi="宋体" w:cs="宋体"/>
                <w:bCs/>
                <w:szCs w:val="21"/>
              </w:rPr>
            </w:pPr>
            <w:r>
              <w:rPr>
                <w:rFonts w:hint="eastAsia" w:ascii="宋体" w:hAnsi="宋体" w:cs="宋体"/>
                <w:bCs/>
                <w:szCs w:val="21"/>
              </w:rPr>
              <w:t>保护</w:t>
            </w:r>
          </w:p>
          <w:p>
            <w:pPr>
              <w:keepNext w:val="0"/>
              <w:keepLines w:val="0"/>
              <w:suppressLineNumbers w:val="0"/>
              <w:adjustRightInd w:val="0"/>
              <w:snapToGrid w:val="0"/>
              <w:spacing w:before="0" w:beforeAutospacing="0" w:after="0" w:afterAutospacing="0"/>
              <w:ind w:left="0" w:right="0"/>
              <w:jc w:val="center"/>
              <w:rPr>
                <w:rFonts w:ascii="宋体" w:hAnsi="宋体" w:cs="宋体"/>
                <w:bCs/>
                <w:szCs w:val="21"/>
              </w:rPr>
            </w:pPr>
            <w:r>
              <w:rPr>
                <w:rFonts w:hint="eastAsia" w:ascii="宋体" w:hAnsi="宋体" w:cs="宋体"/>
                <w:bCs/>
                <w:szCs w:val="21"/>
              </w:rPr>
              <w:t>措施</w:t>
            </w:r>
          </w:p>
        </w:tc>
        <w:tc>
          <w:tcPr>
            <w:tcW w:w="8398" w:type="dxa"/>
            <w:vAlign w:val="center"/>
          </w:tcPr>
          <w:p>
            <w:pPr>
              <w:keepNext w:val="0"/>
              <w:keepLines w:val="0"/>
              <w:suppressLineNumbers w:val="0"/>
              <w:adjustRightInd w:val="0"/>
              <w:snapToGrid w:val="0"/>
              <w:spacing w:before="0" w:beforeAutospacing="0" w:after="0" w:afterAutospacing="0" w:line="360" w:lineRule="auto"/>
              <w:ind w:left="0" w:right="0"/>
              <w:rPr>
                <w:rFonts w:ascii="宋体"/>
                <w:b/>
                <w:bCs/>
                <w:sz w:val="24"/>
              </w:rPr>
            </w:pPr>
            <w:r>
              <w:rPr>
                <w:rFonts w:hint="eastAsia" w:ascii="宋体"/>
                <w:b/>
                <w:bCs/>
                <w:sz w:val="24"/>
              </w:rPr>
              <w:t>1、废气</w:t>
            </w:r>
          </w:p>
          <w:p>
            <w:pPr>
              <w:keepNext w:val="0"/>
              <w:keepLines w:val="0"/>
              <w:suppressLineNumbers w:val="0"/>
              <w:adjustRightInd w:val="0"/>
              <w:snapToGrid w:val="0"/>
              <w:spacing w:before="0" w:beforeAutospacing="0" w:after="0" w:afterAutospacing="0" w:line="360" w:lineRule="auto"/>
              <w:ind w:left="0" w:right="0" w:firstLine="482" w:firstLineChars="200"/>
              <w:rPr>
                <w:b/>
                <w:bCs/>
                <w:sz w:val="24"/>
              </w:rPr>
            </w:pPr>
            <w:r>
              <w:rPr>
                <w:b/>
                <w:bCs/>
                <w:sz w:val="24"/>
              </w:rPr>
              <w:t>（1）产污情况分析</w:t>
            </w:r>
          </w:p>
          <w:p>
            <w:pPr>
              <w:keepNext w:val="0"/>
              <w:keepLines w:val="0"/>
              <w:suppressLineNumbers w:val="0"/>
              <w:adjustRightInd w:val="0"/>
              <w:snapToGrid w:val="0"/>
              <w:spacing w:before="0" w:beforeAutospacing="0" w:after="0" w:afterAutospacing="0" w:line="360" w:lineRule="auto"/>
              <w:ind w:left="0" w:right="0" w:firstLine="482" w:firstLineChars="200"/>
              <w:rPr>
                <w:b/>
                <w:sz w:val="24"/>
              </w:rPr>
            </w:pPr>
            <w:r>
              <w:rPr>
                <w:rFonts w:hint="eastAsia"/>
                <w:b/>
                <w:sz w:val="24"/>
              </w:rPr>
              <w:t>1）有组织废气</w:t>
            </w:r>
          </w:p>
          <w:p>
            <w:pPr>
              <w:keepNext w:val="0"/>
              <w:keepLines w:val="0"/>
              <w:suppressLineNumbers w:val="0"/>
              <w:adjustRightInd w:val="0"/>
              <w:snapToGrid w:val="0"/>
              <w:spacing w:before="0" w:beforeAutospacing="0" w:after="0" w:afterAutospacing="0" w:line="360" w:lineRule="auto"/>
              <w:ind w:left="0" w:right="0" w:firstLine="482" w:firstLineChars="200"/>
              <w:rPr>
                <w:rFonts w:hint="eastAsia"/>
                <w:sz w:val="24"/>
              </w:rPr>
            </w:pPr>
            <w:r>
              <w:rPr>
                <w:rFonts w:hint="eastAsia"/>
                <w:b/>
                <w:sz w:val="24"/>
              </w:rPr>
              <w:t>涂敷废气：</w:t>
            </w:r>
            <w:r>
              <w:rPr>
                <w:rFonts w:hint="eastAsia"/>
                <w:sz w:val="24"/>
              </w:rPr>
              <w:t>本项目涂敷过程在涂敷机中静电粉末涂敷室（四周设有挡板，</w:t>
            </w:r>
            <w:r>
              <w:rPr>
                <w:rFonts w:hint="eastAsia"/>
                <w:sz w:val="24"/>
                <w:lang w:eastAsia="zh-CN"/>
              </w:rPr>
              <w:t>相对密闭，仅保留工件进出口</w:t>
            </w:r>
            <w:r>
              <w:rPr>
                <w:rFonts w:hint="eastAsia"/>
                <w:sz w:val="24"/>
              </w:rPr>
              <w:t>，负压收集）内进行，主要污染因子为涂敷过程产生的粉尘。</w:t>
            </w:r>
            <w:r>
              <w:rPr>
                <w:sz w:val="24"/>
              </w:rPr>
              <w:t>根据《</w:t>
            </w:r>
            <w:r>
              <w:rPr>
                <w:rFonts w:hint="eastAsia"/>
                <w:sz w:val="24"/>
              </w:rPr>
              <w:t>喷塑</w:t>
            </w:r>
            <w:r>
              <w:rPr>
                <w:sz w:val="24"/>
              </w:rPr>
              <w:t>行业污染物源强估算及治理方法探讨》（中国环境管理干部学院学报第26卷第6期）中</w:t>
            </w:r>
            <w:r>
              <w:rPr>
                <w:rFonts w:hint="eastAsia"/>
                <w:sz w:val="24"/>
                <w:lang w:eastAsia="zh-CN"/>
              </w:rPr>
              <w:t>“</w:t>
            </w:r>
            <w:r>
              <w:rPr>
                <w:sz w:val="24"/>
              </w:rPr>
              <w:t xml:space="preserve">1.1.2 </w:t>
            </w:r>
            <w:r>
              <w:rPr>
                <w:rFonts w:hint="eastAsia"/>
                <w:sz w:val="24"/>
              </w:rPr>
              <w:t>喷塑</w:t>
            </w:r>
            <w:r>
              <w:rPr>
                <w:sz w:val="24"/>
              </w:rPr>
              <w:t>粉尘</w:t>
            </w:r>
            <w:r>
              <w:rPr>
                <w:rFonts w:hint="eastAsia"/>
                <w:sz w:val="24"/>
                <w:lang w:eastAsia="zh-CN"/>
              </w:rPr>
              <w:t>”</w:t>
            </w:r>
            <w:r>
              <w:rPr>
                <w:sz w:val="24"/>
              </w:rPr>
              <w:t>中</w:t>
            </w:r>
            <w:r>
              <w:rPr>
                <w:rFonts w:hint="eastAsia"/>
                <w:sz w:val="24"/>
                <w:lang w:eastAsia="zh-CN"/>
              </w:rPr>
              <w:t>“</w:t>
            </w:r>
            <w:r>
              <w:rPr>
                <w:sz w:val="24"/>
              </w:rPr>
              <w:t>塑粉平均附着率为80%-90%</w:t>
            </w:r>
            <w:r>
              <w:rPr>
                <w:rFonts w:hint="eastAsia"/>
                <w:sz w:val="24"/>
                <w:lang w:eastAsia="zh-CN"/>
              </w:rPr>
              <w:t>”</w:t>
            </w:r>
            <w:r>
              <w:rPr>
                <w:sz w:val="24"/>
              </w:rPr>
              <w:t>，本</w:t>
            </w:r>
            <w:r>
              <w:rPr>
                <w:rFonts w:hint="eastAsia"/>
                <w:sz w:val="24"/>
              </w:rPr>
              <w:t>项目采用静电喷涂的方式</w:t>
            </w:r>
            <w:r>
              <w:rPr>
                <w:rFonts w:hint="eastAsia"/>
                <w:sz w:val="24"/>
                <w:lang w:eastAsia="zh-CN"/>
              </w:rPr>
              <w:t>，</w:t>
            </w:r>
            <w:r>
              <w:rPr>
                <w:rFonts w:hint="eastAsia"/>
                <w:sz w:val="24"/>
              </w:rPr>
              <w:t>附着率</w:t>
            </w:r>
            <w:r>
              <w:rPr>
                <w:sz w:val="24"/>
              </w:rPr>
              <w:t>取90%，</w:t>
            </w:r>
            <w:r>
              <w:rPr>
                <w:rFonts w:hint="eastAsia"/>
                <w:sz w:val="24"/>
              </w:rPr>
              <w:t>涂敷过程中未附着的粉料中50%在涂敷室内自然沉降，剩余50%向外逸散形成涂敷粉尘</w:t>
            </w:r>
            <w:r>
              <w:rPr>
                <w:sz w:val="24"/>
              </w:rPr>
              <w:t>。</w:t>
            </w:r>
            <w:r>
              <w:rPr>
                <w:rFonts w:hint="eastAsia"/>
                <w:sz w:val="24"/>
              </w:rPr>
              <w:t>本项目环氧树脂粉使用量为100t/a，则粉尘产生量为5t/a。</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rFonts w:hint="eastAsia"/>
                <w:sz w:val="24"/>
              </w:rPr>
              <w:t>本项目涂敷工段产生的粉尘由静电粉末涂敷室内集气罩收集后经设备自带的旋风分离塔+二级滤芯除尘器处理后通过1根15米高排气筒（FQ-1）排放；涂敷全程自动运行，且涂敷室四周设有挡板，相对密闭，仅保留工件进出口，涂敷粉尘捕集率以98%计，旋风分离塔+二级滤芯除尘器的处理效率为98%（旋风分离塔处理效率取50%，单级滤芯除尘器处理效率取80%），涂敷工段粉尘有组织排放量为0.098t/a。</w:t>
            </w:r>
          </w:p>
          <w:p>
            <w:pPr>
              <w:keepNext w:val="0"/>
              <w:keepLines w:val="0"/>
              <w:suppressLineNumbers w:val="0"/>
              <w:adjustRightInd w:val="0"/>
              <w:snapToGrid w:val="0"/>
              <w:spacing w:before="0" w:beforeAutospacing="0" w:after="0" w:afterAutospacing="0" w:line="360" w:lineRule="auto"/>
              <w:ind w:left="0" w:right="0" w:firstLine="482" w:firstLineChars="200"/>
              <w:rPr>
                <w:rFonts w:hint="eastAsia"/>
                <w:sz w:val="24"/>
              </w:rPr>
            </w:pPr>
            <w:r>
              <w:rPr>
                <w:rFonts w:hint="eastAsia"/>
                <w:b/>
                <w:sz w:val="24"/>
              </w:rPr>
              <w:t>固化废气：</w:t>
            </w:r>
            <w:r>
              <w:rPr>
                <w:rFonts w:hint="eastAsia"/>
                <w:sz w:val="24"/>
              </w:rPr>
              <w:t>本项目使用环氧树脂粉作为涂料，资料显示环氧树脂的热分解温度在300℃以上。本项目固化温度为180-220℃，则固化过程将有少量有机废气</w:t>
            </w:r>
            <w:r>
              <w:rPr>
                <w:rFonts w:hint="eastAsia"/>
                <w:sz w:val="24"/>
                <w:lang w:eastAsia="zh-CN"/>
              </w:rPr>
              <w:t>产生</w:t>
            </w:r>
            <w:r>
              <w:rPr>
                <w:rFonts w:hint="eastAsia"/>
                <w:sz w:val="24"/>
              </w:rPr>
              <w:t>，</w:t>
            </w:r>
            <w:r>
              <w:rPr>
                <w:sz w:val="24"/>
              </w:rPr>
              <w:t>根据《</w:t>
            </w:r>
            <w:r>
              <w:rPr>
                <w:rFonts w:hint="eastAsia"/>
                <w:sz w:val="24"/>
              </w:rPr>
              <w:t>喷塑</w:t>
            </w:r>
            <w:r>
              <w:rPr>
                <w:sz w:val="24"/>
              </w:rPr>
              <w:t>行业污染物源强估算及治理方法探究》（中国环境管理干部学院学报第26卷第6期）中</w:t>
            </w:r>
            <w:r>
              <w:rPr>
                <w:rFonts w:hint="eastAsia"/>
                <w:sz w:val="24"/>
                <w:lang w:eastAsia="zh-CN"/>
              </w:rPr>
              <w:t>“</w:t>
            </w:r>
            <w:r>
              <w:rPr>
                <w:sz w:val="24"/>
              </w:rPr>
              <w:t>1.1.3固化废气</w:t>
            </w:r>
            <w:r>
              <w:rPr>
                <w:rFonts w:hint="eastAsia"/>
                <w:sz w:val="24"/>
                <w:lang w:eastAsia="zh-CN"/>
              </w:rPr>
              <w:t>”</w:t>
            </w:r>
            <w:r>
              <w:rPr>
                <w:sz w:val="24"/>
              </w:rPr>
              <w:t>中</w:t>
            </w:r>
            <w:r>
              <w:rPr>
                <w:rFonts w:hint="eastAsia"/>
                <w:sz w:val="24"/>
                <w:lang w:eastAsia="zh-CN"/>
              </w:rPr>
              <w:t>“</w:t>
            </w:r>
            <w:r>
              <w:rPr>
                <w:sz w:val="24"/>
              </w:rPr>
              <w:t>固化工序产生的VOC约占塑粉量的0.3%-0.6%</w:t>
            </w:r>
            <w:r>
              <w:rPr>
                <w:rFonts w:hint="eastAsia"/>
                <w:sz w:val="24"/>
                <w:lang w:eastAsia="zh-CN"/>
              </w:rPr>
              <w:t>”</w:t>
            </w:r>
            <w:r>
              <w:rPr>
                <w:rFonts w:hint="eastAsia"/>
                <w:sz w:val="24"/>
              </w:rPr>
              <w:t>，本项目取</w:t>
            </w:r>
            <w:r>
              <w:rPr>
                <w:rFonts w:hint="eastAsia"/>
                <w:sz w:val="24"/>
                <w:lang w:eastAsia="zh-CN"/>
              </w:rPr>
              <w:t>最大值</w:t>
            </w:r>
            <w:r>
              <w:rPr>
                <w:rFonts w:hint="eastAsia"/>
                <w:sz w:val="24"/>
                <w:lang w:val="en-US" w:eastAsia="zh-CN"/>
              </w:rPr>
              <w:t>0.6</w:t>
            </w:r>
            <w:r>
              <w:rPr>
                <w:rFonts w:hint="eastAsia"/>
                <w:sz w:val="24"/>
              </w:rPr>
              <w:t>%。项目附着在转子铁芯表面的环氧树脂粉量为9</w:t>
            </w:r>
            <w:r>
              <w:rPr>
                <w:rFonts w:hint="eastAsia"/>
                <w:sz w:val="24"/>
                <w:lang w:val="en-US" w:eastAsia="zh-CN"/>
              </w:rPr>
              <w:t>9.802</w:t>
            </w:r>
            <w:r>
              <w:rPr>
                <w:rFonts w:hint="eastAsia"/>
                <w:sz w:val="24"/>
              </w:rPr>
              <w:t>t/a</w:t>
            </w:r>
            <w:r>
              <w:rPr>
                <w:rFonts w:hint="eastAsia"/>
                <w:sz w:val="24"/>
                <w:lang w:eastAsia="zh-CN"/>
              </w:rPr>
              <w:t>（含收集粉尘（涂敷）回用量</w:t>
            </w:r>
            <w:r>
              <w:rPr>
                <w:rFonts w:hint="eastAsia"/>
                <w:sz w:val="24"/>
                <w:lang w:val="en-US" w:eastAsia="zh-CN"/>
              </w:rPr>
              <w:t>9.802t/a</w:t>
            </w:r>
            <w:r>
              <w:rPr>
                <w:rFonts w:hint="eastAsia"/>
                <w:sz w:val="24"/>
                <w:lang w:eastAsia="zh-CN"/>
              </w:rPr>
              <w:t>）</w:t>
            </w:r>
            <w:r>
              <w:rPr>
                <w:rFonts w:hint="eastAsia"/>
                <w:sz w:val="24"/>
                <w:lang w:val="en-US" w:eastAsia="zh-CN"/>
              </w:rPr>
              <w:t>。</w:t>
            </w:r>
            <w:r>
              <w:rPr>
                <w:rFonts w:hint="eastAsia"/>
                <w:sz w:val="24"/>
              </w:rPr>
              <w:t>因此固化过程中非甲烷总烃的产生量</w:t>
            </w:r>
            <w:r>
              <w:rPr>
                <w:rFonts w:hint="eastAsia"/>
                <w:sz w:val="24"/>
                <w:lang w:eastAsia="zh-CN"/>
              </w:rPr>
              <w:t>约</w:t>
            </w:r>
            <w:r>
              <w:rPr>
                <w:rFonts w:hint="eastAsia"/>
                <w:sz w:val="24"/>
              </w:rPr>
              <w:t>为0.</w:t>
            </w:r>
            <w:r>
              <w:rPr>
                <w:rFonts w:hint="eastAsia"/>
                <w:sz w:val="24"/>
                <w:lang w:val="en-US" w:eastAsia="zh-CN"/>
              </w:rPr>
              <w:t>6</w:t>
            </w:r>
            <w:r>
              <w:rPr>
                <w:rFonts w:hint="eastAsia"/>
                <w:sz w:val="24"/>
              </w:rPr>
              <w:t>t/a。</w:t>
            </w:r>
          </w:p>
          <w:p>
            <w:pPr>
              <w:keepNext w:val="0"/>
              <w:keepLines w:val="0"/>
              <w:suppressLineNumbers w:val="0"/>
              <w:adjustRightInd w:val="0"/>
              <w:snapToGrid w:val="0"/>
              <w:spacing w:before="0" w:beforeAutospacing="0" w:after="0" w:afterAutospacing="0" w:line="360" w:lineRule="auto"/>
              <w:ind w:left="0" w:right="0" w:firstLine="482" w:firstLineChars="200"/>
              <w:rPr>
                <w:sz w:val="24"/>
              </w:rPr>
            </w:pPr>
            <w:r>
              <w:rPr>
                <w:rFonts w:hint="eastAsia"/>
                <w:b/>
                <w:sz w:val="24"/>
              </w:rPr>
              <w:t>注塑成型废气</w:t>
            </w:r>
            <w:r>
              <w:rPr>
                <w:b/>
                <w:sz w:val="24"/>
              </w:rPr>
              <w:t>：</w:t>
            </w:r>
            <w:r>
              <w:rPr>
                <w:rFonts w:hint="eastAsia"/>
                <w:sz w:val="24"/>
              </w:rPr>
              <w:t>本项目聚丙烯在注塑机中进行加工处理，工作温度约为160℃~180℃，该过程会产生有机废气，以非甲烷总烃表示。</w:t>
            </w:r>
            <w:r>
              <w:rPr>
                <w:rFonts w:hint="eastAsia"/>
                <w:sz w:val="24"/>
                <w:lang w:eastAsia="zh-CN"/>
              </w:rPr>
              <w:t>参考</w:t>
            </w:r>
            <w:r>
              <w:rPr>
                <w:rFonts w:hint="eastAsia"/>
                <w:sz w:val="24"/>
              </w:rPr>
              <w:t>《空气污染物排放和控制手册 工业污染源调查与研究 第二辑》（美国环境保护局编），塑料</w:t>
            </w:r>
            <w:r>
              <w:rPr>
                <w:rFonts w:hint="eastAsia"/>
                <w:sz w:val="24"/>
                <w:lang w:eastAsia="zh-CN"/>
              </w:rPr>
              <w:t>注塑</w:t>
            </w:r>
            <w:r>
              <w:rPr>
                <w:rFonts w:hint="eastAsia"/>
                <w:sz w:val="24"/>
              </w:rPr>
              <w:t>过程中非甲烷总烃排放系数为0.35kg/t原料，根据企业提供的资料，聚丙烯使用量为50t/a，则非甲烷总烃的产生量为0.0</w:t>
            </w:r>
            <w:r>
              <w:rPr>
                <w:rFonts w:hint="eastAsia"/>
                <w:sz w:val="24"/>
                <w:lang w:val="en-US" w:eastAsia="zh-CN"/>
              </w:rPr>
              <w:t>18</w:t>
            </w:r>
            <w:r>
              <w:rPr>
                <w:rFonts w:hint="eastAsia"/>
                <w:sz w:val="24"/>
              </w:rPr>
              <w:t>t/a。</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rFonts w:hint="eastAsia"/>
                <w:sz w:val="24"/>
              </w:rPr>
              <w:t>本项目固化、注塑成型工段产生的非甲烷总烃由集气罩收集后经“二级活性炭”处理后和涂敷废气一并通过1根15米高排气筒（FQ-1）排放；固化废气及注塑成型废气捕集率以90%计，二级活性炭的处理效率为80%，固化工段非甲烷总烃有组织排放量为0.</w:t>
            </w:r>
            <w:r>
              <w:rPr>
                <w:rFonts w:hint="eastAsia"/>
                <w:sz w:val="24"/>
                <w:lang w:val="en-US" w:eastAsia="zh-CN"/>
              </w:rPr>
              <w:t>108</w:t>
            </w:r>
            <w:r>
              <w:rPr>
                <w:rFonts w:hint="eastAsia"/>
                <w:sz w:val="24"/>
              </w:rPr>
              <w:t>t/a，注塑成型工段非甲烷总烃有组织排放量为0.00</w:t>
            </w:r>
            <w:r>
              <w:rPr>
                <w:rFonts w:hint="eastAsia"/>
                <w:sz w:val="24"/>
                <w:lang w:val="en-US" w:eastAsia="zh-CN"/>
              </w:rPr>
              <w:t>3</w:t>
            </w:r>
            <w:r>
              <w:rPr>
                <w:rFonts w:hint="eastAsia"/>
                <w:sz w:val="24"/>
              </w:rPr>
              <w:t>t/a。</w:t>
            </w:r>
          </w:p>
          <w:p>
            <w:pPr>
              <w:keepNext w:val="0"/>
              <w:keepLines w:val="0"/>
              <w:widowControl/>
              <w:suppressLineNumbers w:val="0"/>
              <w:spacing w:before="0" w:beforeAutospacing="0" w:after="0" w:afterAutospacing="0" w:line="360" w:lineRule="auto"/>
              <w:ind w:left="0" w:right="0" w:firstLine="482" w:firstLineChars="200"/>
              <w:rPr>
                <w:sz w:val="24"/>
              </w:rPr>
            </w:pPr>
            <w:r>
              <w:rPr>
                <w:rFonts w:hAnsi="宋体"/>
                <w:b/>
                <w:sz w:val="24"/>
              </w:rPr>
              <w:t>食堂油烟：</w:t>
            </w:r>
            <w:r>
              <w:rPr>
                <w:rFonts w:hAnsi="宋体"/>
                <w:sz w:val="24"/>
              </w:rPr>
              <w:t>本项目厂区设有食堂，采用天然气作为燃料，天然气属于清洁能源，年使用量约为</w:t>
            </w:r>
            <w:r>
              <w:rPr>
                <w:sz w:val="24"/>
              </w:rPr>
              <w:t>3000m</w:t>
            </w:r>
            <w:r>
              <w:rPr>
                <w:sz w:val="24"/>
                <w:vertAlign w:val="superscript"/>
              </w:rPr>
              <w:t>3</w:t>
            </w:r>
            <w:r>
              <w:rPr>
                <w:rFonts w:hAnsi="宋体"/>
                <w:sz w:val="24"/>
              </w:rPr>
              <w:t>，过程中产生的污染物很少，对外环境影响较小，忽略不计。</w:t>
            </w:r>
          </w:p>
          <w:p>
            <w:pPr>
              <w:keepNext w:val="0"/>
              <w:keepLines w:val="0"/>
              <w:suppressLineNumbers w:val="0"/>
              <w:adjustRightInd w:val="0"/>
              <w:snapToGrid w:val="0"/>
              <w:spacing w:before="0" w:beforeAutospacing="0" w:after="0" w:afterAutospacing="0" w:line="360" w:lineRule="auto"/>
              <w:ind w:left="0" w:right="0" w:firstLine="480" w:firstLineChars="200"/>
              <w:rPr>
                <w:b/>
                <w:sz w:val="24"/>
              </w:rPr>
            </w:pPr>
            <w:r>
              <w:rPr>
                <w:rFonts w:hAnsi="宋体"/>
                <w:sz w:val="24"/>
              </w:rPr>
              <w:t>食物在烹饪、加工过程中将挥发出油脂、有机质及热分解或裂解产物，从而产生油烟废气。食堂每日</w:t>
            </w:r>
            <w:r>
              <w:rPr>
                <w:rFonts w:hint="eastAsia" w:hAnsi="宋体"/>
                <w:sz w:val="24"/>
                <w:lang w:eastAsia="zh-CN"/>
              </w:rPr>
              <w:t>共</w:t>
            </w:r>
            <w:r>
              <w:rPr>
                <w:rFonts w:hint="eastAsia"/>
                <w:sz w:val="24"/>
                <w:lang w:val="en-US" w:eastAsia="zh-CN"/>
              </w:rPr>
              <w:t>24</w:t>
            </w:r>
            <w:r>
              <w:rPr>
                <w:sz w:val="24"/>
              </w:rPr>
              <w:t>0</w:t>
            </w:r>
            <w:r>
              <w:rPr>
                <w:rFonts w:hAnsi="宋体"/>
                <w:sz w:val="24"/>
              </w:rPr>
              <w:t>人次就餐。根据类比调查，人均食用油消耗量以</w:t>
            </w:r>
            <w:r>
              <w:rPr>
                <w:kern w:val="0"/>
                <w:sz w:val="24"/>
              </w:rPr>
              <w:t>15g/</w:t>
            </w:r>
            <w:r>
              <w:rPr>
                <w:rFonts w:hAnsi="宋体"/>
                <w:kern w:val="0"/>
                <w:sz w:val="24"/>
              </w:rPr>
              <w:t>人</w:t>
            </w:r>
            <w:r>
              <w:rPr>
                <w:kern w:val="0"/>
                <w:sz w:val="24"/>
              </w:rPr>
              <w:t>·d</w:t>
            </w:r>
            <w:r>
              <w:rPr>
                <w:rFonts w:hAnsi="宋体"/>
                <w:sz w:val="24"/>
              </w:rPr>
              <w:t>计，则本项目厨房食堂食用油消耗量为</w:t>
            </w:r>
            <w:r>
              <w:rPr>
                <w:rFonts w:hint="eastAsia"/>
                <w:sz w:val="24"/>
                <w:lang w:val="en-US" w:eastAsia="zh-CN"/>
              </w:rPr>
              <w:t>1.08</w:t>
            </w:r>
            <w:r>
              <w:rPr>
                <w:sz w:val="24"/>
              </w:rPr>
              <w:t>t/a</w:t>
            </w:r>
            <w:r>
              <w:rPr>
                <w:rFonts w:hAnsi="宋体"/>
                <w:sz w:val="24"/>
              </w:rPr>
              <w:t>。一般油烟挥发量占总耗油量的</w:t>
            </w:r>
            <w:r>
              <w:rPr>
                <w:sz w:val="24"/>
              </w:rPr>
              <w:t>2~4%</w:t>
            </w:r>
            <w:r>
              <w:rPr>
                <w:rFonts w:hAnsi="宋体"/>
                <w:sz w:val="24"/>
              </w:rPr>
              <w:t>，平均取</w:t>
            </w:r>
            <w:r>
              <w:rPr>
                <w:sz w:val="24"/>
              </w:rPr>
              <w:t>3%</w:t>
            </w:r>
            <w:r>
              <w:rPr>
                <w:rFonts w:hAnsi="宋体"/>
                <w:sz w:val="24"/>
              </w:rPr>
              <w:t>，则本项目油烟产生量约为</w:t>
            </w:r>
            <w:r>
              <w:rPr>
                <w:sz w:val="24"/>
              </w:rPr>
              <w:t>0.0</w:t>
            </w:r>
            <w:r>
              <w:rPr>
                <w:rFonts w:hint="eastAsia"/>
                <w:sz w:val="24"/>
                <w:lang w:val="en-US" w:eastAsia="zh-CN"/>
              </w:rPr>
              <w:t>324</w:t>
            </w:r>
            <w:r>
              <w:rPr>
                <w:sz w:val="24"/>
              </w:rPr>
              <w:t>t/a</w:t>
            </w:r>
            <w:r>
              <w:rPr>
                <w:rFonts w:hAnsi="宋体"/>
                <w:sz w:val="24"/>
              </w:rPr>
              <w:t>。</w:t>
            </w:r>
            <w:r>
              <w:rPr>
                <w:rFonts w:hAnsi="宋体"/>
                <w:kern w:val="0"/>
                <w:sz w:val="24"/>
              </w:rPr>
              <w:t>油烟废气经油烟净化器脱油烟处理</w:t>
            </w:r>
            <w:r>
              <w:rPr>
                <w:rFonts w:hAnsi="宋体"/>
                <w:sz w:val="24"/>
              </w:rPr>
              <w:t>，油烟</w:t>
            </w:r>
            <w:r>
              <w:rPr>
                <w:rFonts w:hAnsi="宋体"/>
                <w:kern w:val="0"/>
                <w:sz w:val="24"/>
              </w:rPr>
              <w:t>净化器</w:t>
            </w:r>
            <w:r>
              <w:rPr>
                <w:rFonts w:hAnsi="宋体"/>
                <w:sz w:val="24"/>
              </w:rPr>
              <w:t>处理效率为</w:t>
            </w:r>
            <w:r>
              <w:rPr>
                <w:sz w:val="24"/>
              </w:rPr>
              <w:t>60%</w:t>
            </w:r>
            <w:r>
              <w:rPr>
                <w:rFonts w:hAnsi="宋体"/>
                <w:sz w:val="24"/>
              </w:rPr>
              <w:t>，</w:t>
            </w:r>
            <w:r>
              <w:rPr>
                <w:rFonts w:hAnsi="宋体"/>
                <w:kern w:val="0"/>
                <w:sz w:val="24"/>
              </w:rPr>
              <w:t>油烟净化器</w:t>
            </w:r>
            <w:r>
              <w:rPr>
                <w:rFonts w:hAnsi="宋体"/>
                <w:sz w:val="24"/>
              </w:rPr>
              <w:t>风量按</w:t>
            </w:r>
            <w:r>
              <w:rPr>
                <w:sz w:val="24"/>
              </w:rPr>
              <w:t>10000m</w:t>
            </w:r>
            <w:r>
              <w:rPr>
                <w:sz w:val="24"/>
                <w:vertAlign w:val="superscript"/>
              </w:rPr>
              <w:t>3</w:t>
            </w:r>
            <w:r>
              <w:rPr>
                <w:sz w:val="24"/>
              </w:rPr>
              <w:t>/</w:t>
            </w:r>
            <w:r>
              <w:rPr>
                <w:rFonts w:hAnsi="宋体"/>
                <w:sz w:val="24"/>
              </w:rPr>
              <w:t>台</w:t>
            </w:r>
            <w:r>
              <w:rPr>
                <w:sz w:val="24"/>
              </w:rPr>
              <w:t>·h</w:t>
            </w:r>
            <w:r>
              <w:rPr>
                <w:rFonts w:hAnsi="宋体"/>
                <w:sz w:val="24"/>
              </w:rPr>
              <w:t>计（共一台），以每天平均烹调作业</w:t>
            </w:r>
            <w:r>
              <w:rPr>
                <w:rFonts w:hint="eastAsia"/>
                <w:sz w:val="24"/>
                <w:lang w:val="en-US" w:eastAsia="zh-CN"/>
              </w:rPr>
              <w:t>6</w:t>
            </w:r>
            <w:r>
              <w:rPr>
                <w:rFonts w:hAnsi="宋体"/>
                <w:sz w:val="24"/>
              </w:rPr>
              <w:t>小时计，则年产生油烟废气为</w:t>
            </w:r>
            <w:r>
              <w:rPr>
                <w:sz w:val="24"/>
              </w:rPr>
              <w:t>1</w:t>
            </w:r>
            <w:r>
              <w:rPr>
                <w:rFonts w:hint="eastAsia"/>
                <w:sz w:val="24"/>
                <w:lang w:val="en-US" w:eastAsia="zh-CN"/>
              </w:rPr>
              <w:t>8</w:t>
            </w:r>
            <w:r>
              <w:rPr>
                <w:sz w:val="24"/>
              </w:rPr>
              <w:t>00</w:t>
            </w:r>
            <w:r>
              <w:rPr>
                <w:rFonts w:hAnsi="宋体"/>
                <w:sz w:val="24"/>
              </w:rPr>
              <w:t>万</w:t>
            </w:r>
            <w:r>
              <w:rPr>
                <w:sz w:val="24"/>
              </w:rPr>
              <w:t>m</w:t>
            </w:r>
            <w:r>
              <w:rPr>
                <w:sz w:val="24"/>
                <w:vertAlign w:val="superscript"/>
              </w:rPr>
              <w:t>3</w:t>
            </w:r>
            <w:r>
              <w:rPr>
                <w:rFonts w:hAnsi="宋体"/>
                <w:sz w:val="24"/>
              </w:rPr>
              <w:t>，油烟浓度为</w:t>
            </w:r>
            <w:r>
              <w:rPr>
                <w:sz w:val="24"/>
              </w:rPr>
              <w:t>1.</w:t>
            </w:r>
            <w:r>
              <w:rPr>
                <w:rFonts w:hint="eastAsia"/>
                <w:sz w:val="24"/>
                <w:lang w:val="en-US" w:eastAsia="zh-CN"/>
              </w:rPr>
              <w:t>8</w:t>
            </w:r>
            <w:r>
              <w:rPr>
                <w:sz w:val="24"/>
              </w:rPr>
              <w:t>mg/m</w:t>
            </w:r>
            <w:r>
              <w:rPr>
                <w:sz w:val="24"/>
                <w:vertAlign w:val="superscript"/>
              </w:rPr>
              <w:t>3</w:t>
            </w:r>
            <w:r>
              <w:rPr>
                <w:rFonts w:hAnsi="宋体"/>
                <w:sz w:val="24"/>
              </w:rPr>
              <w:t>。油烟废气经油烟净化器处理后（处理效率</w:t>
            </w:r>
            <w:r>
              <w:rPr>
                <w:sz w:val="24"/>
              </w:rPr>
              <w:t>≥60%</w:t>
            </w:r>
            <w:r>
              <w:rPr>
                <w:rFonts w:hAnsi="宋体"/>
                <w:sz w:val="24"/>
              </w:rPr>
              <w:t>），油烟浓度为</w:t>
            </w:r>
            <w:r>
              <w:rPr>
                <w:sz w:val="24"/>
              </w:rPr>
              <w:t>0.</w:t>
            </w:r>
            <w:r>
              <w:rPr>
                <w:rFonts w:hint="eastAsia"/>
                <w:sz w:val="24"/>
                <w:lang w:val="en-US" w:eastAsia="zh-CN"/>
              </w:rPr>
              <w:t>72</w:t>
            </w:r>
            <w:r>
              <w:rPr>
                <w:sz w:val="24"/>
              </w:rPr>
              <w:t>mg/m</w:t>
            </w:r>
            <w:r>
              <w:rPr>
                <w:sz w:val="24"/>
                <w:vertAlign w:val="superscript"/>
              </w:rPr>
              <w:t>3</w:t>
            </w:r>
            <w:r>
              <w:rPr>
                <w:rFonts w:hAnsi="宋体"/>
                <w:sz w:val="24"/>
              </w:rPr>
              <w:t>，油烟排放量约</w:t>
            </w:r>
            <w:r>
              <w:rPr>
                <w:sz w:val="24"/>
              </w:rPr>
              <w:t>0.0</w:t>
            </w:r>
            <w:r>
              <w:rPr>
                <w:rFonts w:hint="eastAsia"/>
                <w:sz w:val="24"/>
                <w:lang w:val="en-US" w:eastAsia="zh-CN"/>
              </w:rPr>
              <w:t>13</w:t>
            </w:r>
            <w:r>
              <w:rPr>
                <w:sz w:val="24"/>
              </w:rPr>
              <w:t>t/a</w:t>
            </w:r>
            <w:r>
              <w:rPr>
                <w:rFonts w:hAnsi="宋体"/>
                <w:sz w:val="24"/>
              </w:rPr>
              <w:t>，排气筒高度约为</w:t>
            </w:r>
            <w:r>
              <w:rPr>
                <w:sz w:val="24"/>
              </w:rPr>
              <w:t>8m</w:t>
            </w:r>
            <w:r>
              <w:rPr>
                <w:rFonts w:hAnsi="宋体"/>
                <w:sz w:val="24"/>
              </w:rPr>
              <w:t>。</w:t>
            </w:r>
          </w:p>
          <w:p>
            <w:pPr>
              <w:keepNext w:val="0"/>
              <w:keepLines w:val="0"/>
              <w:suppressLineNumbers w:val="0"/>
              <w:adjustRightInd w:val="0"/>
              <w:snapToGrid w:val="0"/>
              <w:spacing w:before="0" w:beforeAutospacing="0" w:after="0" w:afterAutospacing="0" w:line="360" w:lineRule="auto"/>
              <w:ind w:left="0" w:right="0" w:firstLine="482" w:firstLineChars="200"/>
              <w:rPr>
                <w:rFonts w:ascii="宋体" w:hAnsi="宋体"/>
                <w:b/>
                <w:sz w:val="24"/>
              </w:rPr>
            </w:pPr>
            <w:r>
              <w:rPr>
                <w:rFonts w:hint="eastAsia" w:ascii="宋体" w:hAnsi="宋体"/>
                <w:b/>
                <w:sz w:val="24"/>
              </w:rPr>
              <w:t>2）无组织废气</w:t>
            </w:r>
          </w:p>
          <w:p>
            <w:pPr>
              <w:keepNext w:val="0"/>
              <w:keepLines w:val="0"/>
              <w:suppressLineNumbers w:val="0"/>
              <w:adjustRightInd w:val="0"/>
              <w:snapToGrid w:val="0"/>
              <w:spacing w:before="0" w:beforeAutospacing="0" w:after="0" w:afterAutospacing="0" w:line="360" w:lineRule="auto"/>
              <w:ind w:left="0" w:right="0" w:firstLine="482" w:firstLineChars="200"/>
              <w:rPr>
                <w:sz w:val="24"/>
              </w:rPr>
            </w:pPr>
            <w:r>
              <w:rPr>
                <w:rFonts w:hint="eastAsia" w:ascii="宋体" w:hAnsi="宋体"/>
                <w:b/>
                <w:sz w:val="24"/>
              </w:rPr>
              <w:t>焊接烟尘：</w:t>
            </w:r>
            <w:r>
              <w:rPr>
                <w:sz w:val="24"/>
              </w:rPr>
              <w:t>本项目焊接工段不使用焊条、焊丝，平均焊接面积约60mm</w:t>
            </w:r>
            <w:r>
              <w:rPr>
                <w:sz w:val="24"/>
                <w:vertAlign w:val="superscript"/>
              </w:rPr>
              <w:t>2</w:t>
            </w:r>
            <w:r>
              <w:rPr>
                <w:sz w:val="24"/>
              </w:rPr>
              <w:t>，平均单个定子/转子焊接两面，熔接厚度约0.5mm</w:t>
            </w:r>
            <w:r>
              <w:rPr>
                <w:rFonts w:hint="eastAsia"/>
                <w:sz w:val="24"/>
                <w:lang w:eastAsia="zh-CN"/>
              </w:rPr>
              <w:t>；根据企业提供资料，</w:t>
            </w:r>
            <w:r>
              <w:rPr>
                <w:rFonts w:hint="eastAsia"/>
                <w:sz w:val="24"/>
              </w:rPr>
              <w:t>一年</w:t>
            </w:r>
            <w:r>
              <w:rPr>
                <w:sz w:val="24"/>
              </w:rPr>
              <w:t>焊接数量约</w:t>
            </w:r>
            <w:r>
              <w:rPr>
                <w:rFonts w:hint="eastAsia"/>
                <w:sz w:val="24"/>
              </w:rPr>
              <w:t>60000</w:t>
            </w:r>
            <w:r>
              <w:rPr>
                <w:sz w:val="24"/>
              </w:rPr>
              <w:t>只</w:t>
            </w:r>
            <w:r>
              <w:rPr>
                <w:rFonts w:hint="eastAsia"/>
                <w:sz w:val="24"/>
                <w:lang w:eastAsia="zh-CN"/>
              </w:rPr>
              <w:t>；</w:t>
            </w:r>
            <w:r>
              <w:rPr>
                <w:sz w:val="24"/>
              </w:rPr>
              <w:t>根据国家环保总局《大气污染物排放达标技术指南》，焊接烟尘浓度在0.4-3.2mg/m</w:t>
            </w:r>
            <w:r>
              <w:rPr>
                <w:sz w:val="24"/>
                <w:vertAlign w:val="superscript"/>
              </w:rPr>
              <w:t>3</w:t>
            </w:r>
            <w:r>
              <w:rPr>
                <w:sz w:val="24"/>
              </w:rPr>
              <w:t>，</w:t>
            </w:r>
            <w:r>
              <w:rPr>
                <w:rFonts w:hint="eastAsia"/>
                <w:sz w:val="24"/>
              </w:rPr>
              <w:t>本次环评取3.2mg/m</w:t>
            </w:r>
            <w:r>
              <w:rPr>
                <w:rFonts w:hint="eastAsia"/>
                <w:sz w:val="24"/>
                <w:vertAlign w:val="superscript"/>
              </w:rPr>
              <w:t>3</w:t>
            </w:r>
            <w:r>
              <w:rPr>
                <w:rFonts w:hint="eastAsia"/>
                <w:sz w:val="24"/>
              </w:rPr>
              <w:t>，</w:t>
            </w:r>
            <w:r>
              <w:rPr>
                <w:sz w:val="24"/>
              </w:rPr>
              <w:t>本项目焊接区周围体积约5m</w:t>
            </w:r>
            <w:r>
              <w:rPr>
                <w:sz w:val="24"/>
                <w:vertAlign w:val="superscript"/>
              </w:rPr>
              <w:t>3</w:t>
            </w:r>
            <w:r>
              <w:rPr>
                <w:sz w:val="24"/>
              </w:rPr>
              <w:t>×3=15m</w:t>
            </w:r>
            <w:r>
              <w:rPr>
                <w:sz w:val="24"/>
                <w:vertAlign w:val="superscript"/>
              </w:rPr>
              <w:t>3</w:t>
            </w:r>
            <w:r>
              <w:rPr>
                <w:rFonts w:hAnsi="宋体"/>
                <w:sz w:val="24"/>
              </w:rPr>
              <w:t>，</w:t>
            </w:r>
            <w:r>
              <w:rPr>
                <w:rFonts w:hint="eastAsia" w:hAnsi="宋体"/>
                <w:sz w:val="24"/>
              </w:rPr>
              <w:t>则焊接烟尘产生量</w:t>
            </w:r>
            <w:r>
              <w:rPr>
                <w:rFonts w:hAnsi="宋体"/>
                <w:sz w:val="24"/>
              </w:rPr>
              <w:t>约</w:t>
            </w:r>
            <w:r>
              <w:rPr>
                <w:rFonts w:hint="eastAsia"/>
                <w:sz w:val="24"/>
              </w:rPr>
              <w:t>60000</w:t>
            </w:r>
            <w:r>
              <w:rPr>
                <w:sz w:val="24"/>
              </w:rPr>
              <w:t>×</w:t>
            </w:r>
            <w:r>
              <w:rPr>
                <w:rFonts w:hint="eastAsia"/>
                <w:sz w:val="24"/>
              </w:rPr>
              <w:t>3.2</w:t>
            </w:r>
            <w:r>
              <w:rPr>
                <w:sz w:val="24"/>
              </w:rPr>
              <w:t>×15</w:t>
            </w:r>
            <w:r>
              <w:rPr>
                <w:rFonts w:hint="eastAsia"/>
                <w:sz w:val="24"/>
              </w:rPr>
              <w:t>=0.003</w:t>
            </w:r>
            <w:r>
              <w:rPr>
                <w:sz w:val="24"/>
              </w:rPr>
              <w:t>t/a</w:t>
            </w:r>
            <w:r>
              <w:rPr>
                <w:rFonts w:hint="eastAsia"/>
                <w:sz w:val="24"/>
              </w:rPr>
              <w:t>，经移动式滤芯除尘器处理后在车间内无组织排放</w:t>
            </w:r>
            <w:r>
              <w:rPr>
                <w:rFonts w:hAnsi="宋体"/>
                <w:sz w:val="24"/>
              </w:rPr>
              <w:t>。</w:t>
            </w:r>
            <w:r>
              <w:rPr>
                <w:rFonts w:hint="eastAsia" w:hAnsi="宋体"/>
                <w:sz w:val="24"/>
              </w:rPr>
              <w:t>移动式滤芯除尘器捕集率为80%，处理效率为60%，则捕集的焊接烟尘量为0.00144t/a，未捕集和未处理的焊接烟尘量为0.00156t/a。</w:t>
            </w:r>
          </w:p>
          <w:p>
            <w:pPr>
              <w:keepNext w:val="0"/>
              <w:keepLines w:val="0"/>
              <w:suppressLineNumbers w:val="0"/>
              <w:adjustRightInd w:val="0"/>
              <w:snapToGrid w:val="0"/>
              <w:spacing w:before="0" w:beforeAutospacing="0" w:after="0" w:afterAutospacing="0" w:line="360" w:lineRule="auto"/>
              <w:ind w:left="0" w:right="0" w:firstLine="480" w:firstLineChars="200"/>
              <w:rPr>
                <w:rFonts w:ascii="宋体" w:hAnsi="宋体"/>
                <w:sz w:val="24"/>
              </w:rPr>
            </w:pPr>
            <w:r>
              <w:rPr>
                <w:rFonts w:hint="eastAsia" w:ascii="宋体" w:hAnsi="宋体"/>
                <w:sz w:val="24"/>
              </w:rPr>
              <w:t>涂敷过程在废气收集过程中有</w:t>
            </w:r>
            <w:r>
              <w:rPr>
                <w:rFonts w:hint="eastAsia"/>
                <w:sz w:val="24"/>
              </w:rPr>
              <w:t>2</w:t>
            </w:r>
            <w:r>
              <w:rPr>
                <w:sz w:val="24"/>
              </w:rPr>
              <w:t>%</w:t>
            </w:r>
            <w:r>
              <w:rPr>
                <w:rFonts w:hAnsi="宋体"/>
                <w:sz w:val="24"/>
              </w:rPr>
              <w:t>未</w:t>
            </w:r>
            <w:r>
              <w:rPr>
                <w:rFonts w:hint="eastAsia" w:ascii="宋体" w:hAnsi="宋体"/>
                <w:sz w:val="24"/>
              </w:rPr>
              <w:t>捕集的颗粒物无组织排放；固化和注塑成型过程在废气收集过程中有</w:t>
            </w:r>
            <w:r>
              <w:rPr>
                <w:sz w:val="24"/>
              </w:rPr>
              <w:t>10%</w:t>
            </w:r>
            <w:r>
              <w:rPr>
                <w:rFonts w:hAnsi="宋体"/>
                <w:sz w:val="24"/>
              </w:rPr>
              <w:t>未</w:t>
            </w:r>
            <w:r>
              <w:rPr>
                <w:rFonts w:hint="eastAsia" w:ascii="宋体" w:hAnsi="宋体"/>
                <w:sz w:val="24"/>
              </w:rPr>
              <w:t>捕集的非甲烷总烃无组织排放。</w:t>
            </w:r>
          </w:p>
          <w:p>
            <w:pPr>
              <w:keepNext w:val="0"/>
              <w:keepLines w:val="0"/>
              <w:suppressLineNumbers w:val="0"/>
              <w:adjustRightInd w:val="0"/>
              <w:snapToGrid w:val="0"/>
              <w:spacing w:before="0" w:beforeAutospacing="0" w:after="0" w:afterAutospacing="0" w:line="360" w:lineRule="auto"/>
              <w:ind w:left="0" w:right="0" w:firstLine="480" w:firstLineChars="200"/>
              <w:rPr>
                <w:rFonts w:ascii="宋体" w:hAnsi="宋体"/>
                <w:sz w:val="24"/>
              </w:rPr>
            </w:pPr>
            <w:r>
              <w:rPr>
                <w:rFonts w:hint="eastAsia" w:ascii="宋体" w:hAnsi="宋体"/>
                <w:sz w:val="24"/>
              </w:rPr>
              <w:t>本项目有组织废气产生情况见下表：</w:t>
            </w:r>
          </w:p>
          <w:p>
            <w:pPr>
              <w:keepNext w:val="0"/>
              <w:keepLines w:val="0"/>
              <w:suppressLineNumbers w:val="0"/>
              <w:adjustRightInd w:val="0"/>
              <w:snapToGrid w:val="0"/>
              <w:spacing w:before="0" w:beforeAutospacing="0" w:after="0" w:afterAutospacing="0"/>
              <w:ind w:left="0" w:right="0"/>
              <w:jc w:val="center"/>
              <w:rPr>
                <w:b/>
                <w:sz w:val="24"/>
              </w:rPr>
            </w:pPr>
            <w:r>
              <w:rPr>
                <w:b/>
                <w:sz w:val="24"/>
              </w:rPr>
              <w:t>表</w:t>
            </w:r>
            <w:r>
              <w:rPr>
                <w:rFonts w:hint="eastAsia"/>
                <w:b/>
                <w:sz w:val="24"/>
              </w:rPr>
              <w:t>4-1</w:t>
            </w:r>
            <w:r>
              <w:rPr>
                <w:b/>
                <w:sz w:val="24"/>
              </w:rPr>
              <w:t xml:space="preserve"> 本项目有组织废气</w:t>
            </w:r>
            <w:r>
              <w:rPr>
                <w:rFonts w:hint="eastAsia"/>
                <w:b/>
                <w:sz w:val="24"/>
              </w:rPr>
              <w:t>产生情况表</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928"/>
              <w:gridCol w:w="686"/>
              <w:gridCol w:w="1275"/>
              <w:gridCol w:w="1049"/>
              <w:gridCol w:w="1060"/>
              <w:gridCol w:w="1062"/>
              <w:gridCol w:w="1060"/>
              <w:gridCol w:w="106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567" w:type="pct"/>
                  <w:vMerge w:val="restart"/>
                  <w:tcBorders>
                    <w:top w:val="single" w:color="auto" w:sz="12" w:space="0"/>
                    <w:left w:val="nil"/>
                    <w:bottom w:val="single" w:color="auto" w:sz="4"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b/>
                      <w:sz w:val="21"/>
                      <w:szCs w:val="21"/>
                    </w:rPr>
                  </w:pPr>
                  <w:r>
                    <w:rPr>
                      <w:rFonts w:ascii="Times New Roman" w:hAnsi="Times New Roman" w:eastAsia="宋体"/>
                      <w:b/>
                      <w:sz w:val="21"/>
                      <w:szCs w:val="21"/>
                    </w:rPr>
                    <w:t>所在车间</w:t>
                  </w:r>
                </w:p>
              </w:tc>
              <w:tc>
                <w:tcPr>
                  <w:tcW w:w="419" w:type="pct"/>
                  <w:vMerge w:val="restart"/>
                  <w:tcBorders>
                    <w:top w:val="single" w:color="auto" w:sz="12" w:space="0"/>
                    <w:left w:val="single" w:color="auto" w:sz="4" w:space="0"/>
                    <w:bottom w:val="single" w:color="auto" w:sz="4"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b/>
                      <w:sz w:val="21"/>
                      <w:szCs w:val="21"/>
                    </w:rPr>
                  </w:pPr>
                  <w:r>
                    <w:rPr>
                      <w:rFonts w:ascii="Times New Roman" w:hAnsi="Times New Roman" w:eastAsia="宋体"/>
                      <w:b/>
                      <w:sz w:val="21"/>
                      <w:szCs w:val="21"/>
                    </w:rPr>
                    <w:t>排气筒编号</w:t>
                  </w:r>
                </w:p>
              </w:tc>
              <w:tc>
                <w:tcPr>
                  <w:tcW w:w="779" w:type="pct"/>
                  <w:vMerge w:val="restart"/>
                  <w:tcBorders>
                    <w:top w:val="single" w:color="auto" w:sz="12" w:space="0"/>
                    <w:left w:val="single" w:color="auto" w:sz="4" w:space="0"/>
                    <w:bottom w:val="single" w:color="auto" w:sz="4"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b/>
                      <w:sz w:val="21"/>
                      <w:szCs w:val="21"/>
                    </w:rPr>
                  </w:pPr>
                  <w:r>
                    <w:rPr>
                      <w:rFonts w:ascii="Times New Roman" w:hAnsi="Times New Roman" w:eastAsia="宋体"/>
                      <w:b/>
                      <w:sz w:val="21"/>
                      <w:szCs w:val="21"/>
                    </w:rPr>
                    <w:t>污染源名称</w:t>
                  </w:r>
                </w:p>
              </w:tc>
              <w:tc>
                <w:tcPr>
                  <w:tcW w:w="641" w:type="pct"/>
                  <w:vMerge w:val="restart"/>
                  <w:tcBorders>
                    <w:top w:val="single" w:color="auto" w:sz="12" w:space="0"/>
                    <w:left w:val="single" w:color="auto" w:sz="4" w:space="0"/>
                    <w:bottom w:val="single" w:color="auto" w:sz="4"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b/>
                      <w:sz w:val="21"/>
                      <w:szCs w:val="21"/>
                    </w:rPr>
                  </w:pPr>
                  <w:r>
                    <w:rPr>
                      <w:rFonts w:ascii="Times New Roman" w:hAnsi="Times New Roman" w:eastAsia="宋体"/>
                      <w:b/>
                      <w:sz w:val="21"/>
                      <w:szCs w:val="21"/>
                    </w:rPr>
                    <w:t>排气量</w:t>
                  </w:r>
                </w:p>
                <w:p>
                  <w:pPr>
                    <w:pStyle w:val="62"/>
                    <w:keepNext w:val="0"/>
                    <w:keepLines w:val="0"/>
                    <w:suppressLineNumbers w:val="0"/>
                    <w:spacing w:before="0" w:beforeAutospacing="0" w:after="0" w:afterAutospacing="0"/>
                    <w:ind w:left="0" w:right="0"/>
                    <w:rPr>
                      <w:rFonts w:ascii="Times New Roman" w:hAnsi="Times New Roman" w:eastAsia="宋体"/>
                      <w:b/>
                      <w:sz w:val="21"/>
                      <w:szCs w:val="21"/>
                    </w:rPr>
                  </w:pPr>
                  <w:r>
                    <w:rPr>
                      <w:rFonts w:ascii="Times New Roman" w:hAnsi="Times New Roman" w:eastAsia="宋体"/>
                      <w:b/>
                      <w:sz w:val="21"/>
                      <w:szCs w:val="21"/>
                    </w:rPr>
                    <w:t>m</w:t>
                  </w:r>
                  <w:r>
                    <w:rPr>
                      <w:rFonts w:ascii="Times New Roman" w:hAnsi="Times New Roman" w:eastAsia="宋体"/>
                      <w:b/>
                      <w:sz w:val="21"/>
                      <w:szCs w:val="21"/>
                      <w:vertAlign w:val="superscript"/>
                    </w:rPr>
                    <w:t>3</w:t>
                  </w:r>
                  <w:r>
                    <w:rPr>
                      <w:rFonts w:ascii="Times New Roman" w:hAnsi="Times New Roman" w:eastAsia="宋体"/>
                      <w:b/>
                      <w:sz w:val="21"/>
                      <w:szCs w:val="21"/>
                    </w:rPr>
                    <w:t>/h</w:t>
                  </w:r>
                </w:p>
              </w:tc>
              <w:tc>
                <w:tcPr>
                  <w:tcW w:w="2594" w:type="pct"/>
                  <w:gridSpan w:val="4"/>
                  <w:tcBorders>
                    <w:top w:val="single" w:color="auto" w:sz="12" w:space="0"/>
                    <w:left w:val="single" w:color="auto" w:sz="4" w:space="0"/>
                    <w:bottom w:val="single" w:color="auto" w:sz="4" w:space="0"/>
                    <w:right w:val="nil"/>
                  </w:tcBorders>
                  <w:vAlign w:val="center"/>
                </w:tcPr>
                <w:p>
                  <w:pPr>
                    <w:pStyle w:val="62"/>
                    <w:keepNext w:val="0"/>
                    <w:keepLines w:val="0"/>
                    <w:suppressLineNumbers w:val="0"/>
                    <w:spacing w:before="0" w:beforeAutospacing="0" w:after="0" w:afterAutospacing="0"/>
                    <w:ind w:left="0" w:right="0"/>
                    <w:rPr>
                      <w:rFonts w:ascii="Times New Roman" w:hAnsi="Times New Roman" w:eastAsia="宋体"/>
                      <w:b/>
                      <w:sz w:val="21"/>
                      <w:szCs w:val="21"/>
                    </w:rPr>
                  </w:pPr>
                  <w:r>
                    <w:rPr>
                      <w:rFonts w:ascii="Times New Roman" w:hAnsi="Times New Roman" w:eastAsia="宋体"/>
                      <w:b/>
                      <w:sz w:val="21"/>
                      <w:szCs w:val="21"/>
                    </w:rPr>
                    <w:t>污染物产生情况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567" w:type="pct"/>
                  <w:vMerge w:val="continue"/>
                  <w:tcBorders>
                    <w:top w:val="single" w:color="auto" w:sz="12"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b/>
                      <w:kern w:val="44"/>
                      <w:szCs w:val="21"/>
                    </w:rPr>
                  </w:pPr>
                </w:p>
              </w:tc>
              <w:tc>
                <w:tcPr>
                  <w:tcW w:w="419" w:type="pct"/>
                  <w:vMerge w:val="continue"/>
                  <w:tcBorders>
                    <w:top w:val="single" w:color="auto" w:sz="12"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b/>
                      <w:kern w:val="44"/>
                      <w:szCs w:val="21"/>
                    </w:rPr>
                  </w:pPr>
                </w:p>
              </w:tc>
              <w:tc>
                <w:tcPr>
                  <w:tcW w:w="779" w:type="pct"/>
                  <w:vMerge w:val="continue"/>
                  <w:tcBorders>
                    <w:top w:val="single" w:color="auto" w:sz="12"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b/>
                      <w:kern w:val="44"/>
                      <w:szCs w:val="21"/>
                    </w:rPr>
                  </w:pPr>
                </w:p>
              </w:tc>
              <w:tc>
                <w:tcPr>
                  <w:tcW w:w="641" w:type="pct"/>
                  <w:vMerge w:val="continue"/>
                  <w:tcBorders>
                    <w:top w:val="single" w:color="auto" w:sz="12"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b/>
                      <w:kern w:val="44"/>
                      <w:szCs w:val="21"/>
                    </w:rPr>
                  </w:pPr>
                </w:p>
              </w:tc>
              <w:tc>
                <w:tcPr>
                  <w:tcW w:w="648" w:type="pct"/>
                  <w:tcBorders>
                    <w:top w:val="single" w:color="auto" w:sz="4" w:space="0"/>
                    <w:left w:val="single" w:color="auto" w:sz="4" w:space="0"/>
                    <w:bottom w:val="single" w:color="auto" w:sz="4"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b/>
                      <w:sz w:val="21"/>
                      <w:szCs w:val="21"/>
                    </w:rPr>
                  </w:pPr>
                  <w:r>
                    <w:rPr>
                      <w:rFonts w:ascii="Times New Roman" w:hAnsi="Times New Roman" w:eastAsia="宋体"/>
                      <w:b/>
                      <w:sz w:val="21"/>
                      <w:szCs w:val="21"/>
                    </w:rPr>
                    <w:t>名称</w:t>
                  </w:r>
                </w:p>
              </w:tc>
              <w:tc>
                <w:tcPr>
                  <w:tcW w:w="649" w:type="pct"/>
                  <w:tcBorders>
                    <w:top w:val="single" w:color="auto" w:sz="4" w:space="0"/>
                    <w:left w:val="single" w:color="auto" w:sz="4" w:space="0"/>
                    <w:bottom w:val="single" w:color="auto" w:sz="4"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b/>
                      <w:sz w:val="21"/>
                      <w:szCs w:val="21"/>
                    </w:rPr>
                  </w:pPr>
                  <w:r>
                    <w:rPr>
                      <w:rFonts w:ascii="Times New Roman" w:hAnsi="Times New Roman" w:eastAsia="宋体"/>
                      <w:b/>
                      <w:sz w:val="21"/>
                      <w:szCs w:val="21"/>
                    </w:rPr>
                    <w:t>浓度mg/m</w:t>
                  </w:r>
                  <w:r>
                    <w:rPr>
                      <w:rFonts w:ascii="Times New Roman" w:hAnsi="Times New Roman" w:eastAsia="宋体"/>
                      <w:b/>
                      <w:sz w:val="21"/>
                      <w:szCs w:val="21"/>
                      <w:vertAlign w:val="superscript"/>
                    </w:rPr>
                    <w:t>3</w:t>
                  </w:r>
                </w:p>
              </w:tc>
              <w:tc>
                <w:tcPr>
                  <w:tcW w:w="64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ind w:left="0" w:right="0"/>
                    <w:jc w:val="center"/>
                    <w:rPr>
                      <w:b/>
                      <w:szCs w:val="21"/>
                    </w:rPr>
                  </w:pPr>
                  <w:r>
                    <w:rPr>
                      <w:b/>
                      <w:szCs w:val="21"/>
                    </w:rPr>
                    <w:t>速率kg/h</w:t>
                  </w:r>
                </w:p>
              </w:tc>
              <w:tc>
                <w:tcPr>
                  <w:tcW w:w="649" w:type="pct"/>
                  <w:tcBorders>
                    <w:top w:val="single" w:color="auto" w:sz="4" w:space="0"/>
                    <w:left w:val="single" w:color="auto" w:sz="4" w:space="0"/>
                    <w:bottom w:val="single" w:color="auto" w:sz="4" w:space="0"/>
                    <w:right w:val="nil"/>
                  </w:tcBorders>
                  <w:vAlign w:val="center"/>
                </w:tcPr>
                <w:p>
                  <w:pPr>
                    <w:pStyle w:val="62"/>
                    <w:keepNext w:val="0"/>
                    <w:keepLines w:val="0"/>
                    <w:suppressLineNumbers w:val="0"/>
                    <w:spacing w:before="0" w:beforeAutospacing="0" w:after="0" w:afterAutospacing="0"/>
                    <w:ind w:left="0" w:right="0"/>
                    <w:rPr>
                      <w:rFonts w:ascii="Times New Roman" w:hAnsi="Times New Roman" w:eastAsia="宋体"/>
                      <w:b/>
                      <w:sz w:val="21"/>
                      <w:szCs w:val="21"/>
                    </w:rPr>
                  </w:pPr>
                  <w:r>
                    <w:rPr>
                      <w:rFonts w:ascii="Times New Roman" w:hAnsi="Times New Roman" w:eastAsia="宋体"/>
                      <w:b/>
                      <w:sz w:val="21"/>
                      <w:szCs w:val="21"/>
                    </w:rPr>
                    <w:t>产生量t/a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567" w:type="pct"/>
                  <w:vMerge w:val="restart"/>
                  <w:tcBorders>
                    <w:top w:val="single" w:color="auto" w:sz="4" w:space="0"/>
                    <w:left w:val="nil"/>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sz w:val="21"/>
                      <w:szCs w:val="21"/>
                    </w:rPr>
                  </w:pPr>
                  <w:r>
                    <w:rPr>
                      <w:rFonts w:hint="eastAsia" w:ascii="Times New Roman" w:hAnsi="Times New Roman" w:eastAsia="宋体"/>
                      <w:sz w:val="21"/>
                      <w:szCs w:val="21"/>
                    </w:rPr>
                    <w:t>涂</w:t>
                  </w:r>
                  <w:r>
                    <w:rPr>
                      <w:rFonts w:hint="eastAsia" w:ascii="Times New Roman" w:hAnsi="Times New Roman" w:eastAsia="宋体"/>
                      <w:sz w:val="21"/>
                      <w:szCs w:val="21"/>
                      <w:lang w:eastAsia="zh-CN"/>
                    </w:rPr>
                    <w:t>敷</w:t>
                  </w:r>
                  <w:r>
                    <w:rPr>
                      <w:rFonts w:hint="eastAsia" w:ascii="Times New Roman" w:hAnsi="Times New Roman" w:eastAsia="宋体"/>
                      <w:sz w:val="21"/>
                      <w:szCs w:val="21"/>
                    </w:rPr>
                    <w:t>注塑车间</w:t>
                  </w:r>
                </w:p>
              </w:tc>
              <w:tc>
                <w:tcPr>
                  <w:tcW w:w="419" w:type="pct"/>
                  <w:vMerge w:val="restart"/>
                  <w:tcBorders>
                    <w:top w:val="single" w:color="auto" w:sz="4" w:space="0"/>
                    <w:left w:val="single" w:color="auto" w:sz="4" w:space="0"/>
                    <w:right w:val="single" w:color="auto" w:sz="4" w:space="0"/>
                  </w:tcBorders>
                  <w:vAlign w:val="center"/>
                </w:tcPr>
                <w:p>
                  <w:pPr>
                    <w:keepNext w:val="0"/>
                    <w:keepLines w:val="0"/>
                    <w:suppressLineNumbers w:val="0"/>
                    <w:snapToGrid w:val="0"/>
                    <w:spacing w:before="0" w:beforeAutospacing="0" w:after="0" w:afterAutospacing="0"/>
                    <w:ind w:left="0" w:right="0"/>
                    <w:jc w:val="center"/>
                    <w:rPr>
                      <w:szCs w:val="21"/>
                    </w:rPr>
                  </w:pPr>
                  <w:r>
                    <w:rPr>
                      <w:szCs w:val="21"/>
                    </w:rPr>
                    <w:t>FQ-</w:t>
                  </w:r>
                  <w:r>
                    <w:rPr>
                      <w:rFonts w:hint="eastAsia"/>
                      <w:szCs w:val="21"/>
                    </w:rPr>
                    <w:t>1</w:t>
                  </w:r>
                </w:p>
              </w:tc>
              <w:tc>
                <w:tcPr>
                  <w:tcW w:w="779" w:type="pct"/>
                  <w:tcBorders>
                    <w:top w:val="single" w:color="auto" w:sz="4" w:space="0"/>
                    <w:left w:val="single" w:color="auto" w:sz="4" w:space="0"/>
                    <w:bottom w:val="single" w:color="auto" w:sz="4"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sz w:val="21"/>
                      <w:szCs w:val="21"/>
                    </w:rPr>
                  </w:pPr>
                  <w:r>
                    <w:rPr>
                      <w:rFonts w:hint="eastAsia" w:ascii="Times New Roman" w:hAnsi="Times New Roman" w:eastAsia="宋体"/>
                      <w:sz w:val="21"/>
                      <w:szCs w:val="21"/>
                    </w:rPr>
                    <w:t>涂敷废气</w:t>
                  </w:r>
                </w:p>
              </w:tc>
              <w:tc>
                <w:tcPr>
                  <w:tcW w:w="641" w:type="pct"/>
                  <w:vMerge w:val="restart"/>
                  <w:tcBorders>
                    <w:top w:val="single" w:color="auto" w:sz="4" w:space="0"/>
                    <w:left w:val="single" w:color="auto" w:sz="4"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sz w:val="21"/>
                      <w:szCs w:val="21"/>
                    </w:rPr>
                  </w:pPr>
                  <w:r>
                    <w:rPr>
                      <w:rFonts w:hint="eastAsia" w:ascii="Times New Roman" w:hAnsi="Times New Roman" w:eastAsia="宋体"/>
                      <w:sz w:val="21"/>
                      <w:szCs w:val="21"/>
                      <w:lang w:val="en-US" w:eastAsia="zh-CN"/>
                    </w:rPr>
                    <w:t>35</w:t>
                  </w:r>
                  <w:r>
                    <w:rPr>
                      <w:rFonts w:hint="eastAsia" w:ascii="Times New Roman" w:hAnsi="Times New Roman" w:eastAsia="宋体"/>
                      <w:sz w:val="21"/>
                      <w:szCs w:val="21"/>
                    </w:rPr>
                    <w:t>000</w:t>
                  </w:r>
                </w:p>
              </w:tc>
              <w:tc>
                <w:tcPr>
                  <w:tcW w:w="648" w:type="pct"/>
                  <w:tcBorders>
                    <w:top w:val="single" w:color="auto" w:sz="4" w:space="0"/>
                    <w:left w:val="single" w:color="auto" w:sz="4" w:space="0"/>
                    <w:bottom w:val="single" w:color="auto" w:sz="4"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sz w:val="21"/>
                      <w:szCs w:val="21"/>
                    </w:rPr>
                  </w:pPr>
                  <w:r>
                    <w:rPr>
                      <w:rFonts w:hint="eastAsia" w:ascii="Times New Roman" w:hAnsi="Times New Roman" w:eastAsia="宋体"/>
                      <w:sz w:val="21"/>
                      <w:szCs w:val="21"/>
                    </w:rPr>
                    <w:t>粉尘</w:t>
                  </w:r>
                </w:p>
              </w:tc>
              <w:tc>
                <w:tcPr>
                  <w:tcW w:w="649" w:type="pct"/>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hint="default" w:ascii="Times New Roman" w:hAnsi="Times New Roman" w:eastAsia="宋体"/>
                      <w:lang w:val="en-US" w:eastAsia="zh-CN"/>
                    </w:rPr>
                  </w:pPr>
                  <w:r>
                    <w:rPr>
                      <w:rFonts w:hint="eastAsia" w:ascii="Times New Roman" w:hAnsi="Times New Roman"/>
                      <w:lang w:val="en-US" w:eastAsia="zh-CN"/>
                    </w:rPr>
                    <w:t>46.57</w:t>
                  </w:r>
                </w:p>
              </w:tc>
              <w:tc>
                <w:tcPr>
                  <w:tcW w:w="648" w:type="pct"/>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hint="default" w:ascii="Times New Roman" w:hAnsi="Times New Roman" w:eastAsia="宋体"/>
                      <w:lang w:val="en-US" w:eastAsia="zh-CN"/>
                    </w:rPr>
                  </w:pPr>
                  <w:r>
                    <w:rPr>
                      <w:rFonts w:hint="eastAsia" w:ascii="Times New Roman" w:hAnsi="Times New Roman"/>
                    </w:rPr>
                    <w:t>1.</w:t>
                  </w:r>
                  <w:r>
                    <w:rPr>
                      <w:rFonts w:hint="eastAsia" w:ascii="Times New Roman" w:hAnsi="Times New Roman"/>
                      <w:lang w:val="en-US" w:eastAsia="zh-CN"/>
                    </w:rPr>
                    <w:t>63</w:t>
                  </w:r>
                </w:p>
              </w:tc>
              <w:tc>
                <w:tcPr>
                  <w:tcW w:w="649" w:type="pct"/>
                  <w:tcBorders>
                    <w:top w:val="single" w:color="auto" w:sz="4" w:space="0"/>
                    <w:left w:val="single" w:color="auto" w:sz="4" w:space="0"/>
                    <w:bottom w:val="single" w:color="auto" w:sz="4" w:space="0"/>
                    <w:right w:val="nil"/>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r>
                    <w:rPr>
                      <w:rFonts w:hint="eastAsia" w:ascii="Times New Roman" w:hAnsi="Times New Roman"/>
                    </w:rPr>
                    <w:t>4.9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567" w:type="pct"/>
                  <w:vMerge w:val="continue"/>
                  <w:tcBorders>
                    <w:left w:val="nil"/>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sz w:val="21"/>
                      <w:szCs w:val="21"/>
                    </w:rPr>
                  </w:pPr>
                </w:p>
              </w:tc>
              <w:tc>
                <w:tcPr>
                  <w:tcW w:w="419" w:type="pct"/>
                  <w:vMerge w:val="continue"/>
                  <w:tcBorders>
                    <w:left w:val="single" w:color="auto" w:sz="4" w:space="0"/>
                    <w:right w:val="single" w:color="auto" w:sz="4" w:space="0"/>
                  </w:tcBorders>
                  <w:vAlign w:val="center"/>
                </w:tcPr>
                <w:p>
                  <w:pPr>
                    <w:keepNext w:val="0"/>
                    <w:keepLines w:val="0"/>
                    <w:suppressLineNumbers w:val="0"/>
                    <w:snapToGrid w:val="0"/>
                    <w:spacing w:before="0" w:beforeAutospacing="0" w:after="0" w:afterAutospacing="0"/>
                    <w:ind w:left="0" w:right="0"/>
                    <w:jc w:val="center"/>
                    <w:rPr>
                      <w:szCs w:val="21"/>
                    </w:rPr>
                  </w:pPr>
                </w:p>
              </w:tc>
              <w:tc>
                <w:tcPr>
                  <w:tcW w:w="779" w:type="pct"/>
                  <w:tcBorders>
                    <w:top w:val="single" w:color="auto" w:sz="4" w:space="0"/>
                    <w:left w:val="single" w:color="auto" w:sz="4" w:space="0"/>
                    <w:bottom w:val="single" w:color="auto" w:sz="4"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sz w:val="21"/>
                      <w:szCs w:val="21"/>
                    </w:rPr>
                  </w:pPr>
                  <w:r>
                    <w:rPr>
                      <w:rFonts w:hint="eastAsia" w:ascii="Times New Roman" w:hAnsi="Times New Roman" w:eastAsia="宋体"/>
                      <w:sz w:val="21"/>
                      <w:szCs w:val="21"/>
                    </w:rPr>
                    <w:t>固化废气</w:t>
                  </w:r>
                </w:p>
              </w:tc>
              <w:tc>
                <w:tcPr>
                  <w:tcW w:w="641" w:type="pct"/>
                  <w:vMerge w:val="continue"/>
                  <w:tcBorders>
                    <w:left w:val="single" w:color="auto" w:sz="4"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sz w:val="21"/>
                      <w:szCs w:val="21"/>
                    </w:rPr>
                  </w:pPr>
                </w:p>
              </w:tc>
              <w:tc>
                <w:tcPr>
                  <w:tcW w:w="648" w:type="pct"/>
                  <w:tcBorders>
                    <w:top w:val="single" w:color="auto" w:sz="4" w:space="0"/>
                    <w:left w:val="single" w:color="auto" w:sz="4" w:space="0"/>
                    <w:bottom w:val="single" w:color="auto" w:sz="4"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sz w:val="21"/>
                      <w:szCs w:val="21"/>
                    </w:rPr>
                  </w:pPr>
                  <w:r>
                    <w:rPr>
                      <w:rFonts w:hint="eastAsia" w:ascii="Times New Roman" w:hAnsi="Times New Roman" w:eastAsia="宋体"/>
                      <w:sz w:val="21"/>
                      <w:szCs w:val="21"/>
                    </w:rPr>
                    <w:t>非甲烷总烃</w:t>
                  </w:r>
                </w:p>
              </w:tc>
              <w:tc>
                <w:tcPr>
                  <w:tcW w:w="649" w:type="pct"/>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hint="default" w:ascii="Times New Roman" w:hAnsi="Times New Roman" w:eastAsia="宋体"/>
                      <w:lang w:val="en-US" w:eastAsia="zh-CN"/>
                    </w:rPr>
                  </w:pPr>
                  <w:r>
                    <w:rPr>
                      <w:rFonts w:hint="eastAsia" w:ascii="Times New Roman" w:hAnsi="Times New Roman"/>
                      <w:lang w:val="en-US" w:eastAsia="zh-CN"/>
                    </w:rPr>
                    <w:t>5.14</w:t>
                  </w:r>
                </w:p>
              </w:tc>
              <w:tc>
                <w:tcPr>
                  <w:tcW w:w="648" w:type="pct"/>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hint="default" w:ascii="Times New Roman" w:hAnsi="Times New Roman" w:eastAsia="宋体"/>
                      <w:lang w:val="en-US" w:eastAsia="zh-CN"/>
                    </w:rPr>
                  </w:pPr>
                  <w:r>
                    <w:rPr>
                      <w:rFonts w:hint="eastAsia" w:ascii="Times New Roman" w:hAnsi="Times New Roman"/>
                    </w:rPr>
                    <w:t>0.</w:t>
                  </w:r>
                  <w:r>
                    <w:rPr>
                      <w:rFonts w:hint="eastAsia" w:ascii="Times New Roman" w:hAnsi="Times New Roman"/>
                      <w:lang w:val="en-US" w:eastAsia="zh-CN"/>
                    </w:rPr>
                    <w:t>18</w:t>
                  </w:r>
                </w:p>
              </w:tc>
              <w:tc>
                <w:tcPr>
                  <w:tcW w:w="649" w:type="pct"/>
                  <w:tcBorders>
                    <w:top w:val="single" w:color="auto" w:sz="4" w:space="0"/>
                    <w:left w:val="single" w:color="auto" w:sz="4" w:space="0"/>
                    <w:bottom w:val="single" w:color="auto" w:sz="4" w:space="0"/>
                    <w:right w:val="nil"/>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hint="default" w:ascii="Times New Roman" w:hAnsi="Times New Roman" w:eastAsia="宋体"/>
                      <w:lang w:val="en-US" w:eastAsia="zh-CN"/>
                    </w:rPr>
                  </w:pPr>
                  <w:r>
                    <w:rPr>
                      <w:rFonts w:hint="eastAsia" w:ascii="Times New Roman" w:hAnsi="Times New Roman"/>
                    </w:rPr>
                    <w:t>0.</w:t>
                  </w:r>
                  <w:r>
                    <w:rPr>
                      <w:rFonts w:hint="eastAsia" w:ascii="Times New Roman" w:hAnsi="Times New Roman"/>
                      <w:lang w:val="en-US" w:eastAsia="zh-CN"/>
                    </w:rPr>
                    <w:t>54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40" w:hRule="atLeast"/>
                <w:jc w:val="center"/>
              </w:trPr>
              <w:tc>
                <w:tcPr>
                  <w:tcW w:w="567" w:type="pct"/>
                  <w:vMerge w:val="continue"/>
                  <w:tcBorders>
                    <w:left w:val="nil"/>
                    <w:bottom w:val="single" w:color="auto" w:sz="4"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sz w:val="21"/>
                      <w:szCs w:val="21"/>
                    </w:rPr>
                  </w:pPr>
                </w:p>
              </w:tc>
              <w:tc>
                <w:tcPr>
                  <w:tcW w:w="419" w:type="pct"/>
                  <w:vMerge w:val="continue"/>
                  <w:tcBorders>
                    <w:left w:val="single" w:color="auto" w:sz="4" w:space="0"/>
                    <w:right w:val="single" w:color="auto" w:sz="4" w:space="0"/>
                  </w:tcBorders>
                  <w:vAlign w:val="center"/>
                </w:tcPr>
                <w:p>
                  <w:pPr>
                    <w:keepNext w:val="0"/>
                    <w:keepLines w:val="0"/>
                    <w:suppressLineNumbers w:val="0"/>
                    <w:snapToGrid w:val="0"/>
                    <w:spacing w:before="0" w:beforeAutospacing="0" w:after="0" w:afterAutospacing="0"/>
                    <w:ind w:left="0" w:right="0"/>
                    <w:jc w:val="center"/>
                    <w:rPr>
                      <w:szCs w:val="21"/>
                    </w:rPr>
                  </w:pPr>
                </w:p>
              </w:tc>
              <w:tc>
                <w:tcPr>
                  <w:tcW w:w="779" w:type="pct"/>
                  <w:tcBorders>
                    <w:top w:val="single" w:color="auto" w:sz="4" w:space="0"/>
                    <w:left w:val="single" w:color="auto" w:sz="4" w:space="0"/>
                    <w:bottom w:val="single" w:color="auto" w:sz="4"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sz w:val="21"/>
                      <w:szCs w:val="21"/>
                    </w:rPr>
                  </w:pPr>
                  <w:r>
                    <w:rPr>
                      <w:rFonts w:hint="eastAsia" w:ascii="Times New Roman" w:hAnsi="Times New Roman" w:eastAsia="宋体"/>
                      <w:sz w:val="21"/>
                      <w:szCs w:val="21"/>
                    </w:rPr>
                    <w:t>注塑成型废气</w:t>
                  </w:r>
                </w:p>
              </w:tc>
              <w:tc>
                <w:tcPr>
                  <w:tcW w:w="641" w:type="pct"/>
                  <w:vMerge w:val="continue"/>
                  <w:tcBorders>
                    <w:left w:val="single" w:color="auto" w:sz="4"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sz w:val="21"/>
                      <w:szCs w:val="21"/>
                    </w:rPr>
                  </w:pPr>
                </w:p>
              </w:tc>
              <w:tc>
                <w:tcPr>
                  <w:tcW w:w="648" w:type="pct"/>
                  <w:tcBorders>
                    <w:top w:val="single" w:color="auto" w:sz="4" w:space="0"/>
                    <w:left w:val="single" w:color="auto" w:sz="4" w:space="0"/>
                    <w:bottom w:val="single" w:color="auto" w:sz="4"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sz w:val="21"/>
                      <w:szCs w:val="21"/>
                    </w:rPr>
                  </w:pPr>
                  <w:r>
                    <w:rPr>
                      <w:rFonts w:ascii="Times New Roman" w:hAnsi="Times New Roman" w:eastAsia="宋体"/>
                      <w:sz w:val="21"/>
                      <w:szCs w:val="21"/>
                    </w:rPr>
                    <w:t>非甲烷总烃</w:t>
                  </w:r>
                </w:p>
              </w:tc>
              <w:tc>
                <w:tcPr>
                  <w:tcW w:w="649" w:type="pct"/>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hint="default" w:ascii="Times New Roman" w:hAnsi="Times New Roman" w:eastAsia="宋体"/>
                      <w:lang w:val="en-US" w:eastAsia="zh-CN"/>
                    </w:rPr>
                  </w:pPr>
                  <w:r>
                    <w:rPr>
                      <w:rFonts w:hint="eastAsia" w:ascii="Times New Roman" w:hAnsi="Times New Roman"/>
                    </w:rPr>
                    <w:t>0.</w:t>
                  </w:r>
                  <w:r>
                    <w:rPr>
                      <w:rFonts w:hint="eastAsia" w:ascii="Times New Roman" w:hAnsi="Times New Roman"/>
                      <w:lang w:val="en-US" w:eastAsia="zh-CN"/>
                    </w:rPr>
                    <w:t>15</w:t>
                  </w:r>
                </w:p>
              </w:tc>
              <w:tc>
                <w:tcPr>
                  <w:tcW w:w="648" w:type="pct"/>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hint="default" w:ascii="Times New Roman" w:hAnsi="Times New Roman" w:eastAsia="宋体"/>
                      <w:lang w:val="en-US" w:eastAsia="zh-CN"/>
                    </w:rPr>
                  </w:pPr>
                  <w:r>
                    <w:rPr>
                      <w:rFonts w:hint="eastAsia" w:ascii="Times New Roman" w:hAnsi="Times New Roman"/>
                    </w:rPr>
                    <w:t>0.00</w:t>
                  </w:r>
                  <w:r>
                    <w:rPr>
                      <w:rFonts w:hint="eastAsia" w:ascii="Times New Roman" w:hAnsi="Times New Roman"/>
                      <w:lang w:val="en-US" w:eastAsia="zh-CN"/>
                    </w:rPr>
                    <w:t>54</w:t>
                  </w:r>
                </w:p>
              </w:tc>
              <w:tc>
                <w:tcPr>
                  <w:tcW w:w="649" w:type="pct"/>
                  <w:tcBorders>
                    <w:top w:val="single" w:color="auto" w:sz="4" w:space="0"/>
                    <w:left w:val="single" w:color="auto" w:sz="4" w:space="0"/>
                    <w:bottom w:val="single" w:color="auto" w:sz="4" w:space="0"/>
                    <w:right w:val="nil"/>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hint="default" w:ascii="Times New Roman" w:hAnsi="Times New Roman" w:eastAsia="宋体"/>
                      <w:lang w:val="en-US" w:eastAsia="zh-CN"/>
                    </w:rPr>
                  </w:pPr>
                  <w:r>
                    <w:rPr>
                      <w:rFonts w:hint="eastAsia" w:ascii="Times New Roman" w:hAnsi="Times New Roman"/>
                    </w:rPr>
                    <w:t>0.</w:t>
                  </w:r>
                  <w:r>
                    <w:rPr>
                      <w:rFonts w:hint="eastAsia" w:ascii="Times New Roman" w:hAnsi="Times New Roman"/>
                      <w:lang w:val="en-US" w:eastAsia="zh-CN"/>
                    </w:rPr>
                    <w:t>0162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567" w:type="pct"/>
                  <w:tcBorders>
                    <w:top w:val="single" w:color="auto" w:sz="4" w:space="0"/>
                    <w:left w:val="nil"/>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sz w:val="21"/>
                      <w:szCs w:val="21"/>
                    </w:rPr>
                  </w:pPr>
                  <w:r>
                    <w:rPr>
                      <w:rFonts w:hint="eastAsia" w:ascii="Times New Roman" w:hAnsi="Times New Roman" w:eastAsia="宋体"/>
                      <w:sz w:val="21"/>
                      <w:szCs w:val="21"/>
                    </w:rPr>
                    <w:t>食堂</w:t>
                  </w:r>
                </w:p>
              </w:tc>
              <w:tc>
                <w:tcPr>
                  <w:tcW w:w="419" w:type="pct"/>
                  <w:tcBorders>
                    <w:left w:val="single" w:color="auto" w:sz="4" w:space="0"/>
                    <w:right w:val="single" w:color="auto" w:sz="4" w:space="0"/>
                  </w:tcBorders>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rPr>
                    <w:t>FQ-2</w:t>
                  </w:r>
                </w:p>
              </w:tc>
              <w:tc>
                <w:tcPr>
                  <w:tcW w:w="779" w:type="pct"/>
                  <w:tcBorders>
                    <w:top w:val="single" w:color="auto" w:sz="4" w:space="0"/>
                    <w:left w:val="single" w:color="auto" w:sz="4"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sz w:val="21"/>
                      <w:szCs w:val="21"/>
                    </w:rPr>
                  </w:pPr>
                  <w:r>
                    <w:rPr>
                      <w:rFonts w:hint="eastAsia" w:ascii="Times New Roman" w:hAnsi="Times New Roman" w:eastAsia="宋体"/>
                      <w:sz w:val="21"/>
                      <w:szCs w:val="21"/>
                    </w:rPr>
                    <w:t>食堂油烟</w:t>
                  </w:r>
                </w:p>
              </w:tc>
              <w:tc>
                <w:tcPr>
                  <w:tcW w:w="641" w:type="pct"/>
                  <w:tcBorders>
                    <w:left w:val="single" w:color="auto" w:sz="4"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sz w:val="21"/>
                      <w:szCs w:val="21"/>
                    </w:rPr>
                  </w:pPr>
                  <w:r>
                    <w:rPr>
                      <w:rFonts w:hint="eastAsia" w:ascii="Times New Roman" w:hAnsi="Times New Roman" w:eastAsia="宋体"/>
                      <w:sz w:val="21"/>
                      <w:szCs w:val="21"/>
                    </w:rPr>
                    <w:t>10000</w:t>
                  </w:r>
                </w:p>
              </w:tc>
              <w:tc>
                <w:tcPr>
                  <w:tcW w:w="648" w:type="pct"/>
                  <w:tcBorders>
                    <w:top w:val="single" w:color="auto" w:sz="4" w:space="0"/>
                    <w:left w:val="single" w:color="auto" w:sz="4" w:space="0"/>
                    <w:bottom w:val="single" w:color="auto" w:sz="12"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sz w:val="21"/>
                      <w:szCs w:val="21"/>
                    </w:rPr>
                  </w:pPr>
                  <w:r>
                    <w:rPr>
                      <w:rFonts w:hint="eastAsia" w:ascii="Times New Roman" w:hAnsi="Times New Roman" w:eastAsia="宋体"/>
                      <w:sz w:val="21"/>
                      <w:szCs w:val="21"/>
                    </w:rPr>
                    <w:t>食堂油烟</w:t>
                  </w:r>
                </w:p>
              </w:tc>
              <w:tc>
                <w:tcPr>
                  <w:tcW w:w="649" w:type="pct"/>
                  <w:tcBorders>
                    <w:top w:val="single" w:color="auto" w:sz="4" w:space="0"/>
                    <w:left w:val="single" w:color="auto" w:sz="4" w:space="0"/>
                    <w:bottom w:val="single" w:color="auto" w:sz="12"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hint="eastAsia" w:ascii="Times New Roman" w:hAnsi="Times New Roman" w:eastAsia="宋体"/>
                      <w:lang w:eastAsia="zh-CN"/>
                    </w:rPr>
                  </w:pPr>
                  <w:r>
                    <w:rPr>
                      <w:rFonts w:hint="eastAsia" w:ascii="Times New Roman" w:hAnsi="Times New Roman"/>
                    </w:rPr>
                    <w:t>1.</w:t>
                  </w:r>
                  <w:r>
                    <w:rPr>
                      <w:rFonts w:hint="eastAsia" w:ascii="Times New Roman" w:hAnsi="Times New Roman"/>
                      <w:lang w:val="en-US" w:eastAsia="zh-CN"/>
                    </w:rPr>
                    <w:t>8</w:t>
                  </w:r>
                </w:p>
              </w:tc>
              <w:tc>
                <w:tcPr>
                  <w:tcW w:w="648" w:type="pct"/>
                  <w:tcBorders>
                    <w:top w:val="single" w:color="auto" w:sz="4" w:space="0"/>
                    <w:left w:val="single" w:color="auto" w:sz="4" w:space="0"/>
                    <w:bottom w:val="single" w:color="auto" w:sz="12"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hint="eastAsia" w:ascii="Times New Roman" w:hAnsi="Times New Roman" w:eastAsia="宋体"/>
                      <w:lang w:eastAsia="zh-CN"/>
                    </w:rPr>
                  </w:pPr>
                  <w:r>
                    <w:rPr>
                      <w:rFonts w:hint="eastAsia" w:ascii="Times New Roman" w:hAnsi="Times New Roman"/>
                    </w:rPr>
                    <w:t>0.01</w:t>
                  </w:r>
                  <w:r>
                    <w:rPr>
                      <w:rFonts w:hint="eastAsia" w:ascii="Times New Roman" w:hAnsi="Times New Roman"/>
                      <w:lang w:val="en-US" w:eastAsia="zh-CN"/>
                    </w:rPr>
                    <w:t>8</w:t>
                  </w:r>
                </w:p>
              </w:tc>
              <w:tc>
                <w:tcPr>
                  <w:tcW w:w="649" w:type="pct"/>
                  <w:tcBorders>
                    <w:top w:val="single" w:color="auto" w:sz="4" w:space="0"/>
                    <w:left w:val="single" w:color="auto" w:sz="4" w:space="0"/>
                    <w:bottom w:val="single" w:color="auto" w:sz="12" w:space="0"/>
                    <w:right w:val="nil"/>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hint="default" w:ascii="Times New Roman" w:hAnsi="Times New Roman" w:eastAsia="宋体"/>
                      <w:lang w:val="en-US" w:eastAsia="zh-CN"/>
                    </w:rPr>
                  </w:pPr>
                  <w:r>
                    <w:rPr>
                      <w:rFonts w:hint="eastAsia" w:ascii="Times New Roman" w:hAnsi="Times New Roman"/>
                    </w:rPr>
                    <w:t>0.0</w:t>
                  </w:r>
                  <w:r>
                    <w:rPr>
                      <w:rFonts w:hint="eastAsia" w:ascii="Times New Roman" w:hAnsi="Times New Roman"/>
                      <w:lang w:val="en-US" w:eastAsia="zh-CN"/>
                    </w:rPr>
                    <w:t>324</w:t>
                  </w:r>
                </w:p>
              </w:tc>
            </w:tr>
          </w:tbl>
          <w:p>
            <w:pPr>
              <w:keepNext w:val="0"/>
              <w:keepLines w:val="0"/>
              <w:suppressLineNumbers w:val="0"/>
              <w:snapToGrid w:val="0"/>
              <w:spacing w:before="0" w:beforeAutospacing="0" w:after="0" w:afterAutospacing="0" w:line="360" w:lineRule="auto"/>
              <w:ind w:left="0" w:right="0"/>
              <w:rPr>
                <w:b/>
                <w:szCs w:val="21"/>
              </w:rPr>
            </w:pPr>
            <w:r>
              <w:rPr>
                <w:rFonts w:hAnsi="宋体"/>
                <w:b/>
                <w:szCs w:val="21"/>
              </w:rPr>
              <w:t>注：涂</w:t>
            </w:r>
            <w:r>
              <w:rPr>
                <w:rFonts w:hint="eastAsia" w:hAnsi="宋体"/>
                <w:b/>
                <w:szCs w:val="21"/>
                <w:lang w:eastAsia="zh-CN"/>
              </w:rPr>
              <w:t>敷</w:t>
            </w:r>
            <w:r>
              <w:rPr>
                <w:rFonts w:hAnsi="宋体"/>
                <w:b/>
                <w:szCs w:val="21"/>
              </w:rPr>
              <w:t>、固化和注塑成型运行时间</w:t>
            </w:r>
            <w:r>
              <w:rPr>
                <w:rFonts w:hint="eastAsia" w:hAnsi="宋体"/>
                <w:b/>
                <w:szCs w:val="21"/>
              </w:rPr>
              <w:t>约</w:t>
            </w:r>
            <w:r>
              <w:rPr>
                <w:rFonts w:hAnsi="宋体"/>
                <w:b/>
                <w:szCs w:val="21"/>
              </w:rPr>
              <w:t>为</w:t>
            </w:r>
            <w:r>
              <w:rPr>
                <w:rFonts w:hint="eastAsia"/>
                <w:b/>
                <w:szCs w:val="21"/>
              </w:rPr>
              <w:t>3</w:t>
            </w:r>
            <w:r>
              <w:rPr>
                <w:rFonts w:hint="eastAsia"/>
                <w:b/>
                <w:szCs w:val="21"/>
                <w:lang w:val="en-US" w:eastAsia="zh-CN"/>
              </w:rPr>
              <w:t>0</w:t>
            </w:r>
            <w:r>
              <w:rPr>
                <w:b/>
                <w:szCs w:val="21"/>
              </w:rPr>
              <w:t>00h/a</w:t>
            </w:r>
            <w:r>
              <w:rPr>
                <w:rFonts w:hint="eastAsia"/>
                <w:b/>
                <w:szCs w:val="21"/>
              </w:rPr>
              <w:t>，食堂运行时间约为1</w:t>
            </w:r>
            <w:r>
              <w:rPr>
                <w:rFonts w:hint="eastAsia"/>
                <w:b/>
                <w:szCs w:val="21"/>
                <w:lang w:val="en-US" w:eastAsia="zh-CN"/>
              </w:rPr>
              <w:t>8</w:t>
            </w:r>
            <w:r>
              <w:rPr>
                <w:rFonts w:hint="eastAsia"/>
                <w:b/>
                <w:szCs w:val="21"/>
              </w:rPr>
              <w:t>00h/a</w:t>
            </w:r>
            <w:r>
              <w:rPr>
                <w:rFonts w:hAnsi="宋体"/>
                <w:b/>
                <w:szCs w:val="21"/>
              </w:rPr>
              <w:t>。</w:t>
            </w:r>
          </w:p>
          <w:p>
            <w:pPr>
              <w:keepNext w:val="0"/>
              <w:keepLines w:val="0"/>
              <w:suppressLineNumbers w:val="0"/>
              <w:snapToGrid w:val="0"/>
              <w:spacing w:before="0" w:beforeAutospacing="0" w:after="0" w:afterAutospacing="0" w:line="360" w:lineRule="auto"/>
              <w:ind w:left="0" w:right="0" w:firstLine="480" w:firstLineChars="200"/>
              <w:rPr>
                <w:sz w:val="24"/>
              </w:rPr>
            </w:pPr>
            <w:r>
              <w:rPr>
                <w:rFonts w:hint="eastAsia" w:ascii="宋体" w:hAnsi="宋体"/>
                <w:sz w:val="24"/>
              </w:rPr>
              <w:t>本项目无</w:t>
            </w:r>
            <w:r>
              <w:rPr>
                <w:sz w:val="24"/>
              </w:rPr>
              <w:t>组织废气产生情况见下表：</w:t>
            </w:r>
          </w:p>
          <w:p>
            <w:pPr>
              <w:keepNext w:val="0"/>
              <w:keepLines w:val="0"/>
              <w:suppressLineNumbers w:val="0"/>
              <w:spacing w:before="0" w:beforeAutospacing="0" w:after="0" w:afterAutospacing="0"/>
              <w:ind w:left="0" w:right="0"/>
              <w:jc w:val="center"/>
              <w:rPr>
                <w:rFonts w:ascii="宋体" w:hAnsi="宋体"/>
                <w:b/>
                <w:bCs/>
                <w:sz w:val="24"/>
              </w:rPr>
            </w:pPr>
            <w:r>
              <w:rPr>
                <w:b/>
                <w:bCs/>
                <w:sz w:val="24"/>
              </w:rPr>
              <w:t>表4-</w:t>
            </w:r>
            <w:r>
              <w:rPr>
                <w:rFonts w:hint="eastAsia"/>
                <w:b/>
                <w:bCs/>
                <w:sz w:val="24"/>
              </w:rPr>
              <w:t>2</w:t>
            </w:r>
            <w:r>
              <w:rPr>
                <w:b/>
                <w:bCs/>
                <w:sz w:val="24"/>
              </w:rPr>
              <w:t xml:space="preserve"> 本项目无组织</w:t>
            </w:r>
            <w:r>
              <w:rPr>
                <w:rFonts w:hint="eastAsia" w:ascii="宋体" w:hAnsi="宋体"/>
                <w:b/>
                <w:bCs/>
                <w:sz w:val="24"/>
              </w:rPr>
              <w:t>废气污染物产生情况</w:t>
            </w:r>
          </w:p>
          <w:tbl>
            <w:tblPr>
              <w:tblStyle w:val="2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38"/>
              <w:gridCol w:w="948"/>
              <w:gridCol w:w="829"/>
              <w:gridCol w:w="1276"/>
              <w:gridCol w:w="1104"/>
              <w:gridCol w:w="1056"/>
              <w:gridCol w:w="1153"/>
              <w:gridCol w:w="97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938" w:type="dxa"/>
                  <w:tcBorders>
                    <w:bottom w:val="single" w:color="auto" w:sz="4" w:space="0"/>
                  </w:tcBorders>
                  <w:vAlign w:val="center"/>
                </w:tcPr>
                <w:p>
                  <w:pPr>
                    <w:keepNext w:val="0"/>
                    <w:keepLines w:val="0"/>
                    <w:suppressLineNumbers w:val="0"/>
                    <w:spacing w:before="0" w:beforeAutospacing="0" w:after="0" w:afterAutospacing="0"/>
                    <w:ind w:left="0" w:right="0"/>
                    <w:jc w:val="center"/>
                    <w:rPr>
                      <w:b/>
                      <w:bCs/>
                    </w:rPr>
                  </w:pPr>
                  <w:r>
                    <w:rPr>
                      <w:rFonts w:hint="eastAsia"/>
                      <w:b/>
                    </w:rPr>
                    <w:t>所在车间</w:t>
                  </w:r>
                </w:p>
              </w:tc>
              <w:tc>
                <w:tcPr>
                  <w:tcW w:w="948" w:type="dxa"/>
                  <w:vAlign w:val="center"/>
                </w:tcPr>
                <w:p>
                  <w:pPr>
                    <w:keepNext w:val="0"/>
                    <w:keepLines w:val="0"/>
                    <w:suppressLineNumbers w:val="0"/>
                    <w:spacing w:before="0" w:beforeAutospacing="0" w:after="0" w:afterAutospacing="0"/>
                    <w:ind w:left="0" w:right="0"/>
                    <w:jc w:val="center"/>
                    <w:rPr>
                      <w:b/>
                      <w:bCs/>
                    </w:rPr>
                  </w:pPr>
                  <w:r>
                    <w:rPr>
                      <w:rFonts w:hint="eastAsia"/>
                      <w:b/>
                      <w:bCs/>
                    </w:rPr>
                    <w:t>工段</w:t>
                  </w:r>
                </w:p>
              </w:tc>
              <w:tc>
                <w:tcPr>
                  <w:tcW w:w="829" w:type="dxa"/>
                  <w:vAlign w:val="center"/>
                </w:tcPr>
                <w:p>
                  <w:pPr>
                    <w:keepNext w:val="0"/>
                    <w:keepLines w:val="0"/>
                    <w:suppressLineNumbers w:val="0"/>
                    <w:spacing w:before="0" w:beforeAutospacing="0" w:after="0" w:afterAutospacing="0"/>
                    <w:ind w:left="0" w:right="0"/>
                    <w:jc w:val="center"/>
                    <w:rPr>
                      <w:b/>
                      <w:bCs/>
                    </w:rPr>
                  </w:pPr>
                  <w:r>
                    <w:rPr>
                      <w:rFonts w:hint="eastAsia"/>
                      <w:b/>
                      <w:bCs/>
                    </w:rPr>
                    <w:t>年运行时间/h</w:t>
                  </w:r>
                </w:p>
              </w:tc>
              <w:tc>
                <w:tcPr>
                  <w:tcW w:w="1276" w:type="dxa"/>
                  <w:vAlign w:val="center"/>
                </w:tcPr>
                <w:p>
                  <w:pPr>
                    <w:keepNext w:val="0"/>
                    <w:keepLines w:val="0"/>
                    <w:suppressLineNumbers w:val="0"/>
                    <w:spacing w:before="0" w:beforeAutospacing="0" w:after="0" w:afterAutospacing="0"/>
                    <w:ind w:left="0" w:right="0"/>
                    <w:jc w:val="center"/>
                    <w:rPr>
                      <w:b/>
                      <w:bCs/>
                    </w:rPr>
                  </w:pPr>
                  <w:r>
                    <w:rPr>
                      <w:rFonts w:hint="eastAsia"/>
                      <w:b/>
                      <w:bCs/>
                    </w:rPr>
                    <w:t>污染物名称</w:t>
                  </w:r>
                </w:p>
              </w:tc>
              <w:tc>
                <w:tcPr>
                  <w:tcW w:w="1104" w:type="dxa"/>
                  <w:vAlign w:val="center"/>
                </w:tcPr>
                <w:p>
                  <w:pPr>
                    <w:keepNext w:val="0"/>
                    <w:keepLines w:val="0"/>
                    <w:suppressLineNumbers w:val="0"/>
                    <w:spacing w:before="0" w:beforeAutospacing="0" w:after="0" w:afterAutospacing="0"/>
                    <w:ind w:left="0" w:right="0"/>
                    <w:jc w:val="center"/>
                    <w:rPr>
                      <w:b/>
                      <w:bCs/>
                    </w:rPr>
                  </w:pPr>
                  <w:r>
                    <w:rPr>
                      <w:rFonts w:hint="eastAsia"/>
                      <w:b/>
                      <w:bCs/>
                    </w:rPr>
                    <w:t>污染物产生量（t/a）</w:t>
                  </w:r>
                </w:p>
              </w:tc>
              <w:tc>
                <w:tcPr>
                  <w:tcW w:w="1056" w:type="dxa"/>
                  <w:vAlign w:val="center"/>
                </w:tcPr>
                <w:p>
                  <w:pPr>
                    <w:keepNext w:val="0"/>
                    <w:keepLines w:val="0"/>
                    <w:suppressLineNumbers w:val="0"/>
                    <w:spacing w:before="0" w:beforeAutospacing="0" w:after="0" w:afterAutospacing="0"/>
                    <w:ind w:left="0" w:right="0"/>
                    <w:jc w:val="center"/>
                    <w:rPr>
                      <w:rFonts w:hint="eastAsia" w:eastAsia="宋体"/>
                      <w:b/>
                      <w:bCs/>
                      <w:lang w:eastAsia="zh-CN"/>
                    </w:rPr>
                  </w:pPr>
                  <w:r>
                    <w:rPr>
                      <w:rFonts w:hint="eastAsia"/>
                      <w:b/>
                      <w:bCs/>
                    </w:rPr>
                    <w:t>产生速率</w:t>
                  </w:r>
                  <w:r>
                    <w:rPr>
                      <w:rFonts w:hint="eastAsia"/>
                      <w:b/>
                      <w:bCs/>
                      <w:lang w:eastAsia="zh-CN"/>
                    </w:rPr>
                    <w:t>（</w:t>
                  </w:r>
                  <w:r>
                    <w:rPr>
                      <w:rFonts w:hint="eastAsia"/>
                      <w:b/>
                      <w:bCs/>
                    </w:rPr>
                    <w:t>kg/h</w:t>
                  </w:r>
                  <w:r>
                    <w:rPr>
                      <w:rFonts w:hint="eastAsia"/>
                      <w:b/>
                      <w:bCs/>
                      <w:lang w:eastAsia="zh-CN"/>
                    </w:rPr>
                    <w:t>）</w:t>
                  </w:r>
                </w:p>
              </w:tc>
              <w:tc>
                <w:tcPr>
                  <w:tcW w:w="1153" w:type="dxa"/>
                  <w:vAlign w:val="center"/>
                </w:tcPr>
                <w:p>
                  <w:pPr>
                    <w:keepNext w:val="0"/>
                    <w:keepLines w:val="0"/>
                    <w:suppressLineNumbers w:val="0"/>
                    <w:spacing w:before="0" w:beforeAutospacing="0" w:after="0" w:afterAutospacing="0"/>
                    <w:ind w:left="0" w:right="0"/>
                    <w:jc w:val="center"/>
                    <w:rPr>
                      <w:b/>
                      <w:bCs/>
                    </w:rPr>
                  </w:pPr>
                  <w:r>
                    <w:rPr>
                      <w:rFonts w:hint="eastAsia"/>
                      <w:b/>
                      <w:bCs/>
                    </w:rPr>
                    <w:t>面源面积（m</w:t>
                  </w:r>
                  <w:r>
                    <w:rPr>
                      <w:rFonts w:hint="eastAsia"/>
                      <w:b/>
                      <w:bCs/>
                      <w:vertAlign w:val="superscript"/>
                    </w:rPr>
                    <w:t>2</w:t>
                  </w:r>
                  <w:r>
                    <w:rPr>
                      <w:rFonts w:hint="eastAsia"/>
                      <w:b/>
                      <w:bCs/>
                    </w:rPr>
                    <w:t>）</w:t>
                  </w:r>
                </w:p>
              </w:tc>
              <w:tc>
                <w:tcPr>
                  <w:tcW w:w="973" w:type="dxa"/>
                  <w:vAlign w:val="center"/>
                </w:tcPr>
                <w:p>
                  <w:pPr>
                    <w:keepNext w:val="0"/>
                    <w:keepLines w:val="0"/>
                    <w:suppressLineNumbers w:val="0"/>
                    <w:spacing w:before="0" w:beforeAutospacing="0" w:after="0" w:afterAutospacing="0"/>
                    <w:ind w:left="0" w:right="0"/>
                    <w:jc w:val="center"/>
                    <w:rPr>
                      <w:rFonts w:hint="eastAsia" w:eastAsia="宋体"/>
                      <w:b/>
                      <w:bCs/>
                      <w:lang w:eastAsia="zh-CN"/>
                    </w:rPr>
                  </w:pPr>
                  <w:r>
                    <w:rPr>
                      <w:rFonts w:hint="eastAsia"/>
                      <w:b/>
                      <w:bCs/>
                    </w:rPr>
                    <w:t>面源高度</w:t>
                  </w:r>
                  <w:r>
                    <w:rPr>
                      <w:rFonts w:hint="eastAsia"/>
                      <w:b/>
                      <w:bCs/>
                      <w:lang w:eastAsia="zh-CN"/>
                    </w:rPr>
                    <w:t>（</w:t>
                  </w:r>
                  <w:r>
                    <w:rPr>
                      <w:rFonts w:hint="eastAsia"/>
                      <w:b/>
                      <w:bCs/>
                    </w:rPr>
                    <w:t>m</w:t>
                  </w:r>
                  <w:r>
                    <w:rPr>
                      <w:rFonts w:hint="eastAsia"/>
                      <w:b/>
                      <w:bCs/>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938" w:type="dxa"/>
                  <w:vMerge w:val="restart"/>
                  <w:tcBorders>
                    <w:top w:val="single" w:color="auto" w:sz="4" w:space="0"/>
                  </w:tcBorders>
                  <w:vAlign w:val="center"/>
                </w:tcPr>
                <w:p>
                  <w:pPr>
                    <w:keepNext w:val="0"/>
                    <w:keepLines w:val="0"/>
                    <w:suppressLineNumbers w:val="0"/>
                    <w:spacing w:before="0" w:beforeAutospacing="0" w:after="0" w:afterAutospacing="0"/>
                    <w:ind w:left="0" w:right="0"/>
                    <w:jc w:val="center"/>
                    <w:rPr>
                      <w:szCs w:val="21"/>
                    </w:rPr>
                  </w:pPr>
                  <w:r>
                    <w:rPr>
                      <w:rFonts w:hint="eastAsia"/>
                      <w:szCs w:val="21"/>
                    </w:rPr>
                    <w:t>涂</w:t>
                  </w:r>
                  <w:r>
                    <w:rPr>
                      <w:rFonts w:hint="eastAsia"/>
                      <w:szCs w:val="21"/>
                      <w:lang w:eastAsia="zh-CN"/>
                    </w:rPr>
                    <w:t>敷</w:t>
                  </w:r>
                  <w:r>
                    <w:rPr>
                      <w:rFonts w:hint="eastAsia"/>
                      <w:szCs w:val="21"/>
                    </w:rPr>
                    <w:t>注塑车间</w:t>
                  </w:r>
                </w:p>
              </w:tc>
              <w:tc>
                <w:tcPr>
                  <w:tcW w:w="948" w:type="dxa"/>
                  <w:vAlign w:val="center"/>
                </w:tcPr>
                <w:p>
                  <w:pPr>
                    <w:keepNext w:val="0"/>
                    <w:keepLines w:val="0"/>
                    <w:suppressLineNumbers w:val="0"/>
                    <w:spacing w:before="0" w:beforeAutospacing="0" w:after="0" w:afterAutospacing="0"/>
                    <w:ind w:left="0" w:right="0"/>
                    <w:jc w:val="center"/>
                  </w:pPr>
                  <w:r>
                    <w:rPr>
                      <w:rFonts w:hint="eastAsia"/>
                      <w:szCs w:val="21"/>
                    </w:rPr>
                    <w:t>涂敷</w:t>
                  </w:r>
                </w:p>
              </w:tc>
              <w:tc>
                <w:tcPr>
                  <w:tcW w:w="829" w:type="dxa"/>
                  <w:vMerge w:val="restart"/>
                  <w:vAlign w:val="center"/>
                </w:tcPr>
                <w:p>
                  <w:pPr>
                    <w:keepNext w:val="0"/>
                    <w:keepLines w:val="0"/>
                    <w:suppressLineNumbers w:val="0"/>
                    <w:spacing w:before="0" w:beforeAutospacing="0" w:after="0" w:afterAutospacing="0"/>
                    <w:ind w:left="0" w:right="0"/>
                    <w:jc w:val="center"/>
                    <w:rPr>
                      <w:rFonts w:hint="default" w:eastAsia="宋体"/>
                      <w:lang w:val="en-US" w:eastAsia="zh-CN"/>
                    </w:rPr>
                  </w:pPr>
                  <w:r>
                    <w:rPr>
                      <w:rFonts w:hint="eastAsia"/>
                    </w:rPr>
                    <w:t>3</w:t>
                  </w:r>
                  <w:r>
                    <w:rPr>
                      <w:rFonts w:hint="eastAsia"/>
                      <w:lang w:val="en-US" w:eastAsia="zh-CN"/>
                    </w:rPr>
                    <w:t>000</w:t>
                  </w:r>
                </w:p>
              </w:tc>
              <w:tc>
                <w:tcPr>
                  <w:tcW w:w="1276" w:type="dxa"/>
                  <w:vAlign w:val="center"/>
                </w:tcPr>
                <w:p>
                  <w:pPr>
                    <w:keepNext w:val="0"/>
                    <w:keepLines w:val="0"/>
                    <w:suppressLineNumbers w:val="0"/>
                    <w:spacing w:before="0" w:beforeAutospacing="0" w:after="0" w:afterAutospacing="0"/>
                    <w:ind w:left="0" w:right="0"/>
                    <w:jc w:val="center"/>
                  </w:pPr>
                  <w:r>
                    <w:rPr>
                      <w:rFonts w:hint="eastAsia"/>
                    </w:rPr>
                    <w:t>颗粒物</w:t>
                  </w:r>
                </w:p>
              </w:tc>
              <w:tc>
                <w:tcPr>
                  <w:tcW w:w="1104"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0.1</w:t>
                  </w:r>
                </w:p>
              </w:tc>
              <w:tc>
                <w:tcPr>
                  <w:tcW w:w="1056" w:type="dxa"/>
                  <w:vAlign w:val="center"/>
                </w:tcPr>
                <w:p>
                  <w:pPr>
                    <w:keepNext w:val="0"/>
                    <w:keepLines w:val="0"/>
                    <w:suppressLineNumbers w:val="0"/>
                    <w:spacing w:before="0" w:beforeAutospacing="0" w:after="0" w:afterAutospacing="0"/>
                    <w:ind w:left="0" w:right="0"/>
                    <w:jc w:val="center"/>
                    <w:rPr>
                      <w:rFonts w:hint="default" w:eastAsia="宋体"/>
                      <w:szCs w:val="21"/>
                      <w:lang w:val="en-US" w:eastAsia="zh-CN"/>
                    </w:rPr>
                  </w:pPr>
                  <w:r>
                    <w:rPr>
                      <w:rFonts w:hint="eastAsia"/>
                      <w:szCs w:val="21"/>
                    </w:rPr>
                    <w:t>0.0</w:t>
                  </w:r>
                  <w:r>
                    <w:rPr>
                      <w:rFonts w:hint="eastAsia"/>
                      <w:szCs w:val="21"/>
                      <w:lang w:val="en-US" w:eastAsia="zh-CN"/>
                    </w:rPr>
                    <w:t>33</w:t>
                  </w:r>
                </w:p>
              </w:tc>
              <w:tc>
                <w:tcPr>
                  <w:tcW w:w="1153" w:type="dxa"/>
                  <w:vMerge w:val="restart"/>
                  <w:vAlign w:val="center"/>
                </w:tcPr>
                <w:p>
                  <w:pPr>
                    <w:keepNext w:val="0"/>
                    <w:keepLines w:val="0"/>
                    <w:suppressLineNumbers w:val="0"/>
                    <w:spacing w:before="0" w:beforeAutospacing="0" w:after="0" w:afterAutospacing="0"/>
                    <w:ind w:left="0" w:right="0"/>
                    <w:jc w:val="center"/>
                  </w:pPr>
                  <w:r>
                    <w:rPr>
                      <w:rFonts w:hint="eastAsia"/>
                      <w:lang w:val="en-US" w:eastAsia="zh-CN"/>
                    </w:rPr>
                    <w:t>9</w:t>
                  </w:r>
                  <w:r>
                    <w:rPr>
                      <w:rFonts w:hint="eastAsia"/>
                    </w:rPr>
                    <w:t>00</w:t>
                  </w:r>
                </w:p>
              </w:tc>
              <w:tc>
                <w:tcPr>
                  <w:tcW w:w="973" w:type="dxa"/>
                  <w:vMerge w:val="restart"/>
                  <w:vAlign w:val="center"/>
                </w:tcPr>
                <w:p>
                  <w:pPr>
                    <w:keepNext w:val="0"/>
                    <w:keepLines w:val="0"/>
                    <w:suppressLineNumbers w:val="0"/>
                    <w:spacing w:before="0" w:beforeAutospacing="0" w:after="0" w:afterAutospacing="0"/>
                    <w:ind w:left="0" w:right="0"/>
                    <w:jc w:val="center"/>
                  </w:pPr>
                  <w:r>
                    <w:rPr>
                      <w:rFonts w:hint="eastAsia"/>
                    </w:rPr>
                    <w:t>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938" w:type="dxa"/>
                  <w:vMerge w:val="continue"/>
                  <w:vAlign w:val="center"/>
                </w:tcPr>
                <w:p>
                  <w:pPr>
                    <w:keepNext w:val="0"/>
                    <w:keepLines w:val="0"/>
                    <w:suppressLineNumbers w:val="0"/>
                    <w:spacing w:before="0" w:beforeAutospacing="0" w:after="0" w:afterAutospacing="0"/>
                    <w:ind w:left="0" w:right="0"/>
                    <w:jc w:val="center"/>
                  </w:pPr>
                </w:p>
              </w:tc>
              <w:tc>
                <w:tcPr>
                  <w:tcW w:w="948" w:type="dxa"/>
                  <w:vAlign w:val="center"/>
                </w:tcPr>
                <w:p>
                  <w:pPr>
                    <w:keepNext w:val="0"/>
                    <w:keepLines w:val="0"/>
                    <w:suppressLineNumbers w:val="0"/>
                    <w:spacing w:before="0" w:beforeAutospacing="0" w:after="0" w:afterAutospacing="0"/>
                    <w:ind w:left="0" w:right="0"/>
                    <w:jc w:val="center"/>
                  </w:pPr>
                  <w:r>
                    <w:rPr>
                      <w:rFonts w:hint="eastAsia"/>
                      <w:szCs w:val="21"/>
                    </w:rPr>
                    <w:t>固化</w:t>
                  </w:r>
                </w:p>
              </w:tc>
              <w:tc>
                <w:tcPr>
                  <w:tcW w:w="829" w:type="dxa"/>
                  <w:vMerge w:val="continue"/>
                  <w:vAlign w:val="center"/>
                </w:tcPr>
                <w:p>
                  <w:pPr>
                    <w:keepNext w:val="0"/>
                    <w:keepLines w:val="0"/>
                    <w:suppressLineNumbers w:val="0"/>
                    <w:spacing w:before="0" w:beforeAutospacing="0" w:after="0" w:afterAutospacing="0"/>
                    <w:ind w:left="0" w:right="0"/>
                    <w:jc w:val="center"/>
                  </w:pPr>
                </w:p>
              </w:tc>
              <w:tc>
                <w:tcPr>
                  <w:tcW w:w="1276" w:type="dxa"/>
                  <w:vAlign w:val="center"/>
                </w:tcPr>
                <w:p>
                  <w:pPr>
                    <w:keepNext w:val="0"/>
                    <w:keepLines w:val="0"/>
                    <w:suppressLineNumbers w:val="0"/>
                    <w:spacing w:before="0" w:beforeAutospacing="0" w:after="0" w:afterAutospacing="0"/>
                    <w:ind w:left="0" w:right="0"/>
                    <w:jc w:val="center"/>
                  </w:pPr>
                  <w:r>
                    <w:rPr>
                      <w:rFonts w:hint="eastAsia"/>
                    </w:rPr>
                    <w:t>非甲烷总烃</w:t>
                  </w:r>
                </w:p>
              </w:tc>
              <w:tc>
                <w:tcPr>
                  <w:tcW w:w="1104" w:type="dxa"/>
                  <w:vAlign w:val="center"/>
                </w:tcPr>
                <w:p>
                  <w:pPr>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rFonts w:hint="eastAsia"/>
                      <w:szCs w:val="21"/>
                    </w:rPr>
                    <w:t>0.0</w:t>
                  </w:r>
                  <w:r>
                    <w:rPr>
                      <w:rFonts w:hint="eastAsia"/>
                      <w:szCs w:val="21"/>
                      <w:lang w:val="en-US" w:eastAsia="zh-CN"/>
                    </w:rPr>
                    <w:t>6</w:t>
                  </w:r>
                </w:p>
              </w:tc>
              <w:tc>
                <w:tcPr>
                  <w:tcW w:w="1056" w:type="dxa"/>
                  <w:vAlign w:val="center"/>
                </w:tcPr>
                <w:p>
                  <w:pPr>
                    <w:keepNext w:val="0"/>
                    <w:keepLines w:val="0"/>
                    <w:suppressLineNumbers w:val="0"/>
                    <w:spacing w:before="0" w:beforeAutospacing="0" w:after="0" w:afterAutospacing="0"/>
                    <w:ind w:left="0" w:right="0"/>
                    <w:jc w:val="center"/>
                    <w:rPr>
                      <w:rFonts w:hint="eastAsia" w:eastAsia="宋体"/>
                      <w:szCs w:val="21"/>
                      <w:lang w:eastAsia="zh-CN"/>
                    </w:rPr>
                  </w:pPr>
                  <w:r>
                    <w:rPr>
                      <w:rFonts w:hint="eastAsia"/>
                      <w:szCs w:val="21"/>
                    </w:rPr>
                    <w:t>0.0</w:t>
                  </w:r>
                  <w:r>
                    <w:rPr>
                      <w:rFonts w:hint="eastAsia"/>
                      <w:szCs w:val="21"/>
                      <w:lang w:val="en-US" w:eastAsia="zh-CN"/>
                    </w:rPr>
                    <w:t>2</w:t>
                  </w:r>
                </w:p>
              </w:tc>
              <w:tc>
                <w:tcPr>
                  <w:tcW w:w="1153" w:type="dxa"/>
                  <w:vMerge w:val="continue"/>
                  <w:vAlign w:val="center"/>
                </w:tcPr>
                <w:p>
                  <w:pPr>
                    <w:keepNext w:val="0"/>
                    <w:keepLines w:val="0"/>
                    <w:suppressLineNumbers w:val="0"/>
                    <w:spacing w:before="0" w:beforeAutospacing="0" w:after="0" w:afterAutospacing="0"/>
                    <w:ind w:left="0" w:right="0"/>
                    <w:jc w:val="center"/>
                  </w:pPr>
                </w:p>
              </w:tc>
              <w:tc>
                <w:tcPr>
                  <w:tcW w:w="973" w:type="dxa"/>
                  <w:vMerge w:val="continue"/>
                  <w:vAlign w:val="center"/>
                </w:tcPr>
                <w:p>
                  <w:pPr>
                    <w:keepNext w:val="0"/>
                    <w:keepLines w:val="0"/>
                    <w:suppressLineNumbers w:val="0"/>
                    <w:spacing w:before="0" w:beforeAutospacing="0" w:after="0" w:afterAutospacing="0"/>
                    <w:ind w:left="0" w:right="0"/>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938" w:type="dxa"/>
                  <w:vMerge w:val="continue"/>
                  <w:vAlign w:val="center"/>
                </w:tcPr>
                <w:p>
                  <w:pPr>
                    <w:keepNext w:val="0"/>
                    <w:keepLines w:val="0"/>
                    <w:suppressLineNumbers w:val="0"/>
                    <w:spacing w:before="0" w:beforeAutospacing="0" w:after="0" w:afterAutospacing="0"/>
                    <w:ind w:left="0" w:right="0"/>
                    <w:jc w:val="center"/>
                    <w:rPr>
                      <w:szCs w:val="21"/>
                    </w:rPr>
                  </w:pPr>
                </w:p>
              </w:tc>
              <w:tc>
                <w:tcPr>
                  <w:tcW w:w="948" w:type="dxa"/>
                  <w:vAlign w:val="center"/>
                </w:tcPr>
                <w:p>
                  <w:pPr>
                    <w:keepNext w:val="0"/>
                    <w:keepLines w:val="0"/>
                    <w:suppressLineNumbers w:val="0"/>
                    <w:spacing w:before="0" w:beforeAutospacing="0" w:after="0" w:afterAutospacing="0"/>
                    <w:ind w:left="0" w:right="0"/>
                    <w:jc w:val="center"/>
                  </w:pPr>
                  <w:r>
                    <w:rPr>
                      <w:rFonts w:hint="eastAsia"/>
                      <w:szCs w:val="21"/>
                    </w:rPr>
                    <w:t>注塑成型</w:t>
                  </w:r>
                </w:p>
              </w:tc>
              <w:tc>
                <w:tcPr>
                  <w:tcW w:w="829" w:type="dxa"/>
                  <w:vMerge w:val="continue"/>
                  <w:vAlign w:val="center"/>
                </w:tcPr>
                <w:p>
                  <w:pPr>
                    <w:keepNext w:val="0"/>
                    <w:keepLines w:val="0"/>
                    <w:suppressLineNumbers w:val="0"/>
                    <w:spacing w:before="0" w:beforeAutospacing="0" w:after="0" w:afterAutospacing="0"/>
                    <w:ind w:left="0" w:right="0"/>
                    <w:jc w:val="center"/>
                  </w:pPr>
                </w:p>
              </w:tc>
              <w:tc>
                <w:tcPr>
                  <w:tcW w:w="1276" w:type="dxa"/>
                  <w:vAlign w:val="center"/>
                </w:tcPr>
                <w:p>
                  <w:pPr>
                    <w:keepNext w:val="0"/>
                    <w:keepLines w:val="0"/>
                    <w:suppressLineNumbers w:val="0"/>
                    <w:spacing w:before="0" w:beforeAutospacing="0" w:after="0" w:afterAutospacing="0"/>
                    <w:ind w:left="0" w:right="0"/>
                    <w:jc w:val="center"/>
                  </w:pPr>
                  <w:r>
                    <w:rPr>
                      <w:rFonts w:hint="eastAsia"/>
                    </w:rPr>
                    <w:t>非甲烷总烃</w:t>
                  </w:r>
                </w:p>
              </w:tc>
              <w:tc>
                <w:tcPr>
                  <w:tcW w:w="1104" w:type="dxa"/>
                  <w:vAlign w:val="center"/>
                </w:tcPr>
                <w:p>
                  <w:pPr>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rFonts w:hint="eastAsia"/>
                      <w:szCs w:val="21"/>
                    </w:rPr>
                    <w:t>0.00</w:t>
                  </w:r>
                  <w:r>
                    <w:rPr>
                      <w:rFonts w:hint="eastAsia"/>
                      <w:szCs w:val="21"/>
                      <w:lang w:val="en-US" w:eastAsia="zh-CN"/>
                    </w:rPr>
                    <w:t>18</w:t>
                  </w:r>
                </w:p>
              </w:tc>
              <w:tc>
                <w:tcPr>
                  <w:tcW w:w="1056" w:type="dxa"/>
                  <w:vAlign w:val="center"/>
                </w:tcPr>
                <w:p>
                  <w:pPr>
                    <w:keepNext w:val="0"/>
                    <w:keepLines w:val="0"/>
                    <w:suppressLineNumbers w:val="0"/>
                    <w:spacing w:before="0" w:beforeAutospacing="0" w:after="0" w:afterAutospacing="0"/>
                    <w:ind w:left="0" w:right="0"/>
                    <w:jc w:val="center"/>
                    <w:rPr>
                      <w:rFonts w:hint="eastAsia" w:eastAsia="宋体"/>
                      <w:szCs w:val="21"/>
                      <w:lang w:eastAsia="zh-CN"/>
                    </w:rPr>
                  </w:pPr>
                  <w:r>
                    <w:rPr>
                      <w:rFonts w:hint="eastAsia"/>
                      <w:szCs w:val="21"/>
                    </w:rPr>
                    <w:t>0.000</w:t>
                  </w:r>
                  <w:r>
                    <w:rPr>
                      <w:rFonts w:hint="eastAsia"/>
                      <w:szCs w:val="21"/>
                      <w:lang w:val="en-US" w:eastAsia="zh-CN"/>
                    </w:rPr>
                    <w:t>6</w:t>
                  </w:r>
                </w:p>
              </w:tc>
              <w:tc>
                <w:tcPr>
                  <w:tcW w:w="1153" w:type="dxa"/>
                  <w:vMerge w:val="continue"/>
                  <w:vAlign w:val="center"/>
                </w:tcPr>
                <w:p>
                  <w:pPr>
                    <w:keepNext w:val="0"/>
                    <w:keepLines w:val="0"/>
                    <w:suppressLineNumbers w:val="0"/>
                    <w:spacing w:before="0" w:beforeAutospacing="0" w:after="0" w:afterAutospacing="0"/>
                    <w:ind w:left="0" w:right="0"/>
                    <w:jc w:val="center"/>
                  </w:pPr>
                </w:p>
              </w:tc>
              <w:tc>
                <w:tcPr>
                  <w:tcW w:w="973" w:type="dxa"/>
                  <w:vMerge w:val="continue"/>
                  <w:vAlign w:val="center"/>
                </w:tcPr>
                <w:p>
                  <w:pPr>
                    <w:keepNext w:val="0"/>
                    <w:keepLines w:val="0"/>
                    <w:suppressLineNumbers w:val="0"/>
                    <w:spacing w:before="0" w:beforeAutospacing="0" w:after="0" w:afterAutospacing="0"/>
                    <w:ind w:left="0" w:right="0"/>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01" w:hRule="atLeast"/>
                <w:jc w:val="center"/>
              </w:trPr>
              <w:tc>
                <w:tcPr>
                  <w:tcW w:w="938" w:type="dxa"/>
                  <w:vMerge w:val="continue"/>
                  <w:tcBorders>
                    <w:bottom w:val="single" w:color="auto" w:sz="12" w:space="0"/>
                  </w:tcBorders>
                  <w:vAlign w:val="center"/>
                </w:tcPr>
                <w:p>
                  <w:pPr>
                    <w:keepNext w:val="0"/>
                    <w:keepLines w:val="0"/>
                    <w:suppressLineNumbers w:val="0"/>
                    <w:spacing w:before="0" w:beforeAutospacing="0" w:after="0" w:afterAutospacing="0"/>
                    <w:ind w:left="0" w:right="0"/>
                    <w:jc w:val="center"/>
                  </w:pPr>
                </w:p>
              </w:tc>
              <w:tc>
                <w:tcPr>
                  <w:tcW w:w="948" w:type="dxa"/>
                  <w:vAlign w:val="center"/>
                </w:tcPr>
                <w:p>
                  <w:pPr>
                    <w:keepNext w:val="0"/>
                    <w:keepLines w:val="0"/>
                    <w:suppressLineNumbers w:val="0"/>
                    <w:spacing w:before="0" w:beforeAutospacing="0" w:after="0" w:afterAutospacing="0"/>
                    <w:ind w:left="0" w:right="0"/>
                    <w:jc w:val="center"/>
                    <w:rPr>
                      <w:szCs w:val="21"/>
                    </w:rPr>
                  </w:pPr>
                  <w:r>
                    <w:rPr>
                      <w:rFonts w:hint="eastAsia"/>
                      <w:szCs w:val="21"/>
                    </w:rPr>
                    <w:t>焊接</w:t>
                  </w:r>
                </w:p>
              </w:tc>
              <w:tc>
                <w:tcPr>
                  <w:tcW w:w="829" w:type="dxa"/>
                  <w:vMerge w:val="continue"/>
                  <w:vAlign w:val="center"/>
                </w:tcPr>
                <w:p>
                  <w:pPr>
                    <w:keepNext w:val="0"/>
                    <w:keepLines w:val="0"/>
                    <w:suppressLineNumbers w:val="0"/>
                    <w:spacing w:before="0" w:beforeAutospacing="0" w:after="0" w:afterAutospacing="0"/>
                    <w:ind w:left="0" w:right="0"/>
                    <w:jc w:val="center"/>
                  </w:pPr>
                </w:p>
              </w:tc>
              <w:tc>
                <w:tcPr>
                  <w:tcW w:w="1276" w:type="dxa"/>
                  <w:vAlign w:val="center"/>
                </w:tcPr>
                <w:p>
                  <w:pPr>
                    <w:keepNext w:val="0"/>
                    <w:keepLines w:val="0"/>
                    <w:suppressLineNumbers w:val="0"/>
                    <w:spacing w:before="0" w:beforeAutospacing="0" w:after="0" w:afterAutospacing="0"/>
                    <w:ind w:left="0" w:right="0"/>
                    <w:jc w:val="center"/>
                  </w:pPr>
                  <w:r>
                    <w:rPr>
                      <w:rFonts w:hint="eastAsia"/>
                    </w:rPr>
                    <w:t>颗粒物</w:t>
                  </w:r>
                </w:p>
              </w:tc>
              <w:tc>
                <w:tcPr>
                  <w:tcW w:w="1104"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0.00156</w:t>
                  </w:r>
                </w:p>
              </w:tc>
              <w:tc>
                <w:tcPr>
                  <w:tcW w:w="1056" w:type="dxa"/>
                  <w:vAlign w:val="center"/>
                </w:tcPr>
                <w:p>
                  <w:pPr>
                    <w:keepNext w:val="0"/>
                    <w:keepLines w:val="0"/>
                    <w:suppressLineNumbers w:val="0"/>
                    <w:spacing w:before="0" w:beforeAutospacing="0" w:after="0" w:afterAutospacing="0"/>
                    <w:ind w:left="0" w:right="0"/>
                    <w:jc w:val="center"/>
                    <w:rPr>
                      <w:rFonts w:hint="default" w:eastAsia="宋体"/>
                      <w:szCs w:val="21"/>
                      <w:lang w:val="en-US" w:eastAsia="zh-CN"/>
                    </w:rPr>
                  </w:pPr>
                  <w:r>
                    <w:rPr>
                      <w:rFonts w:hint="eastAsia"/>
                      <w:szCs w:val="21"/>
                    </w:rPr>
                    <w:t>0.000</w:t>
                  </w:r>
                  <w:r>
                    <w:rPr>
                      <w:rFonts w:hint="eastAsia"/>
                      <w:szCs w:val="21"/>
                      <w:lang w:val="en-US" w:eastAsia="zh-CN"/>
                    </w:rPr>
                    <w:t>52</w:t>
                  </w:r>
                </w:p>
              </w:tc>
              <w:tc>
                <w:tcPr>
                  <w:tcW w:w="1153" w:type="dxa"/>
                  <w:vMerge w:val="continue"/>
                  <w:vAlign w:val="center"/>
                </w:tcPr>
                <w:p>
                  <w:pPr>
                    <w:keepNext w:val="0"/>
                    <w:keepLines w:val="0"/>
                    <w:suppressLineNumbers w:val="0"/>
                    <w:spacing w:before="0" w:beforeAutospacing="0" w:after="0" w:afterAutospacing="0"/>
                    <w:ind w:left="0" w:right="0"/>
                    <w:jc w:val="center"/>
                  </w:pPr>
                </w:p>
              </w:tc>
              <w:tc>
                <w:tcPr>
                  <w:tcW w:w="973" w:type="dxa"/>
                  <w:vMerge w:val="continue"/>
                  <w:vAlign w:val="center"/>
                </w:tcPr>
                <w:p>
                  <w:pPr>
                    <w:keepNext w:val="0"/>
                    <w:keepLines w:val="0"/>
                    <w:suppressLineNumbers w:val="0"/>
                    <w:spacing w:before="0" w:beforeAutospacing="0" w:after="0" w:afterAutospacing="0"/>
                    <w:ind w:left="0" w:right="0"/>
                    <w:jc w:val="center"/>
                  </w:pPr>
                </w:p>
              </w:tc>
            </w:tr>
          </w:tbl>
          <w:p>
            <w:pPr>
              <w:keepNext w:val="0"/>
              <w:keepLines w:val="0"/>
              <w:suppressLineNumbers w:val="0"/>
              <w:adjustRightInd w:val="0"/>
              <w:snapToGrid w:val="0"/>
              <w:spacing w:before="0" w:beforeAutospacing="0" w:after="0" w:afterAutospacing="0" w:line="360" w:lineRule="auto"/>
              <w:ind w:left="0" w:right="0" w:firstLine="482" w:firstLineChars="200"/>
              <w:rPr>
                <w:b/>
                <w:bCs/>
                <w:sz w:val="24"/>
              </w:rPr>
            </w:pPr>
            <w:r>
              <w:rPr>
                <w:rFonts w:hint="eastAsia"/>
                <w:b/>
                <w:bCs/>
                <w:sz w:val="24"/>
              </w:rPr>
              <w:t>（2）</w:t>
            </w:r>
            <w:r>
              <w:rPr>
                <w:b/>
                <w:bCs/>
                <w:sz w:val="24"/>
              </w:rPr>
              <w:t>防治措施</w:t>
            </w:r>
            <w:r>
              <w:rPr>
                <w:rFonts w:hint="eastAsia"/>
                <w:b/>
                <w:bCs/>
                <w:sz w:val="24"/>
              </w:rPr>
              <w:t>及污染物排放分析</w:t>
            </w:r>
          </w:p>
          <w:p>
            <w:pPr>
              <w:keepNext w:val="0"/>
              <w:keepLines w:val="0"/>
              <w:suppressLineNumbers w:val="0"/>
              <w:adjustRightInd w:val="0"/>
              <w:snapToGrid w:val="0"/>
              <w:spacing w:before="0" w:beforeAutospacing="0" w:after="0" w:afterAutospacing="0" w:line="360" w:lineRule="auto"/>
              <w:ind w:left="0" w:right="0" w:firstLine="482" w:firstLineChars="200"/>
              <w:jc w:val="left"/>
              <w:rPr>
                <w:b/>
                <w:bCs/>
                <w:sz w:val="24"/>
              </w:rPr>
            </w:pPr>
            <w:r>
              <w:rPr>
                <w:rFonts w:hint="eastAsia"/>
                <w:b/>
                <w:bCs/>
                <w:sz w:val="24"/>
              </w:rPr>
              <w:t>1）</w:t>
            </w:r>
            <w:r>
              <w:rPr>
                <w:b/>
                <w:bCs/>
                <w:sz w:val="24"/>
              </w:rPr>
              <w:t>有组织废气</w:t>
            </w:r>
            <w:r>
              <w:rPr>
                <w:rFonts w:hint="eastAsia"/>
                <w:b/>
                <w:bCs/>
                <w:sz w:val="24"/>
              </w:rPr>
              <w:t>：</w:t>
            </w:r>
          </w:p>
          <w:p>
            <w:pPr>
              <w:pStyle w:val="27"/>
              <w:keepNext w:val="0"/>
              <w:keepLines w:val="0"/>
              <w:suppressLineNumbers w:val="0"/>
              <w:ind w:left="-84" w:firstLine="560"/>
              <w:rPr>
                <w:rFonts w:eastAsiaTheme="minorEastAsia"/>
              </w:rPr>
            </w:pPr>
          </w:p>
          <w:p>
            <w:pPr>
              <w:pStyle w:val="27"/>
              <w:keepNext w:val="0"/>
              <w:keepLines w:val="0"/>
              <w:suppressLineNumbers w:val="0"/>
              <w:ind w:left="-84" w:firstLine="560"/>
              <w:rPr>
                <w:rFonts w:eastAsiaTheme="minorEastAsia"/>
              </w:rPr>
            </w:pPr>
          </w:p>
          <w:p>
            <w:pPr>
              <w:pStyle w:val="27"/>
              <w:keepNext w:val="0"/>
              <w:keepLines w:val="0"/>
              <w:suppressLineNumbers w:val="0"/>
              <w:ind w:left="-84" w:firstLine="560"/>
              <w:rPr>
                <w:rFonts w:eastAsiaTheme="minorEastAsia"/>
              </w:rPr>
            </w:pPr>
          </w:p>
          <w:p>
            <w:pPr>
              <w:pStyle w:val="27"/>
              <w:keepNext w:val="0"/>
              <w:keepLines w:val="0"/>
              <w:suppressLineNumbers w:val="0"/>
              <w:ind w:left="-84" w:firstLine="560"/>
              <w:rPr>
                <w:rFonts w:eastAsiaTheme="minorEastAsia"/>
              </w:rPr>
            </w:pPr>
          </w:p>
          <w:p>
            <w:pPr>
              <w:pStyle w:val="27"/>
              <w:keepNext w:val="0"/>
              <w:keepLines w:val="0"/>
              <w:suppressLineNumbers w:val="0"/>
              <w:ind w:left="-84" w:firstLine="560"/>
              <w:rPr>
                <w:rFonts w:eastAsiaTheme="minorEastAsia"/>
              </w:rPr>
            </w:pPr>
          </w:p>
          <w:p>
            <w:pPr>
              <w:pStyle w:val="27"/>
              <w:keepNext w:val="0"/>
              <w:keepLines w:val="0"/>
              <w:suppressLineNumbers w:val="0"/>
              <w:ind w:left="-84" w:firstLine="560"/>
              <w:rPr>
                <w:rFonts w:eastAsiaTheme="minorEastAsia"/>
              </w:rPr>
            </w:pPr>
          </w:p>
          <w:p>
            <w:pPr>
              <w:keepNext w:val="0"/>
              <w:keepLines w:val="0"/>
              <w:suppressLineNumbers w:val="0"/>
              <w:adjustRightInd w:val="0"/>
              <w:snapToGrid w:val="0"/>
              <w:spacing w:before="0" w:beforeAutospacing="0" w:after="0" w:afterAutospacing="0" w:line="360" w:lineRule="auto"/>
              <w:ind w:left="0" w:right="0"/>
              <w:jc w:val="center"/>
              <w:rPr>
                <w:b/>
                <w:bCs/>
                <w:sz w:val="24"/>
                <w:szCs w:val="22"/>
              </w:rPr>
            </w:pPr>
          </w:p>
          <w:p>
            <w:pPr>
              <w:keepNext w:val="0"/>
              <w:keepLines w:val="0"/>
              <w:suppressLineNumbers w:val="0"/>
              <w:adjustRightInd w:val="0"/>
              <w:snapToGrid w:val="0"/>
              <w:spacing w:before="0" w:beforeAutospacing="0" w:after="0" w:afterAutospacing="0" w:line="360" w:lineRule="auto"/>
              <w:ind w:left="0" w:right="0"/>
              <w:jc w:val="center"/>
              <w:rPr>
                <w:b/>
                <w:bCs/>
                <w:sz w:val="24"/>
                <w:szCs w:val="22"/>
              </w:rPr>
            </w:pPr>
            <w:r>
              <w:rPr>
                <w:rFonts w:eastAsiaTheme="minorEastAsia"/>
              </w:rPr>
              <w:pict>
                <v:group id="_x0000_s2117" o:spid="_x0000_s2117" o:spt="203" style="height:108.2pt;width:409.8pt;" coordorigin="1925,7912" coordsize="8195,2164" editas="canvas">
                  <o:lock v:ext="edit"/>
                  <v:shape id="_x0000_s2118" o:spid="_x0000_s2118" o:spt="75" type="#_x0000_t75" style="position:absolute;left:1925;top:7912;height:2164;width:8195;" filled="f" stroked="f" coordsize="21600,21600">
                    <v:path/>
                    <v:fill on="f" focussize="0,0"/>
                    <v:stroke on="f"/>
                    <v:imagedata o:title=""/>
                    <o:lock v:ext="edit" text="t" aspectratio="t"/>
                  </v:shape>
                  <v:rect id="矩形 14368" o:spid="_x0000_s2119" o:spt="1" style="position:absolute;left:2825;top:8192;height:381;width:997;" filled="f" stroked="f" coordsize="21600,21600">
                    <v:path/>
                    <v:fill on="f" focussize="0,0"/>
                    <v:stroke on="f"/>
                    <v:imagedata o:title=""/>
                    <o:lock v:ext="edit" aspectratio="f"/>
                    <v:textbox>
                      <w:txbxContent>
                        <w:p>
                          <w:pPr>
                            <w:jc w:val="center"/>
                            <w:rPr>
                              <w:rFonts w:ascii="宋体" w:hAnsi="宋体"/>
                            </w:rPr>
                          </w:pPr>
                          <w:r>
                            <w:rPr>
                              <w:rFonts w:hint="eastAsia" w:ascii="宋体" w:hAnsi="宋体"/>
                            </w:rPr>
                            <w:t>颗粒物</w:t>
                          </w:r>
                        </w:p>
                      </w:txbxContent>
                    </v:textbox>
                  </v:rect>
                  <v:rect id="矩形 14361" o:spid="_x0000_s2120" o:spt="1" style="position:absolute;left:2119;top:8325;height:420;width:967;" filled="f" stroked="f" coordsize="21600,21600">
                    <v:path/>
                    <v:fill on="f" focussize="0,0"/>
                    <v:stroke on="f"/>
                    <v:imagedata o:title=""/>
                    <o:lock v:ext="edit" aspectratio="f"/>
                    <v:textbox>
                      <w:txbxContent>
                        <w:p>
                          <w:pPr>
                            <w:jc w:val="center"/>
                            <w:rPr>
                              <w:rFonts w:ascii="宋体" w:hAnsi="宋体"/>
                            </w:rPr>
                          </w:pPr>
                          <w:r>
                            <w:rPr>
                              <w:rFonts w:hint="eastAsia" w:ascii="宋体" w:hAnsi="宋体"/>
                            </w:rPr>
                            <w:t>涂敷</w:t>
                          </w:r>
                        </w:p>
                      </w:txbxContent>
                    </v:textbox>
                  </v:rect>
                  <v:rect id="矩形 14364" o:spid="_x0000_s2121" o:spt="1" style="position:absolute;left:3826;top:8305;height:520;width:2945;" filled="f" stroked="t" coordsize="21600,21600">
                    <v:path/>
                    <v:fill on="f" focussize="0,0"/>
                    <v:stroke color="#000000" joinstyle="miter"/>
                    <v:imagedata o:title=""/>
                    <o:lock v:ext="edit" aspectratio="f"/>
                    <v:textbox>
                      <w:txbxContent>
                        <w:p>
                          <w:pPr>
                            <w:adjustRightInd w:val="0"/>
                            <w:snapToGrid w:val="0"/>
                            <w:rPr>
                              <w:szCs w:val="21"/>
                            </w:rPr>
                          </w:pPr>
                          <w:r>
                            <w:rPr>
                              <w:rFonts w:hint="eastAsia"/>
                              <w:szCs w:val="21"/>
                            </w:rPr>
                            <w:t>旋风分离塔+二级滤芯除尘器</w:t>
                          </w:r>
                        </w:p>
                      </w:txbxContent>
                    </v:textbox>
                  </v:rect>
                  <v:line id="直线 14367" o:spid="_x0000_s2122" o:spt="20" style="position:absolute;left:2958;top:8541;flip:y;height:1;width:864;" filled="f" stroked="t" coordsize="21600,21600">
                    <v:path arrowok="t"/>
                    <v:fill on="f" focussize="0,0"/>
                    <v:stroke color="#000000" endarrow="block"/>
                    <v:imagedata o:title=""/>
                    <o:lock v:ext="edit" aspectratio="f"/>
                  </v:line>
                  <v:rect id="矩形 14489" o:spid="_x0000_s2123" o:spt="1" style="position:absolute;left:8455;top:8729;height:698;width:1684;" filled="f" stroked="f" coordsize="21600,21600">
                    <v:path/>
                    <v:fill on="f" focussize="0,0"/>
                    <v:stroke on="f"/>
                    <v:imagedata o:title=""/>
                    <o:lock v:ext="edit" aspectratio="f"/>
                    <v:textbox>
                      <w:txbxContent>
                        <w:p>
                          <w:pPr>
                            <w:jc w:val="center"/>
                          </w:pPr>
                          <w:r>
                            <w:t>1</w:t>
                          </w:r>
                          <w:r>
                            <w:rPr>
                              <w:rFonts w:hAnsi="宋体"/>
                            </w:rPr>
                            <w:t>根</w:t>
                          </w:r>
                          <w:r>
                            <w:t>15</w:t>
                          </w:r>
                          <w:r>
                            <w:rPr>
                              <w:rFonts w:hAnsi="宋体"/>
                            </w:rPr>
                            <w:t>米高排气筒（</w:t>
                          </w:r>
                          <w:r>
                            <w:rPr>
                              <w:b/>
                            </w:rPr>
                            <w:t>FQ-1</w:t>
                          </w:r>
                          <w:r>
                            <w:rPr>
                              <w:rFonts w:hAnsi="宋体"/>
                            </w:rPr>
                            <w:t>）</w:t>
                          </w:r>
                        </w:p>
                      </w:txbxContent>
                    </v:textbox>
                  </v:rect>
                  <v:rect id="矩形 14368" o:spid="_x0000_s2124" o:spt="1" style="position:absolute;left:3636;top:9193;height:381;width:1403;" filled="f" stroked="f" coordsize="21600,21600">
                    <v:path/>
                    <v:fill on="f" focussize="0,0"/>
                    <v:stroke on="f"/>
                    <v:imagedata o:title=""/>
                    <o:lock v:ext="edit" aspectratio="f"/>
                    <v:textbox>
                      <w:txbxContent>
                        <w:p>
                          <w:pPr>
                            <w:jc w:val="center"/>
                            <w:rPr>
                              <w:rFonts w:ascii="宋体" w:hAnsi="宋体"/>
                            </w:rPr>
                          </w:pPr>
                          <w:r>
                            <w:rPr>
                              <w:rFonts w:hint="eastAsia" w:ascii="宋体" w:hAnsi="宋体"/>
                            </w:rPr>
                            <w:t>非甲烷总烃</w:t>
                          </w:r>
                        </w:p>
                      </w:txbxContent>
                    </v:textbox>
                  </v:rect>
                  <v:rect id="矩形 14364" o:spid="_x0000_s2125" o:spt="1" style="position:absolute;left:4879;top:9312;height:520;width:1375;" filled="f" stroked="t" coordsize="21600,21600">
                    <v:path/>
                    <v:fill on="f" focussize="0,0"/>
                    <v:stroke color="#000000" joinstyle="miter"/>
                    <v:imagedata o:title=""/>
                    <o:lock v:ext="edit" aspectratio="f"/>
                    <v:textbox>
                      <w:txbxContent>
                        <w:p>
                          <w:pPr>
                            <w:adjustRightInd w:val="0"/>
                            <w:snapToGrid w:val="0"/>
                            <w:rPr>
                              <w:szCs w:val="21"/>
                            </w:rPr>
                          </w:pPr>
                          <w:r>
                            <w:rPr>
                              <w:rFonts w:hint="eastAsia"/>
                              <w:szCs w:val="21"/>
                            </w:rPr>
                            <w:t>二级活性炭</w:t>
                          </w:r>
                        </w:p>
                      </w:txbxContent>
                    </v:textbox>
                  </v:rect>
                  <v:line id="直线 14367" o:spid="_x0000_s2126" o:spt="20" style="position:absolute;left:3858;top:9549;flip:y;height:1;width:1017;" filled="f" stroked="t" coordsize="21600,21600">
                    <v:path arrowok="t"/>
                    <v:fill on="f" focussize="0,0"/>
                    <v:stroke color="#000000" endarrow="block"/>
                    <v:imagedata o:title=""/>
                    <o:lock v:ext="edit" aspectratio="f"/>
                  </v:line>
                  <v:line id="直线 14367" o:spid="_x0000_s2127" o:spt="20" style="position:absolute;left:7303;top:9063;height:1;width:1152;" filled="f" stroked="t" coordsize="21600,21600">
                    <v:path arrowok="t"/>
                    <v:fill on="f" focussize="0,0"/>
                    <v:stroke color="#000000" endarrow="block"/>
                    <v:imagedata o:title=""/>
                    <o:lock v:ext="edit" aspectratio="f"/>
                  </v:line>
                  <v:rect id="矩形 14361" o:spid="_x0000_s2128" o:spt="1" style="position:absolute;left:2035;top:9336;height:420;width:1946;" filled="f" stroked="f" coordsize="21600,21600">
                    <v:path/>
                    <v:fill on="f" focussize="0,0"/>
                    <v:stroke on="f"/>
                    <v:imagedata o:title=""/>
                    <o:lock v:ext="edit" aspectratio="f"/>
                    <v:textbox>
                      <w:txbxContent>
                        <w:p>
                          <w:pPr>
                            <w:jc w:val="center"/>
                            <w:rPr>
                              <w:rFonts w:ascii="宋体" w:hAnsi="宋体"/>
                            </w:rPr>
                          </w:pPr>
                          <w:r>
                            <w:rPr>
                              <w:rFonts w:hint="eastAsia" w:ascii="宋体" w:hAnsi="宋体"/>
                            </w:rPr>
                            <w:t>固化、注塑成型</w:t>
                          </w:r>
                        </w:p>
                      </w:txbxContent>
                    </v:textbox>
                  </v:rect>
                  <v:shape id="_x0000_s2129" o:spid="_x0000_s2129" o:spt="32" type="#_x0000_t32" style="position:absolute;left:6771;top:8565;height:1;width:532;" filled="f" stroked="t" coordsize="21600,21600">
                    <v:path arrowok="t"/>
                    <v:fill on="f" focussize="0,0"/>
                    <v:stroke color="#000000"/>
                    <v:imagedata o:title=""/>
                    <o:lock v:ext="edit" aspectratio="f"/>
                  </v:shape>
                  <v:shape id="_x0000_s2130" o:spid="_x0000_s2130" o:spt="32" type="#_x0000_t32" style="position:absolute;left:6255;top:9574;height:2;width:1049;" filled="f" stroked="t" coordsize="21600,21600">
                    <v:path arrowok="t"/>
                    <v:fill on="f" focussize="0,0"/>
                    <v:stroke color="#000000"/>
                    <v:imagedata o:title=""/>
                    <o:lock v:ext="edit" aspectratio="f"/>
                  </v:shape>
                  <v:shape id="_x0000_s2131" o:spid="_x0000_s2131" o:spt="32" type="#_x0000_t32" style="position:absolute;left:7303;top:8566;height:1008;width:1;" filled="f" stroked="t" coordsize="21600,21600">
                    <v:path arrowok="t"/>
                    <v:fill on="f" focussize="0,0"/>
                    <v:stroke color="#000000"/>
                    <v:imagedata o:title=""/>
                    <o:lock v:ext="edit" aspectratio="f"/>
                  </v:shape>
                  <v:rect id="矩形 14368" o:spid="_x0000_s2132" o:spt="1" style="position:absolute;left:7039;top:8729;height:830;width:1561;" filled="f" stroked="f" coordsize="21600,21600">
                    <v:path/>
                    <v:fill on="f" focussize="0,0"/>
                    <v:stroke on="f"/>
                    <v:imagedata o:title=""/>
                    <o:lock v:ext="edit" aspectratio="f"/>
                    <v:textbox>
                      <w:txbxContent>
                        <w:p>
                          <w:pPr>
                            <w:jc w:val="center"/>
                            <w:rPr>
                              <w:szCs w:val="21"/>
                            </w:rPr>
                          </w:pPr>
                          <w:r>
                            <w:rPr>
                              <w:rFonts w:hAnsi="宋体"/>
                              <w:szCs w:val="21"/>
                            </w:rPr>
                            <w:t>风机风量</w:t>
                          </w:r>
                        </w:p>
                        <w:p>
                          <w:pPr>
                            <w:pStyle w:val="27"/>
                            <w:spacing w:before="0" w:beforeAutospacing="0" w:after="0" w:afterAutospacing="0" w:line="240" w:lineRule="auto"/>
                            <w:ind w:left="0" w:leftChars="0" w:right="0" w:firstLine="0" w:firstLineChars="0"/>
                            <w:jc w:val="center"/>
                            <w:rPr>
                              <w:rFonts w:ascii="Times New Roman" w:hAnsi="Times New Roman" w:cs="Times New Roman" w:eastAsiaTheme="minorEastAsia"/>
                              <w:sz w:val="21"/>
                              <w:szCs w:val="21"/>
                            </w:rPr>
                          </w:pPr>
                          <w:r>
                            <w:rPr>
                              <w:rFonts w:hint="eastAsia" w:ascii="Times New Roman" w:hAnsi="Times New Roman" w:cs="Times New Roman" w:eastAsiaTheme="minorEastAsia"/>
                              <w:sz w:val="21"/>
                              <w:szCs w:val="21"/>
                              <w:lang w:val="en-US" w:eastAsia="zh-CN"/>
                            </w:rPr>
                            <w:t>35</w:t>
                          </w:r>
                          <w:r>
                            <w:rPr>
                              <w:rFonts w:ascii="Times New Roman" w:hAnsi="Times New Roman" w:cs="Times New Roman" w:eastAsiaTheme="minorEastAsia"/>
                              <w:sz w:val="21"/>
                              <w:szCs w:val="21"/>
                            </w:rPr>
                            <w:t>000m</w:t>
                          </w:r>
                          <w:r>
                            <w:rPr>
                              <w:rFonts w:ascii="Times New Roman" w:hAnsi="Times New Roman" w:cs="Times New Roman" w:eastAsiaTheme="minorEastAsia"/>
                              <w:sz w:val="21"/>
                              <w:szCs w:val="21"/>
                              <w:vertAlign w:val="superscript"/>
                            </w:rPr>
                            <w:t>3</w:t>
                          </w:r>
                          <w:r>
                            <w:rPr>
                              <w:rFonts w:ascii="Times New Roman" w:hAnsi="Times New Roman" w:cs="Times New Roman" w:eastAsiaTheme="minorEastAsia"/>
                              <w:sz w:val="21"/>
                              <w:szCs w:val="21"/>
                            </w:rPr>
                            <w:t>/h</w:t>
                          </w:r>
                        </w:p>
                      </w:txbxContent>
                    </v:textbox>
                  </v:rect>
                  <w10:wrap type="none"/>
                  <w10:anchorlock/>
                </v:group>
              </w:pict>
            </w:r>
          </w:p>
          <w:p>
            <w:pPr>
              <w:keepNext w:val="0"/>
              <w:keepLines w:val="0"/>
              <w:suppressLineNumbers w:val="0"/>
              <w:adjustRightInd w:val="0"/>
              <w:snapToGrid w:val="0"/>
              <w:spacing w:before="0" w:beforeAutospacing="0" w:after="0" w:afterAutospacing="0"/>
              <w:ind w:left="0" w:right="0"/>
              <w:jc w:val="center"/>
              <w:rPr>
                <w:b/>
                <w:bCs/>
                <w:sz w:val="24"/>
                <w:szCs w:val="22"/>
              </w:rPr>
            </w:pPr>
            <w:r>
              <w:rPr>
                <w:rFonts w:hint="eastAsia"/>
                <w:b/>
                <w:bCs/>
                <w:sz w:val="24"/>
                <w:szCs w:val="22"/>
              </w:rPr>
              <w:t>图4-1</w:t>
            </w:r>
            <w:r>
              <w:rPr>
                <w:b/>
                <w:bCs/>
                <w:sz w:val="24"/>
                <w:szCs w:val="22"/>
              </w:rPr>
              <w:t>项目废气治</w:t>
            </w:r>
            <w:r>
              <w:rPr>
                <w:rFonts w:hint="eastAsia"/>
                <w:b/>
                <w:bCs/>
                <w:sz w:val="24"/>
                <w:szCs w:val="22"/>
              </w:rPr>
              <w:t>理措施示意图</w:t>
            </w:r>
          </w:p>
          <w:p>
            <w:pPr>
              <w:keepNext w:val="0"/>
              <w:keepLines w:val="0"/>
              <w:suppressLineNumbers w:val="0"/>
              <w:adjustRightInd w:val="0"/>
              <w:snapToGrid w:val="0"/>
              <w:spacing w:before="0" w:beforeAutospacing="0" w:after="0" w:afterAutospacing="0" w:line="360" w:lineRule="auto"/>
              <w:ind w:left="0" w:right="0" w:firstLine="480" w:firstLineChars="200"/>
              <w:jc w:val="left"/>
              <w:rPr>
                <w:sz w:val="24"/>
              </w:rPr>
            </w:pPr>
            <w:r>
              <w:rPr>
                <w:rFonts w:hint="eastAsia"/>
                <w:sz w:val="24"/>
              </w:rPr>
              <w:t>本项目涂敷过程中产生的粉尘经集气罩（共设30个，位于涂敷机密闭空间内）收集后进入旋风分离塔+二级滤芯除尘器处理后通过一根15米高排气筒（FQ-1）排放，废气处理装置对废气的捕集效率为98%，处理效率为98%；固化工段产生的非甲烷总烃由集气罩（共设15个，位于烘箱上方）收集后经二级活性炭处理后和涂敷废气一并通过1根15米高排气筒（FQ-1）排放，废气处理装置对废气的捕集效率为90%，处理效率为80%；注塑成型过程中产生的非甲烷总烃经集气罩（共设5个，位于注塑机上方）收集后进入二级活性炭吸附装置处理，最后通过一根15米高排气筒（FQ-1）排放</w:t>
            </w:r>
            <w:r>
              <w:rPr>
                <w:sz w:val="24"/>
              </w:rPr>
              <w:t>，</w:t>
            </w:r>
            <w:r>
              <w:rPr>
                <w:rFonts w:hint="eastAsia"/>
                <w:sz w:val="24"/>
              </w:rPr>
              <w:t>废气处理装置对废气的捕集效率为90%，处理效率为80%</w:t>
            </w:r>
            <w:r>
              <w:rPr>
                <w:rFonts w:hint="eastAsia"/>
                <w:sz w:val="24"/>
                <w:lang w:eastAsia="zh-CN"/>
              </w:rPr>
              <w:t>；</w:t>
            </w:r>
            <w:r>
              <w:rPr>
                <w:rFonts w:hint="eastAsia"/>
                <w:sz w:val="24"/>
              </w:rPr>
              <w:t>食堂油烟经油烟净化处理装置处理后通过一根8米高排气筒（FQ-2）排放</w:t>
            </w:r>
            <w:r>
              <w:rPr>
                <w:rFonts w:hint="eastAsia"/>
                <w:sz w:val="24"/>
                <w:lang w:eastAsia="zh-CN"/>
              </w:rPr>
              <w:t>；焊接烟尘经移动式滤芯除尘器处理后无组织排放</w:t>
            </w:r>
            <w:r>
              <w:rPr>
                <w:rFonts w:hint="eastAsia"/>
                <w:sz w:val="24"/>
              </w:rPr>
              <w:t>。</w:t>
            </w:r>
          </w:p>
          <w:p>
            <w:pPr>
              <w:keepNext w:val="0"/>
              <w:keepLines w:val="0"/>
              <w:suppressLineNumbers w:val="0"/>
              <w:adjustRightInd w:val="0"/>
              <w:snapToGrid w:val="0"/>
              <w:spacing w:before="0" w:beforeAutospacing="0" w:after="0" w:afterAutospacing="0"/>
              <w:ind w:left="0" w:right="0" w:firstLine="482" w:firstLineChars="200"/>
              <w:jc w:val="center"/>
              <w:rPr>
                <w:bCs/>
                <w:sz w:val="24"/>
              </w:rPr>
            </w:pPr>
            <w:r>
              <w:rPr>
                <w:b/>
                <w:color w:val="000000"/>
                <w:sz w:val="24"/>
              </w:rPr>
              <w:t>表</w:t>
            </w:r>
            <w:r>
              <w:rPr>
                <w:rFonts w:hint="eastAsia"/>
                <w:b/>
                <w:color w:val="000000"/>
                <w:sz w:val="24"/>
              </w:rPr>
              <w:t xml:space="preserve">4-3 </w:t>
            </w:r>
            <w:r>
              <w:rPr>
                <w:b/>
                <w:color w:val="000000"/>
                <w:sz w:val="24"/>
              </w:rPr>
              <w:t>废气处理效果</w:t>
            </w:r>
            <w:r>
              <w:rPr>
                <w:rFonts w:hint="eastAsia"/>
                <w:b/>
                <w:color w:val="000000"/>
                <w:sz w:val="24"/>
              </w:rPr>
              <w:t>表</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5"/>
              <w:gridCol w:w="10"/>
              <w:gridCol w:w="2182"/>
              <w:gridCol w:w="38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666" w:type="pct"/>
                  <w:gridSpan w:val="3"/>
                  <w:tcBorders>
                    <w:top w:val="single" w:color="auto" w:sz="12"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b/>
                      <w:szCs w:val="21"/>
                    </w:rPr>
                  </w:pPr>
                  <w:r>
                    <w:rPr>
                      <w:b/>
                      <w:szCs w:val="21"/>
                    </w:rPr>
                    <w:t>处理方式</w:t>
                  </w:r>
                </w:p>
              </w:tc>
              <w:tc>
                <w:tcPr>
                  <w:tcW w:w="2334" w:type="pct"/>
                  <w:tcBorders>
                    <w:top w:val="single" w:color="auto" w:sz="12" w:space="0"/>
                    <w:left w:val="nil"/>
                    <w:bottom w:val="single" w:color="auto" w:sz="4" w:space="0"/>
                    <w:right w:val="nil"/>
                  </w:tcBorders>
                </w:tcPr>
                <w:p>
                  <w:pPr>
                    <w:keepNext w:val="0"/>
                    <w:keepLines w:val="0"/>
                    <w:suppressLineNumbers w:val="0"/>
                    <w:spacing w:before="0" w:beforeAutospacing="0" w:after="0" w:afterAutospacing="0"/>
                    <w:ind w:left="0" w:right="0"/>
                    <w:jc w:val="center"/>
                    <w:rPr>
                      <w:b/>
                      <w:szCs w:val="21"/>
                    </w:rPr>
                  </w:pPr>
                  <w:r>
                    <w:rPr>
                      <w:rFonts w:hint="eastAsia"/>
                      <w:b/>
                      <w:szCs w:val="21"/>
                    </w:rPr>
                    <w:t>颗粒物</w:t>
                  </w:r>
                  <w:r>
                    <w:rPr>
                      <w:b/>
                      <w:szCs w:val="21"/>
                    </w:rPr>
                    <w:t>（FQ-1</w:t>
                  </w:r>
                  <w:r>
                    <w:rPr>
                      <w:rFonts w:ascii="宋体" w:hAnsi="宋体"/>
                      <w:b/>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25" w:type="pct"/>
                  <w:vMerge w:val="restart"/>
                  <w:tcBorders>
                    <w:top w:val="single" w:color="auto" w:sz="4" w:space="0"/>
                    <w:left w:val="nil"/>
                    <w:right w:val="single" w:color="auto" w:sz="4" w:space="0"/>
                  </w:tcBorders>
                  <w:vAlign w:val="center"/>
                </w:tcPr>
                <w:p>
                  <w:pPr>
                    <w:keepNext w:val="0"/>
                    <w:keepLines w:val="0"/>
                    <w:suppressLineNumbers w:val="0"/>
                    <w:spacing w:before="0" w:beforeAutospacing="0" w:after="0" w:afterAutospacing="0"/>
                    <w:ind w:left="0" w:right="0"/>
                    <w:jc w:val="center"/>
                    <w:rPr>
                      <w:szCs w:val="21"/>
                    </w:rPr>
                  </w:pPr>
                  <w:r>
                    <w:rPr>
                      <w:rFonts w:hint="eastAsia"/>
                      <w:szCs w:val="21"/>
                    </w:rPr>
                    <w:t>旋风分离塔</w:t>
                  </w:r>
                </w:p>
              </w:tc>
              <w:tc>
                <w:tcPr>
                  <w:tcW w:w="1341" w:type="pct"/>
                  <w:gridSpan w:val="2"/>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szCs w:val="21"/>
                    </w:rPr>
                  </w:pPr>
                  <w:r>
                    <w:rPr>
                      <w:szCs w:val="21"/>
                    </w:rPr>
                    <w:t>进口（</w:t>
                  </w:r>
                  <w:r>
                    <w:rPr>
                      <w:rFonts w:hint="eastAsia"/>
                      <w:szCs w:val="21"/>
                    </w:rPr>
                    <w:t>mg/m</w:t>
                  </w:r>
                  <w:r>
                    <w:rPr>
                      <w:rFonts w:hint="eastAsia"/>
                      <w:szCs w:val="21"/>
                      <w:vertAlign w:val="superscript"/>
                    </w:rPr>
                    <w:t>3</w:t>
                  </w:r>
                  <w:r>
                    <w:rPr>
                      <w:szCs w:val="21"/>
                    </w:rPr>
                    <w:t>）</w:t>
                  </w:r>
                </w:p>
              </w:tc>
              <w:tc>
                <w:tcPr>
                  <w:tcW w:w="2334" w:type="pct"/>
                  <w:tcBorders>
                    <w:top w:val="single" w:color="auto" w:sz="4" w:space="0"/>
                    <w:left w:val="nil"/>
                    <w:bottom w:val="single" w:color="auto" w:sz="4" w:space="0"/>
                    <w:right w:val="nil"/>
                  </w:tcBorders>
                </w:tcPr>
                <w:p>
                  <w:pPr>
                    <w:keepNext w:val="0"/>
                    <w:keepLines w:val="0"/>
                    <w:suppressLineNumbers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46.57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25" w:type="pct"/>
                  <w:vMerge w:val="continue"/>
                  <w:tcBorders>
                    <w:left w:val="nil"/>
                    <w:right w:val="single" w:color="auto" w:sz="4" w:space="0"/>
                  </w:tcBorders>
                  <w:vAlign w:val="center"/>
                </w:tcPr>
                <w:p>
                  <w:pPr>
                    <w:keepNext w:val="0"/>
                    <w:keepLines w:val="0"/>
                    <w:suppressLineNumbers w:val="0"/>
                    <w:spacing w:before="0" w:beforeAutospacing="0" w:after="0" w:afterAutospacing="0"/>
                    <w:ind w:left="0" w:right="0"/>
                    <w:jc w:val="center"/>
                    <w:rPr>
                      <w:szCs w:val="21"/>
                    </w:rPr>
                  </w:pPr>
                </w:p>
              </w:tc>
              <w:tc>
                <w:tcPr>
                  <w:tcW w:w="1341" w:type="pct"/>
                  <w:gridSpan w:val="2"/>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szCs w:val="21"/>
                    </w:rPr>
                  </w:pPr>
                  <w:r>
                    <w:rPr>
                      <w:szCs w:val="21"/>
                    </w:rPr>
                    <w:t>出口（</w:t>
                  </w:r>
                  <w:r>
                    <w:rPr>
                      <w:rFonts w:hint="eastAsia"/>
                      <w:szCs w:val="21"/>
                    </w:rPr>
                    <w:t>mg/m</w:t>
                  </w:r>
                  <w:r>
                    <w:rPr>
                      <w:rFonts w:hint="eastAsia"/>
                      <w:szCs w:val="21"/>
                      <w:vertAlign w:val="superscript"/>
                    </w:rPr>
                    <w:t>3</w:t>
                  </w:r>
                  <w:r>
                    <w:rPr>
                      <w:szCs w:val="21"/>
                    </w:rPr>
                    <w:t>）</w:t>
                  </w:r>
                </w:p>
              </w:tc>
              <w:tc>
                <w:tcPr>
                  <w:tcW w:w="2334" w:type="pct"/>
                  <w:tcBorders>
                    <w:top w:val="single" w:color="auto" w:sz="4" w:space="0"/>
                    <w:left w:val="nil"/>
                    <w:bottom w:val="single" w:color="auto" w:sz="4" w:space="0"/>
                    <w:right w:val="nil"/>
                  </w:tcBorders>
                </w:tcPr>
                <w:p>
                  <w:pPr>
                    <w:keepNext w:val="0"/>
                    <w:keepLines w:val="0"/>
                    <w:suppressLineNumbers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23.285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25" w:type="pct"/>
                  <w:vMerge w:val="continue"/>
                  <w:tcBorders>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szCs w:val="21"/>
                    </w:rPr>
                  </w:pPr>
                </w:p>
              </w:tc>
              <w:tc>
                <w:tcPr>
                  <w:tcW w:w="1341" w:type="pct"/>
                  <w:gridSpan w:val="2"/>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eastAsia="宋体"/>
                      <w:szCs w:val="21"/>
                      <w:lang w:eastAsia="zh-CN"/>
                    </w:rPr>
                  </w:pPr>
                  <w:r>
                    <w:rPr>
                      <w:szCs w:val="21"/>
                    </w:rPr>
                    <w:t>去除率</w:t>
                  </w:r>
                  <w:r>
                    <w:rPr>
                      <w:rFonts w:hint="eastAsia"/>
                      <w:szCs w:val="21"/>
                      <w:lang w:eastAsia="zh-CN"/>
                    </w:rPr>
                    <w:t>（</w:t>
                  </w:r>
                  <w:r>
                    <w:rPr>
                      <w:szCs w:val="21"/>
                    </w:rPr>
                    <w:t>%</w:t>
                  </w:r>
                  <w:r>
                    <w:rPr>
                      <w:rFonts w:hint="eastAsia"/>
                      <w:szCs w:val="21"/>
                      <w:lang w:eastAsia="zh-CN"/>
                    </w:rPr>
                    <w:t>）</w:t>
                  </w:r>
                </w:p>
              </w:tc>
              <w:tc>
                <w:tcPr>
                  <w:tcW w:w="2334" w:type="pct"/>
                  <w:tcBorders>
                    <w:top w:val="single" w:color="auto" w:sz="4" w:space="0"/>
                    <w:left w:val="nil"/>
                    <w:bottom w:val="single" w:color="auto" w:sz="4" w:space="0"/>
                    <w:right w:val="nil"/>
                  </w:tcBorders>
                </w:tcPr>
                <w:p>
                  <w:pPr>
                    <w:keepNext w:val="0"/>
                    <w:keepLines w:val="0"/>
                    <w:suppressLineNumbers w:val="0"/>
                    <w:spacing w:before="0" w:beforeAutospacing="0" w:after="0" w:afterAutospacing="0"/>
                    <w:ind w:left="0" w:right="0"/>
                    <w:jc w:val="center"/>
                    <w:rPr>
                      <w:szCs w:val="21"/>
                    </w:rPr>
                  </w:pPr>
                  <w:r>
                    <w:rPr>
                      <w:rFonts w:hint="eastAsia"/>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25" w:type="pct"/>
                  <w:vMerge w:val="restart"/>
                  <w:tcBorders>
                    <w:left w:val="nil"/>
                    <w:right w:val="single" w:color="auto" w:sz="4" w:space="0"/>
                  </w:tcBorders>
                  <w:vAlign w:val="center"/>
                </w:tcPr>
                <w:p>
                  <w:pPr>
                    <w:keepNext w:val="0"/>
                    <w:keepLines w:val="0"/>
                    <w:suppressLineNumbers w:val="0"/>
                    <w:spacing w:before="0" w:beforeAutospacing="0" w:after="0" w:afterAutospacing="0"/>
                    <w:ind w:left="0" w:right="0"/>
                    <w:jc w:val="center"/>
                    <w:rPr>
                      <w:szCs w:val="21"/>
                    </w:rPr>
                  </w:pPr>
                  <w:r>
                    <w:rPr>
                      <w:rFonts w:hint="eastAsia"/>
                      <w:szCs w:val="21"/>
                    </w:rPr>
                    <w:t>滤芯除尘器</w:t>
                  </w:r>
                </w:p>
              </w:tc>
              <w:tc>
                <w:tcPr>
                  <w:tcW w:w="1341" w:type="pct"/>
                  <w:gridSpan w:val="2"/>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szCs w:val="21"/>
                    </w:rPr>
                  </w:pPr>
                  <w:r>
                    <w:rPr>
                      <w:szCs w:val="21"/>
                    </w:rPr>
                    <w:t>进口（</w:t>
                  </w:r>
                  <w:r>
                    <w:rPr>
                      <w:rFonts w:hint="eastAsia"/>
                      <w:szCs w:val="21"/>
                    </w:rPr>
                    <w:t>mg/m</w:t>
                  </w:r>
                  <w:r>
                    <w:rPr>
                      <w:rFonts w:hint="eastAsia"/>
                      <w:szCs w:val="21"/>
                      <w:vertAlign w:val="superscript"/>
                    </w:rPr>
                    <w:t>3</w:t>
                  </w:r>
                  <w:r>
                    <w:rPr>
                      <w:szCs w:val="21"/>
                    </w:rPr>
                    <w:t>）</w:t>
                  </w:r>
                </w:p>
              </w:tc>
              <w:tc>
                <w:tcPr>
                  <w:tcW w:w="2334" w:type="pct"/>
                  <w:tcBorders>
                    <w:top w:val="single" w:color="auto" w:sz="4" w:space="0"/>
                    <w:left w:val="nil"/>
                    <w:bottom w:val="single" w:color="auto" w:sz="4" w:space="0"/>
                    <w:right w:val="nil"/>
                  </w:tcBorders>
                </w:tcPr>
                <w:p>
                  <w:pPr>
                    <w:keepNext w:val="0"/>
                    <w:keepLines w:val="0"/>
                    <w:suppressLineNumbers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23.285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25" w:type="pct"/>
                  <w:vMerge w:val="continue"/>
                  <w:tcBorders>
                    <w:left w:val="nil"/>
                    <w:right w:val="single" w:color="auto" w:sz="4" w:space="0"/>
                  </w:tcBorders>
                  <w:vAlign w:val="center"/>
                </w:tcPr>
                <w:p>
                  <w:pPr>
                    <w:keepNext w:val="0"/>
                    <w:keepLines w:val="0"/>
                    <w:suppressLineNumbers w:val="0"/>
                    <w:spacing w:before="0" w:beforeAutospacing="0" w:after="0" w:afterAutospacing="0"/>
                    <w:ind w:left="0" w:right="0"/>
                    <w:jc w:val="center"/>
                    <w:rPr>
                      <w:szCs w:val="21"/>
                    </w:rPr>
                  </w:pPr>
                </w:p>
              </w:tc>
              <w:tc>
                <w:tcPr>
                  <w:tcW w:w="1341" w:type="pct"/>
                  <w:gridSpan w:val="2"/>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szCs w:val="21"/>
                    </w:rPr>
                  </w:pPr>
                  <w:r>
                    <w:rPr>
                      <w:szCs w:val="21"/>
                    </w:rPr>
                    <w:t>出口（</w:t>
                  </w:r>
                  <w:r>
                    <w:rPr>
                      <w:rFonts w:hint="eastAsia"/>
                      <w:szCs w:val="21"/>
                    </w:rPr>
                    <w:t>mg/m</w:t>
                  </w:r>
                  <w:r>
                    <w:rPr>
                      <w:rFonts w:hint="eastAsia"/>
                      <w:szCs w:val="21"/>
                      <w:vertAlign w:val="superscript"/>
                    </w:rPr>
                    <w:t>3</w:t>
                  </w:r>
                  <w:r>
                    <w:rPr>
                      <w:szCs w:val="21"/>
                    </w:rPr>
                    <w:t>）</w:t>
                  </w:r>
                </w:p>
              </w:tc>
              <w:tc>
                <w:tcPr>
                  <w:tcW w:w="2334" w:type="pct"/>
                  <w:tcBorders>
                    <w:top w:val="single" w:color="auto" w:sz="4" w:space="0"/>
                    <w:left w:val="nil"/>
                    <w:bottom w:val="single" w:color="auto" w:sz="4" w:space="0"/>
                    <w:right w:val="nil"/>
                  </w:tcBorders>
                </w:tcPr>
                <w:p>
                  <w:pPr>
                    <w:keepNext w:val="0"/>
                    <w:keepLines w:val="0"/>
                    <w:suppressLineNumbers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4.657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25" w:type="pct"/>
                  <w:vMerge w:val="continue"/>
                  <w:tcBorders>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szCs w:val="21"/>
                    </w:rPr>
                  </w:pPr>
                </w:p>
              </w:tc>
              <w:tc>
                <w:tcPr>
                  <w:tcW w:w="1341" w:type="pct"/>
                  <w:gridSpan w:val="2"/>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eastAsia="宋体"/>
                      <w:szCs w:val="21"/>
                      <w:lang w:eastAsia="zh-CN"/>
                    </w:rPr>
                  </w:pPr>
                  <w:r>
                    <w:rPr>
                      <w:szCs w:val="21"/>
                    </w:rPr>
                    <w:t>去除率</w:t>
                  </w:r>
                  <w:r>
                    <w:rPr>
                      <w:rFonts w:hint="eastAsia"/>
                      <w:szCs w:val="21"/>
                      <w:lang w:eastAsia="zh-CN"/>
                    </w:rPr>
                    <w:t>（</w:t>
                  </w:r>
                  <w:r>
                    <w:rPr>
                      <w:szCs w:val="21"/>
                    </w:rPr>
                    <w:t>%</w:t>
                  </w:r>
                  <w:r>
                    <w:rPr>
                      <w:rFonts w:hint="eastAsia"/>
                      <w:szCs w:val="21"/>
                      <w:lang w:eastAsia="zh-CN"/>
                    </w:rPr>
                    <w:t>）</w:t>
                  </w:r>
                </w:p>
              </w:tc>
              <w:tc>
                <w:tcPr>
                  <w:tcW w:w="2334" w:type="pct"/>
                  <w:tcBorders>
                    <w:top w:val="single" w:color="auto" w:sz="4" w:space="0"/>
                    <w:left w:val="nil"/>
                    <w:bottom w:val="single" w:color="auto" w:sz="4" w:space="0"/>
                    <w:right w:val="nil"/>
                  </w:tcBorders>
                </w:tcPr>
                <w:p>
                  <w:pPr>
                    <w:keepNext w:val="0"/>
                    <w:keepLines w:val="0"/>
                    <w:suppressLineNumbers w:val="0"/>
                    <w:spacing w:before="0" w:beforeAutospacing="0" w:after="0" w:afterAutospacing="0"/>
                    <w:ind w:left="0" w:right="0"/>
                    <w:jc w:val="center"/>
                    <w:rPr>
                      <w:szCs w:val="21"/>
                    </w:rPr>
                  </w:pPr>
                  <w:r>
                    <w:rPr>
                      <w:rFonts w:hint="eastAsia"/>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25" w:type="pct"/>
                  <w:vMerge w:val="restart"/>
                  <w:tcBorders>
                    <w:left w:val="nil"/>
                    <w:right w:val="single" w:color="auto" w:sz="4" w:space="0"/>
                  </w:tcBorders>
                  <w:vAlign w:val="center"/>
                </w:tcPr>
                <w:p>
                  <w:pPr>
                    <w:keepNext w:val="0"/>
                    <w:keepLines w:val="0"/>
                    <w:suppressLineNumbers w:val="0"/>
                    <w:spacing w:before="0" w:beforeAutospacing="0" w:after="0" w:afterAutospacing="0"/>
                    <w:ind w:left="0" w:right="0"/>
                    <w:jc w:val="center"/>
                    <w:rPr>
                      <w:szCs w:val="21"/>
                    </w:rPr>
                  </w:pPr>
                  <w:r>
                    <w:rPr>
                      <w:rFonts w:hint="eastAsia"/>
                      <w:szCs w:val="21"/>
                    </w:rPr>
                    <w:t>滤芯除尘器</w:t>
                  </w:r>
                </w:p>
              </w:tc>
              <w:tc>
                <w:tcPr>
                  <w:tcW w:w="1341" w:type="pct"/>
                  <w:gridSpan w:val="2"/>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szCs w:val="21"/>
                    </w:rPr>
                  </w:pPr>
                  <w:r>
                    <w:rPr>
                      <w:szCs w:val="21"/>
                    </w:rPr>
                    <w:t>进口（</w:t>
                  </w:r>
                  <w:r>
                    <w:rPr>
                      <w:rFonts w:hint="eastAsia"/>
                      <w:szCs w:val="21"/>
                    </w:rPr>
                    <w:t>mg/m</w:t>
                  </w:r>
                  <w:r>
                    <w:rPr>
                      <w:rFonts w:hint="eastAsia"/>
                      <w:szCs w:val="21"/>
                      <w:vertAlign w:val="superscript"/>
                    </w:rPr>
                    <w:t>3</w:t>
                  </w:r>
                  <w:r>
                    <w:rPr>
                      <w:szCs w:val="21"/>
                    </w:rPr>
                    <w:t>）</w:t>
                  </w:r>
                </w:p>
              </w:tc>
              <w:tc>
                <w:tcPr>
                  <w:tcW w:w="2334" w:type="pct"/>
                  <w:tcBorders>
                    <w:top w:val="single" w:color="auto" w:sz="4" w:space="0"/>
                    <w:left w:val="nil"/>
                    <w:bottom w:val="single" w:color="auto" w:sz="4" w:space="0"/>
                    <w:right w:val="nil"/>
                  </w:tcBorders>
                </w:tcPr>
                <w:p>
                  <w:pPr>
                    <w:keepNext w:val="0"/>
                    <w:keepLines w:val="0"/>
                    <w:suppressLineNumbers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4.657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25" w:type="pct"/>
                  <w:vMerge w:val="continue"/>
                  <w:tcBorders>
                    <w:left w:val="nil"/>
                    <w:right w:val="single" w:color="auto" w:sz="4" w:space="0"/>
                  </w:tcBorders>
                  <w:vAlign w:val="center"/>
                </w:tcPr>
                <w:p>
                  <w:pPr>
                    <w:keepNext w:val="0"/>
                    <w:keepLines w:val="0"/>
                    <w:suppressLineNumbers w:val="0"/>
                    <w:spacing w:before="0" w:beforeAutospacing="0" w:after="0" w:afterAutospacing="0"/>
                    <w:ind w:left="0" w:right="0"/>
                    <w:jc w:val="center"/>
                    <w:rPr>
                      <w:szCs w:val="21"/>
                    </w:rPr>
                  </w:pPr>
                </w:p>
              </w:tc>
              <w:tc>
                <w:tcPr>
                  <w:tcW w:w="1341" w:type="pct"/>
                  <w:gridSpan w:val="2"/>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szCs w:val="21"/>
                    </w:rPr>
                  </w:pPr>
                  <w:r>
                    <w:rPr>
                      <w:szCs w:val="21"/>
                    </w:rPr>
                    <w:t>出口（</w:t>
                  </w:r>
                  <w:r>
                    <w:rPr>
                      <w:rFonts w:hint="eastAsia"/>
                      <w:szCs w:val="21"/>
                    </w:rPr>
                    <w:t>mg/m</w:t>
                  </w:r>
                  <w:r>
                    <w:rPr>
                      <w:rFonts w:hint="eastAsia"/>
                      <w:szCs w:val="21"/>
                      <w:vertAlign w:val="superscript"/>
                    </w:rPr>
                    <w:t>3</w:t>
                  </w:r>
                  <w:r>
                    <w:rPr>
                      <w:szCs w:val="21"/>
                    </w:rPr>
                    <w:t>）</w:t>
                  </w:r>
                </w:p>
              </w:tc>
              <w:tc>
                <w:tcPr>
                  <w:tcW w:w="2334" w:type="pct"/>
                  <w:tcBorders>
                    <w:top w:val="single" w:color="auto" w:sz="4" w:space="0"/>
                    <w:left w:val="nil"/>
                    <w:bottom w:val="single" w:color="auto" w:sz="4" w:space="0"/>
                    <w:right w:val="nil"/>
                  </w:tcBorders>
                </w:tcPr>
                <w:p>
                  <w:pPr>
                    <w:keepNext w:val="0"/>
                    <w:keepLines w:val="0"/>
                    <w:suppressLineNumbers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0.93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25" w:type="pct"/>
                  <w:vMerge w:val="continue"/>
                  <w:tcBorders>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szCs w:val="21"/>
                    </w:rPr>
                  </w:pPr>
                </w:p>
              </w:tc>
              <w:tc>
                <w:tcPr>
                  <w:tcW w:w="1341" w:type="pct"/>
                  <w:gridSpan w:val="2"/>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eastAsia="宋体"/>
                      <w:szCs w:val="21"/>
                      <w:lang w:eastAsia="zh-CN"/>
                    </w:rPr>
                  </w:pPr>
                  <w:r>
                    <w:rPr>
                      <w:szCs w:val="21"/>
                    </w:rPr>
                    <w:t>去除率</w:t>
                  </w:r>
                  <w:r>
                    <w:rPr>
                      <w:rFonts w:hint="eastAsia"/>
                      <w:szCs w:val="21"/>
                      <w:lang w:eastAsia="zh-CN"/>
                    </w:rPr>
                    <w:t>（</w:t>
                  </w:r>
                  <w:r>
                    <w:rPr>
                      <w:szCs w:val="21"/>
                    </w:rPr>
                    <w:t>%</w:t>
                  </w:r>
                  <w:r>
                    <w:rPr>
                      <w:rFonts w:hint="eastAsia"/>
                      <w:szCs w:val="21"/>
                      <w:lang w:eastAsia="zh-CN"/>
                    </w:rPr>
                    <w:t>）</w:t>
                  </w:r>
                </w:p>
              </w:tc>
              <w:tc>
                <w:tcPr>
                  <w:tcW w:w="2334" w:type="pct"/>
                  <w:tcBorders>
                    <w:top w:val="single" w:color="auto" w:sz="4" w:space="0"/>
                    <w:left w:val="nil"/>
                    <w:bottom w:val="single" w:color="auto" w:sz="4" w:space="0"/>
                    <w:right w:val="nil"/>
                  </w:tcBorders>
                </w:tcPr>
                <w:p>
                  <w:pPr>
                    <w:keepNext w:val="0"/>
                    <w:keepLines w:val="0"/>
                    <w:suppressLineNumbers w:val="0"/>
                    <w:spacing w:before="0" w:beforeAutospacing="0" w:after="0" w:afterAutospacing="0"/>
                    <w:ind w:left="0" w:right="0"/>
                    <w:jc w:val="center"/>
                    <w:rPr>
                      <w:szCs w:val="21"/>
                    </w:rPr>
                  </w:pPr>
                  <w:r>
                    <w:rPr>
                      <w:rFonts w:hint="eastAsia"/>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666" w:type="pct"/>
                  <w:gridSpan w:val="3"/>
                  <w:tcBorders>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eastAsia="宋体"/>
                      <w:szCs w:val="21"/>
                      <w:lang w:eastAsia="zh-CN"/>
                    </w:rPr>
                  </w:pPr>
                  <w:r>
                    <w:rPr>
                      <w:rFonts w:hint="eastAsia"/>
                      <w:szCs w:val="21"/>
                    </w:rPr>
                    <w:t>总去除率</w:t>
                  </w:r>
                  <w:r>
                    <w:rPr>
                      <w:rFonts w:hint="eastAsia"/>
                      <w:szCs w:val="21"/>
                      <w:lang w:eastAsia="zh-CN"/>
                    </w:rPr>
                    <w:t>（</w:t>
                  </w:r>
                  <w:r>
                    <w:rPr>
                      <w:szCs w:val="21"/>
                    </w:rPr>
                    <w:t>%</w:t>
                  </w:r>
                  <w:r>
                    <w:rPr>
                      <w:rFonts w:hint="eastAsia"/>
                      <w:szCs w:val="21"/>
                      <w:lang w:eastAsia="zh-CN"/>
                    </w:rPr>
                    <w:t>）</w:t>
                  </w:r>
                </w:p>
              </w:tc>
              <w:tc>
                <w:tcPr>
                  <w:tcW w:w="2334" w:type="pct"/>
                  <w:tcBorders>
                    <w:top w:val="single" w:color="auto" w:sz="4" w:space="0"/>
                    <w:left w:val="nil"/>
                    <w:bottom w:val="single" w:color="auto" w:sz="4" w:space="0"/>
                    <w:right w:val="nil"/>
                  </w:tcBorders>
                </w:tcPr>
                <w:p>
                  <w:pPr>
                    <w:keepNext w:val="0"/>
                    <w:keepLines w:val="0"/>
                    <w:suppressLineNumbers w:val="0"/>
                    <w:spacing w:before="0" w:beforeAutospacing="0" w:after="0" w:afterAutospacing="0"/>
                    <w:ind w:left="0" w:right="0"/>
                    <w:jc w:val="center"/>
                    <w:rPr>
                      <w:szCs w:val="21"/>
                    </w:rPr>
                  </w:pPr>
                  <w:r>
                    <w:rPr>
                      <w:rFonts w:hint="eastAsia"/>
                      <w:szCs w:val="21"/>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666" w:type="pct"/>
                  <w:gridSpan w:val="3"/>
                  <w:tcBorders>
                    <w:top w:val="single" w:color="auto" w:sz="12"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b/>
                      <w:szCs w:val="21"/>
                    </w:rPr>
                  </w:pPr>
                  <w:r>
                    <w:rPr>
                      <w:b/>
                      <w:szCs w:val="21"/>
                    </w:rPr>
                    <w:t>处理方式</w:t>
                  </w:r>
                </w:p>
              </w:tc>
              <w:tc>
                <w:tcPr>
                  <w:tcW w:w="2334" w:type="pct"/>
                  <w:tcBorders>
                    <w:top w:val="single" w:color="auto" w:sz="12" w:space="0"/>
                    <w:left w:val="nil"/>
                    <w:bottom w:val="single" w:color="auto" w:sz="4" w:space="0"/>
                    <w:right w:val="nil"/>
                  </w:tcBorders>
                </w:tcPr>
                <w:p>
                  <w:pPr>
                    <w:keepNext w:val="0"/>
                    <w:keepLines w:val="0"/>
                    <w:suppressLineNumbers w:val="0"/>
                    <w:spacing w:before="0" w:beforeAutospacing="0" w:after="0" w:afterAutospacing="0"/>
                    <w:ind w:left="0" w:right="0"/>
                    <w:jc w:val="center"/>
                    <w:rPr>
                      <w:b/>
                      <w:szCs w:val="21"/>
                    </w:rPr>
                  </w:pPr>
                  <w:r>
                    <w:rPr>
                      <w:b/>
                      <w:szCs w:val="21"/>
                    </w:rPr>
                    <w:t>非甲烷总烃（FQ-1</w:t>
                  </w:r>
                  <w:r>
                    <w:rPr>
                      <w:rFonts w:ascii="宋体" w:hAnsi="宋体"/>
                      <w:b/>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31" w:type="pct"/>
                  <w:gridSpan w:val="2"/>
                  <w:vMerge w:val="restart"/>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szCs w:val="21"/>
                    </w:rPr>
                  </w:pPr>
                  <w:r>
                    <w:rPr>
                      <w:rFonts w:hint="eastAsia"/>
                      <w:szCs w:val="21"/>
                    </w:rPr>
                    <w:t>二级</w:t>
                  </w:r>
                  <w:r>
                    <w:rPr>
                      <w:szCs w:val="21"/>
                    </w:rPr>
                    <w:t>活性炭</w:t>
                  </w:r>
                </w:p>
              </w:tc>
              <w:tc>
                <w:tcPr>
                  <w:tcW w:w="1335" w:type="pct"/>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szCs w:val="21"/>
                    </w:rPr>
                  </w:pPr>
                  <w:r>
                    <w:rPr>
                      <w:szCs w:val="21"/>
                    </w:rPr>
                    <w:t>进口（</w:t>
                  </w:r>
                  <w:r>
                    <w:rPr>
                      <w:rFonts w:hint="eastAsia"/>
                      <w:szCs w:val="21"/>
                    </w:rPr>
                    <w:t>mg/m</w:t>
                  </w:r>
                  <w:r>
                    <w:rPr>
                      <w:rFonts w:hint="eastAsia"/>
                      <w:szCs w:val="21"/>
                      <w:vertAlign w:val="superscript"/>
                    </w:rPr>
                    <w:t>3</w:t>
                  </w:r>
                  <w:r>
                    <w:rPr>
                      <w:szCs w:val="21"/>
                    </w:rPr>
                    <w:t>）</w:t>
                  </w:r>
                </w:p>
              </w:tc>
              <w:tc>
                <w:tcPr>
                  <w:tcW w:w="2334" w:type="pct"/>
                  <w:tcBorders>
                    <w:top w:val="single" w:color="auto" w:sz="4" w:space="0"/>
                    <w:left w:val="nil"/>
                    <w:bottom w:val="single" w:color="auto" w:sz="4" w:space="0"/>
                    <w:right w:val="nil"/>
                  </w:tcBorders>
                  <w:vAlign w:val="center"/>
                </w:tcPr>
                <w:p>
                  <w:pPr>
                    <w:keepNext w:val="0"/>
                    <w:keepLines w:val="0"/>
                    <w:suppressLineNumbers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5.29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31" w:type="pct"/>
                  <w:gridSpan w:val="2"/>
                  <w:vMerge w:val="continue"/>
                  <w:tcBorders>
                    <w:top w:val="nil"/>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szCs w:val="21"/>
                    </w:rPr>
                  </w:pPr>
                </w:p>
              </w:tc>
              <w:tc>
                <w:tcPr>
                  <w:tcW w:w="1335" w:type="pct"/>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szCs w:val="21"/>
                    </w:rPr>
                  </w:pPr>
                  <w:r>
                    <w:rPr>
                      <w:szCs w:val="21"/>
                    </w:rPr>
                    <w:t>出口（</w:t>
                  </w:r>
                  <w:r>
                    <w:rPr>
                      <w:rFonts w:hint="eastAsia"/>
                      <w:szCs w:val="21"/>
                    </w:rPr>
                    <w:t>mg/m</w:t>
                  </w:r>
                  <w:r>
                    <w:rPr>
                      <w:rFonts w:hint="eastAsia"/>
                      <w:szCs w:val="21"/>
                      <w:vertAlign w:val="superscript"/>
                    </w:rPr>
                    <w:t>3</w:t>
                  </w:r>
                  <w:r>
                    <w:rPr>
                      <w:szCs w:val="21"/>
                    </w:rPr>
                    <w:t>）</w:t>
                  </w:r>
                </w:p>
              </w:tc>
              <w:tc>
                <w:tcPr>
                  <w:tcW w:w="2334" w:type="pct"/>
                  <w:tcBorders>
                    <w:top w:val="single" w:color="auto" w:sz="4" w:space="0"/>
                    <w:left w:val="nil"/>
                    <w:bottom w:val="single" w:color="auto" w:sz="4" w:space="0"/>
                    <w:right w:val="nil"/>
                  </w:tcBorders>
                  <w:vAlign w:val="center"/>
                </w:tcPr>
                <w:p>
                  <w:pPr>
                    <w:keepNext w:val="0"/>
                    <w:keepLines w:val="0"/>
                    <w:suppressLineNumbers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1.06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31" w:type="pct"/>
                  <w:gridSpan w:val="2"/>
                  <w:vMerge w:val="continue"/>
                  <w:tcBorders>
                    <w:top w:val="nil"/>
                    <w:left w:val="nil"/>
                    <w:bottom w:val="single" w:color="auto" w:sz="12" w:space="0"/>
                    <w:right w:val="single" w:color="auto" w:sz="4" w:space="0"/>
                  </w:tcBorders>
                  <w:vAlign w:val="center"/>
                </w:tcPr>
                <w:p>
                  <w:pPr>
                    <w:keepNext w:val="0"/>
                    <w:keepLines w:val="0"/>
                    <w:widowControl/>
                    <w:suppressLineNumbers w:val="0"/>
                    <w:spacing w:before="0" w:beforeAutospacing="0" w:after="0" w:afterAutospacing="0"/>
                    <w:ind w:left="0" w:right="0"/>
                    <w:jc w:val="left"/>
                    <w:rPr>
                      <w:szCs w:val="21"/>
                    </w:rPr>
                  </w:pPr>
                </w:p>
              </w:tc>
              <w:tc>
                <w:tcPr>
                  <w:tcW w:w="1335" w:type="pct"/>
                  <w:tcBorders>
                    <w:top w:val="single" w:color="auto" w:sz="4" w:space="0"/>
                    <w:left w:val="nil"/>
                    <w:bottom w:val="single" w:color="auto" w:sz="12"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eastAsia="宋体"/>
                      <w:szCs w:val="21"/>
                      <w:lang w:eastAsia="zh-CN"/>
                    </w:rPr>
                  </w:pPr>
                  <w:r>
                    <w:rPr>
                      <w:szCs w:val="21"/>
                    </w:rPr>
                    <w:t>去除率</w:t>
                  </w:r>
                  <w:r>
                    <w:rPr>
                      <w:rFonts w:hint="eastAsia"/>
                      <w:szCs w:val="21"/>
                      <w:lang w:eastAsia="zh-CN"/>
                    </w:rPr>
                    <w:t>（</w:t>
                  </w:r>
                  <w:r>
                    <w:rPr>
                      <w:szCs w:val="21"/>
                    </w:rPr>
                    <w:t>%</w:t>
                  </w:r>
                  <w:r>
                    <w:rPr>
                      <w:rFonts w:hint="eastAsia"/>
                      <w:szCs w:val="21"/>
                      <w:lang w:eastAsia="zh-CN"/>
                    </w:rPr>
                    <w:t>）</w:t>
                  </w:r>
                </w:p>
              </w:tc>
              <w:tc>
                <w:tcPr>
                  <w:tcW w:w="2334" w:type="pct"/>
                  <w:tcBorders>
                    <w:top w:val="single" w:color="auto" w:sz="4" w:space="0"/>
                    <w:left w:val="nil"/>
                    <w:bottom w:val="single" w:color="auto" w:sz="12" w:space="0"/>
                    <w:right w:val="nil"/>
                  </w:tcBorders>
                </w:tcPr>
                <w:p>
                  <w:pPr>
                    <w:keepNext w:val="0"/>
                    <w:keepLines w:val="0"/>
                    <w:suppressLineNumbers w:val="0"/>
                    <w:spacing w:before="0" w:beforeAutospacing="0" w:after="0" w:afterAutospacing="0"/>
                    <w:ind w:left="0" w:right="0"/>
                    <w:jc w:val="center"/>
                    <w:rPr>
                      <w:szCs w:val="21"/>
                    </w:rPr>
                  </w:pPr>
                  <w:r>
                    <w:rPr>
                      <w:rFonts w:hint="eastAsia"/>
                      <w:szCs w:val="21"/>
                    </w:rPr>
                    <w:t>80%</w:t>
                  </w:r>
                </w:p>
              </w:tc>
            </w:tr>
          </w:tbl>
          <w:p>
            <w:pPr>
              <w:keepNext w:val="0"/>
              <w:keepLines w:val="0"/>
              <w:suppressLineNumbers w:val="0"/>
              <w:adjustRightInd w:val="0"/>
              <w:snapToGrid w:val="0"/>
              <w:spacing w:before="0" w:beforeAutospacing="0" w:after="0" w:afterAutospacing="0" w:line="360" w:lineRule="auto"/>
              <w:ind w:left="0" w:right="0" w:firstLine="480" w:firstLineChars="200"/>
              <w:jc w:val="left"/>
              <w:rPr>
                <w:bCs/>
                <w:sz w:val="24"/>
              </w:rPr>
            </w:pPr>
            <w:r>
              <w:rPr>
                <w:rFonts w:hint="eastAsia"/>
                <w:bCs/>
                <w:sz w:val="24"/>
              </w:rPr>
              <w:t>风机风量可行性分析：本项目采用集气罩为伞形集气吸尘罩，位于涂敷机</w:t>
            </w:r>
            <w:r>
              <w:rPr>
                <w:rFonts w:hint="eastAsia"/>
                <w:sz w:val="24"/>
              </w:rPr>
              <w:t>密闭空间内上方</w:t>
            </w:r>
            <w:r>
              <w:rPr>
                <w:rFonts w:hint="eastAsia"/>
                <w:bCs/>
                <w:sz w:val="24"/>
              </w:rPr>
              <w:t>、烘箱和注塑机出口上方。</w:t>
            </w:r>
          </w:p>
          <w:p>
            <w:pPr>
              <w:keepNext w:val="0"/>
              <w:keepLines w:val="0"/>
              <w:suppressLineNumbers w:val="0"/>
              <w:adjustRightInd w:val="0"/>
              <w:snapToGrid w:val="0"/>
              <w:spacing w:before="0" w:beforeAutospacing="0" w:after="0" w:afterAutospacing="0" w:line="360" w:lineRule="auto"/>
              <w:ind w:left="0" w:right="0" w:firstLine="480" w:firstLineChars="200"/>
              <w:jc w:val="left"/>
              <w:rPr>
                <w:bCs/>
                <w:sz w:val="24"/>
              </w:rPr>
            </w:pPr>
            <w:r>
              <w:rPr>
                <w:rFonts w:hint="eastAsia"/>
                <w:bCs/>
                <w:sz w:val="24"/>
              </w:rPr>
              <w:t>涂敷机</w:t>
            </w:r>
            <w:r>
              <w:rPr>
                <w:bCs/>
                <w:sz w:val="24"/>
              </w:rPr>
              <w:t>（共</w:t>
            </w:r>
            <w:r>
              <w:rPr>
                <w:rFonts w:hint="eastAsia"/>
                <w:bCs/>
                <w:sz w:val="24"/>
              </w:rPr>
              <w:t>30台</w:t>
            </w:r>
            <w:r>
              <w:rPr>
                <w:bCs/>
                <w:sz w:val="24"/>
              </w:rPr>
              <w:t>）</w:t>
            </w:r>
            <w:r>
              <w:rPr>
                <w:rFonts w:hint="eastAsia"/>
                <w:bCs/>
                <w:sz w:val="24"/>
              </w:rPr>
              <w:t>：</w:t>
            </w:r>
            <w:r>
              <w:rPr>
                <w:bCs/>
                <w:sz w:val="24"/>
              </w:rPr>
              <w:t>参考《除尘技术手册》（张殿印、张学义编著）中关于常温设备伞形集气吸尘罩的风量计算。</w:t>
            </w:r>
          </w:p>
          <w:p>
            <w:pPr>
              <w:keepNext w:val="0"/>
              <w:keepLines w:val="0"/>
              <w:suppressLineNumbers w:val="0"/>
              <w:adjustRightInd w:val="0"/>
              <w:snapToGrid w:val="0"/>
              <w:spacing w:before="0" w:beforeAutospacing="0" w:after="0" w:afterAutospacing="0" w:line="360" w:lineRule="auto"/>
              <w:ind w:left="0" w:right="0"/>
              <w:jc w:val="center"/>
              <w:rPr>
                <w:bCs/>
                <w:sz w:val="24"/>
                <w:vertAlign w:val="subscript"/>
              </w:rPr>
            </w:pPr>
            <w:r>
              <w:rPr>
                <w:bCs/>
                <w:sz w:val="24"/>
              </w:rPr>
              <w:t>Q=3600Lhv</w:t>
            </w:r>
            <w:r>
              <w:rPr>
                <w:bCs/>
                <w:sz w:val="24"/>
                <w:vertAlign w:val="subscript"/>
              </w:rPr>
              <w:t>p</w:t>
            </w:r>
          </w:p>
          <w:p>
            <w:pPr>
              <w:keepNext w:val="0"/>
              <w:keepLines w:val="0"/>
              <w:suppressLineNumbers w:val="0"/>
              <w:adjustRightInd w:val="0"/>
              <w:snapToGrid w:val="0"/>
              <w:spacing w:before="0" w:beforeAutospacing="0" w:after="0" w:afterAutospacing="0" w:line="360" w:lineRule="auto"/>
              <w:ind w:left="0" w:right="0" w:firstLine="480" w:firstLineChars="200"/>
              <w:jc w:val="left"/>
              <w:rPr>
                <w:bCs/>
                <w:sz w:val="24"/>
              </w:rPr>
            </w:pPr>
            <w:r>
              <w:rPr>
                <w:bCs/>
                <w:sz w:val="24"/>
              </w:rPr>
              <w:t>式中：Q</w:t>
            </w:r>
            <w:r>
              <w:rPr>
                <w:bCs/>
                <w:sz w:val="24"/>
              </w:rPr>
              <w:softHyphen/>
            </w:r>
            <w:r>
              <w:rPr>
                <w:bCs/>
                <w:sz w:val="24"/>
              </w:rPr>
              <w:t>——集气罩排风量，m</w:t>
            </w:r>
            <w:r>
              <w:rPr>
                <w:bCs/>
                <w:sz w:val="24"/>
                <w:vertAlign w:val="superscript"/>
              </w:rPr>
              <w:t>3</w:t>
            </w:r>
            <w:r>
              <w:rPr>
                <w:bCs/>
                <w:sz w:val="24"/>
              </w:rPr>
              <w:t>/h；</w:t>
            </w:r>
          </w:p>
          <w:p>
            <w:pPr>
              <w:keepNext w:val="0"/>
              <w:keepLines w:val="0"/>
              <w:suppressLineNumbers w:val="0"/>
              <w:adjustRightInd w:val="0"/>
              <w:snapToGrid w:val="0"/>
              <w:spacing w:before="0" w:beforeAutospacing="0" w:after="0" w:afterAutospacing="0" w:line="360" w:lineRule="auto"/>
              <w:ind w:left="0" w:right="0" w:firstLine="1200" w:firstLineChars="500"/>
              <w:jc w:val="left"/>
              <w:rPr>
                <w:bCs/>
                <w:sz w:val="24"/>
              </w:rPr>
            </w:pPr>
            <w:r>
              <w:rPr>
                <w:bCs/>
                <w:sz w:val="24"/>
              </w:rPr>
              <w:t>L——罩口周边长，m；本项目约为</w:t>
            </w:r>
            <w:r>
              <w:rPr>
                <w:rFonts w:hint="eastAsia"/>
                <w:bCs/>
                <w:sz w:val="24"/>
                <w:lang w:val="en-US" w:eastAsia="zh-CN"/>
              </w:rPr>
              <w:t>1.2</w:t>
            </w:r>
            <w:r>
              <w:rPr>
                <w:bCs/>
                <w:sz w:val="24"/>
              </w:rPr>
              <w:t>m。</w:t>
            </w:r>
          </w:p>
          <w:p>
            <w:pPr>
              <w:keepNext w:val="0"/>
              <w:keepLines w:val="0"/>
              <w:suppressLineNumbers w:val="0"/>
              <w:adjustRightInd w:val="0"/>
              <w:snapToGrid w:val="0"/>
              <w:spacing w:before="0" w:beforeAutospacing="0" w:after="0" w:afterAutospacing="0" w:line="360" w:lineRule="auto"/>
              <w:ind w:left="0" w:right="0" w:firstLine="1200" w:firstLineChars="500"/>
              <w:jc w:val="left"/>
              <w:rPr>
                <w:bCs/>
                <w:sz w:val="24"/>
              </w:rPr>
            </w:pPr>
            <w:r>
              <w:rPr>
                <w:bCs/>
                <w:sz w:val="24"/>
              </w:rPr>
              <w:t>h——罩口离设备或尘源平面的距离，m；本项目约0.</w:t>
            </w:r>
            <w:r>
              <w:rPr>
                <w:rFonts w:hint="eastAsia"/>
                <w:bCs/>
                <w:sz w:val="24"/>
              </w:rPr>
              <w:t>3</w:t>
            </w:r>
            <w:r>
              <w:rPr>
                <w:bCs/>
                <w:sz w:val="24"/>
              </w:rPr>
              <w:t>m。</w:t>
            </w:r>
          </w:p>
          <w:p>
            <w:pPr>
              <w:keepNext w:val="0"/>
              <w:keepLines w:val="0"/>
              <w:suppressLineNumbers w:val="0"/>
              <w:adjustRightInd w:val="0"/>
              <w:snapToGrid w:val="0"/>
              <w:spacing w:before="0" w:beforeAutospacing="0" w:after="0" w:afterAutospacing="0" w:line="360" w:lineRule="auto"/>
              <w:ind w:left="0" w:right="0" w:firstLine="1200" w:firstLineChars="500"/>
              <w:jc w:val="left"/>
              <w:rPr>
                <w:bCs/>
                <w:sz w:val="24"/>
              </w:rPr>
            </w:pPr>
            <w:r>
              <w:rPr>
                <w:bCs/>
                <w:sz w:val="24"/>
              </w:rPr>
              <w:t>v</w:t>
            </w:r>
            <w:r>
              <w:rPr>
                <w:bCs/>
                <w:sz w:val="24"/>
                <w:vertAlign w:val="subscript"/>
              </w:rPr>
              <w:t>p</w:t>
            </w:r>
            <w:r>
              <w:rPr>
                <w:bCs/>
                <w:sz w:val="24"/>
              </w:rPr>
              <w:t>——罩口周边截面积上的平均风速，m/s；本项目取0.</w:t>
            </w:r>
            <w:r>
              <w:rPr>
                <w:rFonts w:hint="eastAsia"/>
                <w:bCs/>
                <w:sz w:val="24"/>
                <w:lang w:val="en-US" w:eastAsia="zh-CN"/>
              </w:rPr>
              <w:t>4</w:t>
            </w:r>
            <w:r>
              <w:rPr>
                <w:bCs/>
                <w:sz w:val="24"/>
              </w:rPr>
              <w:t>m/s。</w:t>
            </w:r>
          </w:p>
          <w:p>
            <w:pPr>
              <w:keepNext w:val="0"/>
              <w:keepLines w:val="0"/>
              <w:suppressLineNumbers w:val="0"/>
              <w:adjustRightInd w:val="0"/>
              <w:snapToGrid w:val="0"/>
              <w:spacing w:before="0" w:beforeAutospacing="0" w:after="0" w:afterAutospacing="0" w:line="360" w:lineRule="auto"/>
              <w:ind w:left="0" w:right="0"/>
              <w:jc w:val="center"/>
              <w:rPr>
                <w:bCs/>
                <w:sz w:val="24"/>
              </w:rPr>
            </w:pPr>
            <w:r>
              <w:rPr>
                <w:bCs/>
                <w:sz w:val="24"/>
              </w:rPr>
              <w:t>Q=3600*</w:t>
            </w:r>
            <w:r>
              <w:rPr>
                <w:rFonts w:hint="eastAsia"/>
                <w:bCs/>
                <w:sz w:val="24"/>
                <w:lang w:val="en-US" w:eastAsia="zh-CN"/>
              </w:rPr>
              <w:t>1.2</w:t>
            </w:r>
            <w:r>
              <w:rPr>
                <w:bCs/>
                <w:sz w:val="24"/>
              </w:rPr>
              <w:t>*0.</w:t>
            </w:r>
            <w:r>
              <w:rPr>
                <w:rFonts w:hint="eastAsia"/>
                <w:bCs/>
                <w:sz w:val="24"/>
              </w:rPr>
              <w:t>3</w:t>
            </w:r>
            <w:r>
              <w:rPr>
                <w:bCs/>
                <w:sz w:val="24"/>
              </w:rPr>
              <w:t>*0.</w:t>
            </w:r>
            <w:r>
              <w:rPr>
                <w:rFonts w:hint="eastAsia"/>
                <w:bCs/>
                <w:sz w:val="24"/>
                <w:lang w:val="en-US" w:eastAsia="zh-CN"/>
              </w:rPr>
              <w:t>4</w:t>
            </w:r>
            <w:r>
              <w:rPr>
                <w:bCs/>
                <w:sz w:val="24"/>
              </w:rPr>
              <w:t>=</w:t>
            </w:r>
            <w:r>
              <w:rPr>
                <w:rFonts w:hint="eastAsia"/>
                <w:bCs/>
                <w:sz w:val="24"/>
                <w:lang w:val="en-US" w:eastAsia="zh-CN"/>
              </w:rPr>
              <w:t>518.4</w:t>
            </w:r>
            <w:r>
              <w:rPr>
                <w:bCs/>
                <w:sz w:val="24"/>
              </w:rPr>
              <w:t>m</w:t>
            </w:r>
            <w:r>
              <w:rPr>
                <w:bCs/>
                <w:sz w:val="24"/>
                <w:vertAlign w:val="superscript"/>
              </w:rPr>
              <w:t>3</w:t>
            </w:r>
            <w:r>
              <w:rPr>
                <w:bCs/>
                <w:sz w:val="24"/>
              </w:rPr>
              <w:t>/h</w:t>
            </w:r>
          </w:p>
          <w:p>
            <w:pPr>
              <w:keepNext w:val="0"/>
              <w:keepLines w:val="0"/>
              <w:suppressLineNumbers w:val="0"/>
              <w:adjustRightInd w:val="0"/>
              <w:snapToGrid w:val="0"/>
              <w:spacing w:before="0" w:beforeAutospacing="0" w:after="0" w:afterAutospacing="0" w:line="360" w:lineRule="auto"/>
              <w:ind w:left="0" w:right="0" w:firstLine="480" w:firstLineChars="200"/>
              <w:jc w:val="left"/>
              <w:rPr>
                <w:bCs/>
                <w:sz w:val="24"/>
              </w:rPr>
            </w:pPr>
            <w:r>
              <w:rPr>
                <w:sz w:val="24"/>
              </w:rPr>
              <w:t>单个集气罩在充分考虑风损及捕集效率的情况下，风量按照</w:t>
            </w:r>
            <w:r>
              <w:rPr>
                <w:rFonts w:hint="eastAsia"/>
                <w:sz w:val="24"/>
                <w:lang w:val="en-US" w:eastAsia="zh-CN"/>
              </w:rPr>
              <w:t>55</w:t>
            </w:r>
            <w:r>
              <w:rPr>
                <w:rFonts w:hint="eastAsia"/>
                <w:sz w:val="24"/>
              </w:rPr>
              <w:t>0</w:t>
            </w:r>
            <w:r>
              <w:rPr>
                <w:bCs/>
                <w:sz w:val="24"/>
              </w:rPr>
              <w:t>m</w:t>
            </w:r>
            <w:r>
              <w:rPr>
                <w:bCs/>
                <w:sz w:val="24"/>
                <w:vertAlign w:val="superscript"/>
              </w:rPr>
              <w:t>3</w:t>
            </w:r>
            <w:r>
              <w:rPr>
                <w:bCs/>
                <w:sz w:val="24"/>
              </w:rPr>
              <w:t>/h进行计算，项目共</w:t>
            </w:r>
            <w:r>
              <w:rPr>
                <w:rFonts w:hint="eastAsia"/>
                <w:bCs/>
                <w:sz w:val="24"/>
              </w:rPr>
              <w:t>设30</w:t>
            </w:r>
            <w:r>
              <w:rPr>
                <w:bCs/>
                <w:sz w:val="24"/>
              </w:rPr>
              <w:t>个集气罩，风量为</w:t>
            </w:r>
            <w:r>
              <w:rPr>
                <w:rFonts w:hint="eastAsia"/>
                <w:bCs/>
                <w:sz w:val="24"/>
                <w:lang w:val="en-US" w:eastAsia="zh-CN"/>
              </w:rPr>
              <w:t>165</w:t>
            </w:r>
            <w:r>
              <w:rPr>
                <w:rFonts w:hint="eastAsia"/>
                <w:bCs/>
                <w:sz w:val="24"/>
              </w:rPr>
              <w:t>00</w:t>
            </w:r>
            <w:r>
              <w:rPr>
                <w:bCs/>
                <w:sz w:val="24"/>
              </w:rPr>
              <w:t>m</w:t>
            </w:r>
            <w:r>
              <w:rPr>
                <w:bCs/>
                <w:sz w:val="24"/>
                <w:vertAlign w:val="superscript"/>
              </w:rPr>
              <w:t>3</w:t>
            </w:r>
            <w:r>
              <w:rPr>
                <w:bCs/>
                <w:sz w:val="24"/>
              </w:rPr>
              <w:t>/h。</w:t>
            </w:r>
          </w:p>
          <w:p>
            <w:pPr>
              <w:keepNext w:val="0"/>
              <w:keepLines w:val="0"/>
              <w:suppressLineNumbers w:val="0"/>
              <w:adjustRightInd w:val="0"/>
              <w:snapToGrid w:val="0"/>
              <w:spacing w:before="0" w:beforeAutospacing="0" w:after="0" w:afterAutospacing="0" w:line="360" w:lineRule="auto"/>
              <w:ind w:left="0" w:right="0" w:firstLine="480" w:firstLineChars="200"/>
              <w:jc w:val="left"/>
              <w:rPr>
                <w:bCs/>
                <w:sz w:val="24"/>
              </w:rPr>
            </w:pPr>
            <w:r>
              <w:rPr>
                <w:rFonts w:hint="eastAsia"/>
                <w:bCs/>
                <w:sz w:val="24"/>
              </w:rPr>
              <w:t>烘箱（15台）</w:t>
            </w:r>
            <w:r>
              <w:rPr>
                <w:bCs/>
                <w:sz w:val="24"/>
              </w:rPr>
              <w:t>：参考《除尘技术手册》（张殿印、张学义编著）中关于常温设备伞形集气吸尘罩的风量计算。</w:t>
            </w:r>
          </w:p>
          <w:p>
            <w:pPr>
              <w:keepNext w:val="0"/>
              <w:keepLines w:val="0"/>
              <w:suppressLineNumbers w:val="0"/>
              <w:adjustRightInd w:val="0"/>
              <w:snapToGrid w:val="0"/>
              <w:spacing w:before="0" w:beforeAutospacing="0" w:after="0" w:afterAutospacing="0" w:line="360" w:lineRule="auto"/>
              <w:ind w:left="0" w:right="0"/>
              <w:jc w:val="center"/>
              <w:rPr>
                <w:bCs/>
                <w:sz w:val="24"/>
                <w:vertAlign w:val="subscript"/>
              </w:rPr>
            </w:pPr>
            <w:r>
              <w:rPr>
                <w:bCs/>
                <w:sz w:val="24"/>
              </w:rPr>
              <w:t>Q=3600Lhv</w:t>
            </w:r>
            <w:r>
              <w:rPr>
                <w:bCs/>
                <w:sz w:val="24"/>
                <w:vertAlign w:val="subscript"/>
              </w:rPr>
              <w:t>p</w:t>
            </w:r>
          </w:p>
          <w:p>
            <w:pPr>
              <w:keepNext w:val="0"/>
              <w:keepLines w:val="0"/>
              <w:suppressLineNumbers w:val="0"/>
              <w:adjustRightInd w:val="0"/>
              <w:snapToGrid w:val="0"/>
              <w:spacing w:before="0" w:beforeAutospacing="0" w:after="0" w:afterAutospacing="0" w:line="360" w:lineRule="auto"/>
              <w:ind w:left="0" w:right="0" w:firstLine="480" w:firstLineChars="200"/>
              <w:jc w:val="left"/>
              <w:rPr>
                <w:bCs/>
                <w:sz w:val="24"/>
              </w:rPr>
            </w:pPr>
            <w:r>
              <w:rPr>
                <w:bCs/>
                <w:sz w:val="24"/>
              </w:rPr>
              <w:t>式中：Q</w:t>
            </w:r>
            <w:r>
              <w:rPr>
                <w:bCs/>
                <w:sz w:val="24"/>
              </w:rPr>
              <w:softHyphen/>
            </w:r>
            <w:r>
              <w:rPr>
                <w:bCs/>
                <w:sz w:val="24"/>
              </w:rPr>
              <w:t>——集气罩排风量，m</w:t>
            </w:r>
            <w:r>
              <w:rPr>
                <w:bCs/>
                <w:sz w:val="24"/>
                <w:vertAlign w:val="superscript"/>
              </w:rPr>
              <w:t>3</w:t>
            </w:r>
            <w:r>
              <w:rPr>
                <w:bCs/>
                <w:sz w:val="24"/>
              </w:rPr>
              <w:t>/h；</w:t>
            </w:r>
          </w:p>
          <w:p>
            <w:pPr>
              <w:keepNext w:val="0"/>
              <w:keepLines w:val="0"/>
              <w:suppressLineNumbers w:val="0"/>
              <w:adjustRightInd w:val="0"/>
              <w:snapToGrid w:val="0"/>
              <w:spacing w:before="0" w:beforeAutospacing="0" w:after="0" w:afterAutospacing="0" w:line="360" w:lineRule="auto"/>
              <w:ind w:left="0" w:right="0" w:firstLine="1200" w:firstLineChars="500"/>
              <w:jc w:val="left"/>
              <w:rPr>
                <w:bCs/>
                <w:sz w:val="24"/>
              </w:rPr>
            </w:pPr>
            <w:r>
              <w:rPr>
                <w:bCs/>
                <w:sz w:val="24"/>
              </w:rPr>
              <w:t>L——罩口周边长，m；本项目约为</w:t>
            </w:r>
            <w:r>
              <w:rPr>
                <w:rFonts w:hint="eastAsia"/>
                <w:bCs/>
                <w:sz w:val="24"/>
                <w:lang w:val="en-US" w:eastAsia="zh-CN"/>
              </w:rPr>
              <w:t>2</w:t>
            </w:r>
            <w:r>
              <w:rPr>
                <w:bCs/>
                <w:sz w:val="24"/>
              </w:rPr>
              <w:t>m。</w:t>
            </w:r>
          </w:p>
          <w:p>
            <w:pPr>
              <w:keepNext w:val="0"/>
              <w:keepLines w:val="0"/>
              <w:suppressLineNumbers w:val="0"/>
              <w:adjustRightInd w:val="0"/>
              <w:snapToGrid w:val="0"/>
              <w:spacing w:before="0" w:beforeAutospacing="0" w:after="0" w:afterAutospacing="0" w:line="360" w:lineRule="auto"/>
              <w:ind w:left="0" w:right="0" w:firstLine="1200" w:firstLineChars="500"/>
              <w:jc w:val="left"/>
              <w:rPr>
                <w:bCs/>
                <w:sz w:val="24"/>
              </w:rPr>
            </w:pPr>
            <w:r>
              <w:rPr>
                <w:bCs/>
                <w:sz w:val="24"/>
              </w:rPr>
              <w:t>h——罩口离设备或尘源平面的距离，m；本项目约0.</w:t>
            </w:r>
            <w:r>
              <w:rPr>
                <w:rFonts w:hint="eastAsia"/>
                <w:bCs/>
                <w:sz w:val="24"/>
              </w:rPr>
              <w:t>3</w:t>
            </w:r>
            <w:r>
              <w:rPr>
                <w:bCs/>
                <w:sz w:val="24"/>
              </w:rPr>
              <w:t>m。</w:t>
            </w:r>
          </w:p>
          <w:p>
            <w:pPr>
              <w:keepNext w:val="0"/>
              <w:keepLines w:val="0"/>
              <w:suppressLineNumbers w:val="0"/>
              <w:adjustRightInd w:val="0"/>
              <w:snapToGrid w:val="0"/>
              <w:spacing w:before="0" w:beforeAutospacing="0" w:after="0" w:afterAutospacing="0" w:line="360" w:lineRule="auto"/>
              <w:ind w:left="0" w:right="0" w:firstLine="1200" w:firstLineChars="500"/>
              <w:jc w:val="left"/>
              <w:rPr>
                <w:bCs/>
                <w:sz w:val="24"/>
              </w:rPr>
            </w:pPr>
            <w:r>
              <w:rPr>
                <w:bCs/>
                <w:sz w:val="24"/>
              </w:rPr>
              <w:t>v</w:t>
            </w:r>
            <w:r>
              <w:rPr>
                <w:bCs/>
                <w:sz w:val="24"/>
                <w:vertAlign w:val="subscript"/>
              </w:rPr>
              <w:t>p</w:t>
            </w:r>
            <w:r>
              <w:rPr>
                <w:bCs/>
                <w:sz w:val="24"/>
              </w:rPr>
              <w:t>——罩口周边截面积上的平均风速，m/s；本项目取0.</w:t>
            </w:r>
            <w:r>
              <w:rPr>
                <w:rFonts w:hint="eastAsia"/>
                <w:bCs/>
                <w:sz w:val="24"/>
                <w:lang w:val="en-US" w:eastAsia="zh-CN"/>
              </w:rPr>
              <w:t>3</w:t>
            </w:r>
            <w:r>
              <w:rPr>
                <w:bCs/>
                <w:sz w:val="24"/>
              </w:rPr>
              <w:t>m/s。</w:t>
            </w:r>
          </w:p>
          <w:p>
            <w:pPr>
              <w:keepNext w:val="0"/>
              <w:keepLines w:val="0"/>
              <w:suppressLineNumbers w:val="0"/>
              <w:adjustRightInd w:val="0"/>
              <w:snapToGrid w:val="0"/>
              <w:spacing w:before="0" w:beforeAutospacing="0" w:after="0" w:afterAutospacing="0" w:line="360" w:lineRule="auto"/>
              <w:ind w:left="0" w:right="0"/>
              <w:jc w:val="center"/>
              <w:rPr>
                <w:bCs/>
                <w:sz w:val="24"/>
              </w:rPr>
            </w:pPr>
            <w:r>
              <w:rPr>
                <w:bCs/>
                <w:sz w:val="24"/>
              </w:rPr>
              <w:t>Q=3600*</w:t>
            </w:r>
            <w:r>
              <w:rPr>
                <w:rFonts w:hint="eastAsia"/>
                <w:bCs/>
                <w:sz w:val="24"/>
                <w:lang w:val="en-US" w:eastAsia="zh-CN"/>
              </w:rPr>
              <w:t>2</w:t>
            </w:r>
            <w:r>
              <w:rPr>
                <w:bCs/>
                <w:sz w:val="24"/>
              </w:rPr>
              <w:t>*0.</w:t>
            </w:r>
            <w:r>
              <w:rPr>
                <w:rFonts w:hint="eastAsia"/>
                <w:bCs/>
                <w:sz w:val="24"/>
              </w:rPr>
              <w:t>3</w:t>
            </w:r>
            <w:r>
              <w:rPr>
                <w:bCs/>
                <w:sz w:val="24"/>
              </w:rPr>
              <w:t>*0.</w:t>
            </w:r>
            <w:r>
              <w:rPr>
                <w:rFonts w:hint="eastAsia"/>
                <w:bCs/>
                <w:sz w:val="24"/>
                <w:lang w:val="en-US" w:eastAsia="zh-CN"/>
              </w:rPr>
              <w:t>3</w:t>
            </w:r>
            <w:r>
              <w:rPr>
                <w:bCs/>
                <w:sz w:val="24"/>
              </w:rPr>
              <w:t>=</w:t>
            </w:r>
            <w:r>
              <w:rPr>
                <w:rFonts w:hint="eastAsia"/>
                <w:bCs/>
                <w:sz w:val="24"/>
                <w:lang w:val="en-US" w:eastAsia="zh-CN"/>
              </w:rPr>
              <w:t>648</w:t>
            </w:r>
            <w:r>
              <w:rPr>
                <w:bCs/>
                <w:sz w:val="24"/>
              </w:rPr>
              <w:t>m</w:t>
            </w:r>
            <w:r>
              <w:rPr>
                <w:bCs/>
                <w:sz w:val="24"/>
                <w:vertAlign w:val="superscript"/>
              </w:rPr>
              <w:t>3</w:t>
            </w:r>
            <w:r>
              <w:rPr>
                <w:bCs/>
                <w:sz w:val="24"/>
              </w:rPr>
              <w:t>/h</w:t>
            </w:r>
          </w:p>
          <w:p>
            <w:pPr>
              <w:keepNext w:val="0"/>
              <w:keepLines w:val="0"/>
              <w:suppressLineNumbers w:val="0"/>
              <w:adjustRightInd w:val="0"/>
              <w:snapToGrid w:val="0"/>
              <w:spacing w:before="0" w:beforeAutospacing="0" w:after="0" w:afterAutospacing="0" w:line="360" w:lineRule="auto"/>
              <w:ind w:left="0" w:right="0" w:firstLine="480" w:firstLineChars="200"/>
              <w:jc w:val="left"/>
              <w:rPr>
                <w:bCs/>
                <w:sz w:val="24"/>
              </w:rPr>
            </w:pPr>
            <w:r>
              <w:rPr>
                <w:sz w:val="24"/>
              </w:rPr>
              <w:t>单个集气罩在充分考虑风损及捕集效率的情况下，风量按照</w:t>
            </w:r>
            <w:r>
              <w:rPr>
                <w:rFonts w:hint="eastAsia"/>
                <w:sz w:val="24"/>
                <w:lang w:val="en-US" w:eastAsia="zh-CN"/>
              </w:rPr>
              <w:t>700</w:t>
            </w:r>
            <w:r>
              <w:rPr>
                <w:bCs/>
                <w:sz w:val="24"/>
              </w:rPr>
              <w:t>m</w:t>
            </w:r>
            <w:r>
              <w:rPr>
                <w:bCs/>
                <w:sz w:val="24"/>
                <w:vertAlign w:val="superscript"/>
              </w:rPr>
              <w:t>3</w:t>
            </w:r>
            <w:r>
              <w:rPr>
                <w:bCs/>
                <w:sz w:val="24"/>
              </w:rPr>
              <w:t>/h进行计算，项目共有</w:t>
            </w:r>
            <w:r>
              <w:rPr>
                <w:rFonts w:hint="eastAsia"/>
                <w:bCs/>
                <w:sz w:val="24"/>
              </w:rPr>
              <w:t>15</w:t>
            </w:r>
            <w:r>
              <w:rPr>
                <w:bCs/>
                <w:sz w:val="24"/>
              </w:rPr>
              <w:t>个集气罩</w:t>
            </w:r>
            <w:r>
              <w:rPr>
                <w:rFonts w:hint="eastAsia"/>
                <w:bCs/>
                <w:sz w:val="24"/>
              </w:rPr>
              <w:t>（位于烘箱上方，烘箱为开关型）</w:t>
            </w:r>
            <w:r>
              <w:rPr>
                <w:bCs/>
                <w:sz w:val="24"/>
              </w:rPr>
              <w:t>，风量为</w:t>
            </w:r>
            <w:r>
              <w:rPr>
                <w:rFonts w:hint="eastAsia"/>
                <w:bCs/>
                <w:sz w:val="24"/>
                <w:lang w:val="en-US" w:eastAsia="zh-CN"/>
              </w:rPr>
              <w:t>10500</w:t>
            </w:r>
            <w:r>
              <w:rPr>
                <w:bCs/>
                <w:sz w:val="24"/>
              </w:rPr>
              <w:t>m</w:t>
            </w:r>
            <w:r>
              <w:rPr>
                <w:bCs/>
                <w:sz w:val="24"/>
                <w:vertAlign w:val="superscript"/>
              </w:rPr>
              <w:t>3</w:t>
            </w:r>
            <w:r>
              <w:rPr>
                <w:bCs/>
                <w:sz w:val="24"/>
              </w:rPr>
              <w:t>/h。</w:t>
            </w:r>
          </w:p>
          <w:p>
            <w:pPr>
              <w:keepNext w:val="0"/>
              <w:keepLines w:val="0"/>
              <w:suppressLineNumbers w:val="0"/>
              <w:adjustRightInd w:val="0"/>
              <w:snapToGrid w:val="0"/>
              <w:spacing w:before="0" w:beforeAutospacing="0" w:after="0" w:afterAutospacing="0" w:line="360" w:lineRule="auto"/>
              <w:ind w:left="0" w:right="0" w:firstLine="480" w:firstLineChars="200"/>
              <w:jc w:val="left"/>
              <w:rPr>
                <w:sz w:val="24"/>
              </w:rPr>
            </w:pPr>
            <w:r>
              <w:rPr>
                <w:rFonts w:ascii="宋体" w:hAnsi="宋体"/>
                <w:sz w:val="24"/>
              </w:rPr>
              <w:t>项目采用集气罩为伞形集气吸尘罩，位于</w:t>
            </w:r>
            <w:r>
              <w:rPr>
                <w:rFonts w:hint="eastAsia" w:ascii="宋体" w:hAnsi="宋体"/>
                <w:sz w:val="24"/>
              </w:rPr>
              <w:t>注塑</w:t>
            </w:r>
            <w:r>
              <w:rPr>
                <w:rFonts w:ascii="宋体" w:hAnsi="宋体"/>
                <w:sz w:val="24"/>
              </w:rPr>
              <w:t>机上方，</w:t>
            </w:r>
            <w:r>
              <w:rPr>
                <w:rFonts w:hint="eastAsia" w:ascii="宋体" w:hAnsi="宋体"/>
                <w:sz w:val="24"/>
              </w:rPr>
              <w:t>注塑</w:t>
            </w:r>
            <w:r>
              <w:rPr>
                <w:rFonts w:ascii="宋体" w:hAnsi="宋体"/>
                <w:sz w:val="24"/>
              </w:rPr>
              <w:t>机工作温度为</w:t>
            </w:r>
            <w:r>
              <w:rPr>
                <w:rFonts w:hint="eastAsia"/>
                <w:bCs/>
                <w:sz w:val="24"/>
              </w:rPr>
              <w:t>160~</w:t>
            </w:r>
            <w:r>
              <w:rPr>
                <w:sz w:val="24"/>
              </w:rPr>
              <w:t>1</w:t>
            </w:r>
            <w:r>
              <w:rPr>
                <w:rFonts w:hint="eastAsia"/>
                <w:sz w:val="24"/>
              </w:rPr>
              <w:t>80</w:t>
            </w:r>
            <w:r>
              <w:rPr>
                <w:rFonts w:hint="eastAsia" w:ascii="宋体" w:hAnsi="宋体" w:cs="宋体"/>
                <w:sz w:val="24"/>
              </w:rPr>
              <w:t>℃</w:t>
            </w:r>
            <w:r>
              <w:rPr>
                <w:rFonts w:ascii="宋体" w:hAnsi="宋体"/>
                <w:sz w:val="24"/>
              </w:rPr>
              <w:t>，参考《除尘技术手册》（张殿印、张学义编著）中关于热设备伞形集气吸尘罩（低悬罩）的风量计算。</w:t>
            </w:r>
          </w:p>
          <w:p>
            <w:pPr>
              <w:keepNext w:val="0"/>
              <w:keepLines w:val="0"/>
              <w:suppressLineNumbers w:val="0"/>
              <w:adjustRightInd w:val="0"/>
              <w:snapToGrid w:val="0"/>
              <w:spacing w:before="0" w:beforeAutospacing="0" w:after="0" w:afterAutospacing="0" w:line="360" w:lineRule="auto"/>
              <w:ind w:left="0" w:right="0" w:firstLine="480" w:firstLineChars="200"/>
              <w:jc w:val="left"/>
              <w:rPr>
                <w:sz w:val="24"/>
              </w:rPr>
            </w:pPr>
            <w:r>
              <w:rPr>
                <w:rFonts w:hint="eastAsia"/>
                <w:sz w:val="24"/>
              </w:rPr>
              <w:t>注塑机</w:t>
            </w:r>
            <w:r>
              <w:rPr>
                <w:rFonts w:ascii="宋体" w:hAnsi="宋体"/>
                <w:sz w:val="24"/>
              </w:rPr>
              <w:t>（</w:t>
            </w:r>
            <w:r>
              <w:rPr>
                <w:rFonts w:hint="eastAsia"/>
                <w:sz w:val="24"/>
              </w:rPr>
              <w:t>5</w:t>
            </w:r>
            <w:r>
              <w:rPr>
                <w:rFonts w:ascii="宋体" w:hAnsi="宋体"/>
                <w:sz w:val="24"/>
              </w:rPr>
              <w:t>台）</w:t>
            </w:r>
          </w:p>
          <w:p>
            <w:pPr>
              <w:keepNext w:val="0"/>
              <w:keepLines w:val="0"/>
              <w:suppressLineNumbers w:val="0"/>
              <w:adjustRightInd w:val="0"/>
              <w:snapToGrid w:val="0"/>
              <w:spacing w:before="0" w:beforeAutospacing="0" w:after="0" w:afterAutospacing="0" w:line="360" w:lineRule="auto"/>
              <w:ind w:left="0" w:right="0" w:firstLine="480" w:firstLineChars="200"/>
              <w:jc w:val="left"/>
              <w:rPr>
                <w:sz w:val="24"/>
              </w:rPr>
            </w:pPr>
            <w:r>
              <w:rPr>
                <w:rFonts w:hint="eastAsia" w:ascii="宋体" w:hAnsi="宋体"/>
                <w:sz w:val="24"/>
              </w:rPr>
              <w:t>热设备水平面对流散热量</w:t>
            </w:r>
            <w:r>
              <w:rPr>
                <w:rFonts w:hint="eastAsia"/>
                <w:sz w:val="24"/>
              </w:rPr>
              <w:t>W</w:t>
            </w:r>
          </w:p>
          <w:p>
            <w:pPr>
              <w:keepNext w:val="0"/>
              <w:keepLines w:val="0"/>
              <w:suppressLineNumbers w:val="0"/>
              <w:adjustRightInd w:val="0"/>
              <w:snapToGrid w:val="0"/>
              <w:spacing w:before="0" w:beforeAutospacing="0" w:after="0" w:afterAutospacing="0" w:line="360" w:lineRule="auto"/>
              <w:ind w:left="0" w:right="0" w:firstLine="480" w:firstLineChars="200"/>
              <w:jc w:val="left"/>
              <w:rPr>
                <w:sz w:val="24"/>
              </w:rPr>
            </w:pPr>
            <m:oMathPara>
              <m:oMath>
                <m:r>
                  <m:rPr>
                    <m:sty m:val="p"/>
                  </m:rPr>
                  <w:rPr>
                    <w:rFonts w:ascii="Cambria Math"/>
                    <w:sz w:val="24"/>
                  </w:rPr>
                  <m:t>W=</m:t>
                </m:r>
                <m:f>
                  <m:fPr>
                    <m:ctrlPr>
                      <w:rPr>
                        <w:rFonts w:ascii="Cambria Math" w:hAnsi="Cambria Math"/>
                        <w:sz w:val="24"/>
                      </w:rPr>
                    </m:ctrlPr>
                  </m:fPr>
                  <m:num>
                    <m:r>
                      <m:rPr/>
                      <w:rPr>
                        <w:rFonts w:ascii="Cambria Math"/>
                        <w:sz w:val="24"/>
                      </w:rPr>
                      <m:t>9</m:t>
                    </m:r>
                    <m:r>
                      <m:rPr/>
                      <w:rPr>
                        <w:rFonts w:ascii="Cambria Math" w:hAnsi="Cambria Math"/>
                        <w:sz w:val="24"/>
                      </w:rPr>
                      <m:t>∗</m:t>
                    </m:r>
                    <m:sSup>
                      <m:sSupPr>
                        <m:ctrlPr>
                          <w:rPr>
                            <w:rFonts w:ascii="Cambria Math" w:hAnsi="Cambria Math"/>
                            <w:i/>
                            <w:sz w:val="24"/>
                          </w:rPr>
                        </m:ctrlPr>
                      </m:sSupPr>
                      <m:e>
                        <m:d>
                          <m:dPr>
                            <m:ctrlPr>
                              <w:rPr>
                                <w:rFonts w:ascii="Cambria Math" w:hAnsi="Cambria Math"/>
                                <w:i/>
                                <w:sz w:val="24"/>
                              </w:rPr>
                            </m:ctrlPr>
                          </m:dPr>
                          <m:e>
                            <m:sSub>
                              <m:sSubPr>
                                <m:ctrlPr>
                                  <w:rPr>
                                    <w:rFonts w:ascii="Cambria Math" w:hAnsi="Cambria Math"/>
                                    <w:i/>
                                    <w:sz w:val="24"/>
                                  </w:rPr>
                                </m:ctrlPr>
                              </m:sSubPr>
                              <m:e>
                                <m:r>
                                  <m:rPr/>
                                  <w:rPr>
                                    <w:rFonts w:ascii="Cambria Math" w:hAnsi="Cambria Math"/>
                                    <w:sz w:val="24"/>
                                  </w:rPr>
                                  <m:t>t</m:t>
                                </m:r>
                                <m:ctrlPr>
                                  <w:rPr>
                                    <w:rFonts w:ascii="Cambria Math" w:hAnsi="Cambria Math"/>
                                    <w:i/>
                                    <w:sz w:val="24"/>
                                  </w:rPr>
                                </m:ctrlPr>
                              </m:e>
                              <m:sub>
                                <m:r>
                                  <m:rPr/>
                                  <w:rPr>
                                    <w:rFonts w:ascii="Cambria Math" w:hAnsi="Cambria Math"/>
                                    <w:sz w:val="24"/>
                                  </w:rPr>
                                  <m:t>n</m:t>
                                </m:r>
                                <m:ctrlPr>
                                  <w:rPr>
                                    <w:rFonts w:ascii="Cambria Math" w:hAnsi="Cambria Math"/>
                                    <w:i/>
                                    <w:sz w:val="24"/>
                                  </w:rPr>
                                </m:ctrlPr>
                              </m:sub>
                            </m:sSub>
                            <m:r>
                              <m:rPr/>
                              <w:rPr>
                                <w:sz w:val="24"/>
                              </w:rPr>
                              <m:t>−</m:t>
                            </m:r>
                            <m:r>
                              <m:rPr/>
                              <w:rPr>
                                <w:rFonts w:ascii="Cambria Math" w:hAnsi="Cambria Math"/>
                                <w:sz w:val="24"/>
                              </w:rPr>
                              <m:t>t</m:t>
                            </m:r>
                            <m:ctrlPr>
                              <w:rPr>
                                <w:rFonts w:ascii="Cambria Math" w:hAnsi="Cambria Math"/>
                                <w:i/>
                                <w:sz w:val="24"/>
                              </w:rPr>
                            </m:ctrlPr>
                          </m:e>
                        </m:d>
                        <m:ctrlPr>
                          <w:rPr>
                            <w:rFonts w:ascii="Cambria Math" w:hAnsi="Cambria Math"/>
                            <w:i/>
                            <w:sz w:val="24"/>
                          </w:rPr>
                        </m:ctrlPr>
                      </m:e>
                      <m:sup>
                        <m:r>
                          <m:rPr/>
                          <w:rPr>
                            <w:rFonts w:ascii="Cambria Math"/>
                            <w:sz w:val="24"/>
                          </w:rPr>
                          <m:t>1.25</m:t>
                        </m:r>
                        <m:ctrlPr>
                          <w:rPr>
                            <w:rFonts w:ascii="Cambria Math" w:hAnsi="Cambria Math"/>
                            <w:i/>
                            <w:sz w:val="24"/>
                          </w:rPr>
                        </m:ctrlPr>
                      </m:sup>
                    </m:sSup>
                    <m:r>
                      <m:rPr/>
                      <w:rPr>
                        <w:rFonts w:hAnsi="Cambria Math"/>
                        <w:sz w:val="24"/>
                      </w:rPr>
                      <m:t>∗</m:t>
                    </m:r>
                    <m:r>
                      <m:rPr/>
                      <w:rPr>
                        <w:rFonts w:ascii="Cambria Math" w:hAnsi="Cambria Math"/>
                        <w:sz w:val="24"/>
                      </w:rPr>
                      <m:t>S</m:t>
                    </m:r>
                    <m:ctrlPr>
                      <w:rPr>
                        <w:rFonts w:ascii="Cambria Math" w:hAnsi="Cambria Math"/>
                        <w:sz w:val="24"/>
                      </w:rPr>
                    </m:ctrlPr>
                  </m:num>
                  <m:den>
                    <m:r>
                      <m:rPr/>
                      <w:rPr>
                        <w:rFonts w:ascii="Cambria Math"/>
                        <w:sz w:val="24"/>
                      </w:rPr>
                      <m:t>3600</m:t>
                    </m:r>
                    <m:ctrlPr>
                      <w:rPr>
                        <w:rFonts w:ascii="Cambria Math" w:hAnsi="Cambria Math"/>
                        <w:sz w:val="24"/>
                      </w:rPr>
                    </m:ctrlPr>
                  </m:den>
                </m:f>
              </m:oMath>
            </m:oMathPara>
          </w:p>
          <w:p>
            <w:pPr>
              <w:keepNext w:val="0"/>
              <w:keepLines w:val="0"/>
              <w:suppressLineNumbers w:val="0"/>
              <w:adjustRightInd w:val="0"/>
              <w:snapToGrid w:val="0"/>
              <w:spacing w:before="0" w:beforeAutospacing="0" w:after="0" w:afterAutospacing="0" w:line="360" w:lineRule="auto"/>
              <w:ind w:left="0" w:right="0" w:firstLine="480" w:firstLineChars="200"/>
              <w:jc w:val="left"/>
              <w:rPr>
                <w:sz w:val="24"/>
              </w:rPr>
            </w:pPr>
            <w:r>
              <w:rPr>
                <w:rFonts w:hint="eastAsia" w:ascii="宋体" w:hAnsi="宋体"/>
                <w:sz w:val="24"/>
              </w:rPr>
              <w:t>其中：</w:t>
            </w:r>
            <w:r>
              <w:rPr>
                <w:rFonts w:hint="eastAsia"/>
                <w:sz w:val="24"/>
              </w:rPr>
              <w:t>W</w:t>
            </w:r>
            <w:r>
              <w:rPr>
                <w:rFonts w:hint="eastAsia" w:ascii="宋体" w:hAnsi="宋体"/>
                <w:sz w:val="24"/>
              </w:rPr>
              <w:t>——热设备水平面对流散热量，</w:t>
            </w:r>
            <w:r>
              <w:rPr>
                <w:rFonts w:hint="eastAsia"/>
                <w:sz w:val="24"/>
              </w:rPr>
              <w:t>kJ/s</w:t>
            </w:r>
            <w:r>
              <w:rPr>
                <w:rFonts w:hint="eastAsia" w:ascii="宋体" w:hAnsi="宋体"/>
                <w:sz w:val="24"/>
              </w:rPr>
              <w:t>；</w:t>
            </w:r>
          </w:p>
          <w:p>
            <w:pPr>
              <w:keepNext w:val="0"/>
              <w:keepLines w:val="0"/>
              <w:suppressLineNumbers w:val="0"/>
              <w:adjustRightInd w:val="0"/>
              <w:snapToGrid w:val="0"/>
              <w:spacing w:before="0" w:beforeAutospacing="0" w:after="0" w:afterAutospacing="0" w:line="360" w:lineRule="auto"/>
              <w:ind w:left="0" w:right="0" w:firstLine="1200" w:firstLineChars="500"/>
              <w:jc w:val="left"/>
              <w:rPr>
                <w:sz w:val="24"/>
              </w:rPr>
            </w:pPr>
            <w:r>
              <w:rPr>
                <w:rFonts w:hint="eastAsia"/>
                <w:sz w:val="24"/>
              </w:rPr>
              <w:t>S</w:t>
            </w:r>
            <w:r>
              <w:rPr>
                <w:rFonts w:hint="eastAsia" w:ascii="宋体" w:hAnsi="宋体"/>
                <w:sz w:val="24"/>
              </w:rPr>
              <w:t>——热设备水平表面积，</w:t>
            </w:r>
            <w:r>
              <w:rPr>
                <w:rFonts w:hint="eastAsia"/>
                <w:sz w:val="24"/>
              </w:rPr>
              <w:t>m</w:t>
            </w:r>
            <w:r>
              <w:rPr>
                <w:rFonts w:hint="eastAsia"/>
                <w:sz w:val="24"/>
                <w:vertAlign w:val="superscript"/>
              </w:rPr>
              <w:t>2</w:t>
            </w:r>
            <w:r>
              <w:rPr>
                <w:rFonts w:hint="eastAsia" w:ascii="宋体" w:hAnsi="宋体"/>
                <w:sz w:val="24"/>
              </w:rPr>
              <w:t>；本项目约为</w:t>
            </w:r>
            <w:r>
              <w:rPr>
                <w:rFonts w:hint="eastAsia"/>
                <w:sz w:val="24"/>
                <w:lang w:val="en-US" w:eastAsia="zh-CN"/>
              </w:rPr>
              <w:t>1</w:t>
            </w:r>
            <w:r>
              <w:rPr>
                <w:rFonts w:hint="eastAsia"/>
                <w:sz w:val="24"/>
              </w:rPr>
              <w:t>m</w:t>
            </w:r>
            <w:r>
              <w:rPr>
                <w:rFonts w:hint="eastAsia"/>
                <w:sz w:val="24"/>
                <w:vertAlign w:val="superscript"/>
              </w:rPr>
              <w:t>2</w:t>
            </w:r>
            <w:r>
              <w:rPr>
                <w:rFonts w:hint="eastAsia" w:ascii="宋体" w:hAnsi="宋体"/>
                <w:sz w:val="24"/>
              </w:rPr>
              <w:t>。</w:t>
            </w:r>
          </w:p>
          <w:p>
            <w:pPr>
              <w:keepNext w:val="0"/>
              <w:keepLines w:val="0"/>
              <w:suppressLineNumbers w:val="0"/>
              <w:adjustRightInd w:val="0"/>
              <w:snapToGrid w:val="0"/>
              <w:spacing w:before="0" w:beforeAutospacing="0" w:after="0" w:afterAutospacing="0" w:line="360" w:lineRule="auto"/>
              <w:ind w:left="0" w:right="0" w:firstLine="1200" w:firstLineChars="500"/>
              <w:jc w:val="left"/>
              <w:rPr>
                <w:sz w:val="24"/>
              </w:rPr>
            </w:pPr>
            <w:r>
              <w:rPr>
                <w:rFonts w:hint="eastAsia"/>
                <w:sz w:val="24"/>
              </w:rPr>
              <w:t>t</w:t>
            </w:r>
            <w:r>
              <w:rPr>
                <w:rFonts w:hint="eastAsia"/>
                <w:sz w:val="24"/>
                <w:vertAlign w:val="subscript"/>
              </w:rPr>
              <w:t>n</w:t>
            </w:r>
            <w:r>
              <w:rPr>
                <w:rFonts w:hint="eastAsia"/>
                <w:sz w:val="24"/>
              </w:rPr>
              <w:t>——热设备水平表面温度，℃；本项目约为180</w:t>
            </w:r>
            <w:r>
              <w:rPr>
                <w:rFonts w:hint="eastAsia" w:ascii="宋体" w:hAnsi="宋体"/>
                <w:sz w:val="24"/>
              </w:rPr>
              <w:t>℃。</w:t>
            </w:r>
          </w:p>
          <w:p>
            <w:pPr>
              <w:keepNext w:val="0"/>
              <w:keepLines w:val="0"/>
              <w:suppressLineNumbers w:val="0"/>
              <w:adjustRightInd w:val="0"/>
              <w:snapToGrid w:val="0"/>
              <w:spacing w:before="0" w:beforeAutospacing="0" w:after="0" w:afterAutospacing="0" w:line="360" w:lineRule="auto"/>
              <w:ind w:left="0" w:right="0" w:firstLine="1200" w:firstLineChars="500"/>
              <w:jc w:val="left"/>
              <w:rPr>
                <w:sz w:val="24"/>
              </w:rPr>
            </w:pPr>
            <w:r>
              <w:rPr>
                <w:rFonts w:hint="eastAsia"/>
                <w:sz w:val="24"/>
              </w:rPr>
              <w:t>t</w:t>
            </w:r>
            <w:r>
              <w:rPr>
                <w:rFonts w:hint="eastAsia" w:ascii="宋体" w:hAnsi="宋体"/>
                <w:sz w:val="24"/>
              </w:rPr>
              <w:t>——周围空气温度，℃；本项目约为</w:t>
            </w:r>
            <w:r>
              <w:rPr>
                <w:rFonts w:hint="eastAsia"/>
                <w:sz w:val="24"/>
              </w:rPr>
              <w:t>25</w:t>
            </w:r>
            <w:r>
              <w:rPr>
                <w:rFonts w:hint="eastAsia" w:ascii="宋体" w:hAnsi="宋体"/>
                <w:sz w:val="24"/>
              </w:rPr>
              <w:t>℃。</w:t>
            </w:r>
          </w:p>
          <w:p>
            <w:pPr>
              <w:keepNext w:val="0"/>
              <w:keepLines w:val="0"/>
              <w:suppressLineNumbers w:val="0"/>
              <w:adjustRightInd w:val="0"/>
              <w:snapToGrid w:val="0"/>
              <w:spacing w:before="0" w:beforeAutospacing="0" w:after="0" w:afterAutospacing="0" w:line="360" w:lineRule="auto"/>
              <w:ind w:left="0" w:right="0"/>
              <w:jc w:val="center"/>
              <w:rPr>
                <w:bCs/>
                <w:sz w:val="24"/>
              </w:rPr>
            </w:pPr>
            <m:oMathPara>
              <m:oMath>
                <m:r>
                  <m:rPr>
                    <m:sty m:val="p"/>
                  </m:rPr>
                  <w:rPr>
                    <w:rFonts w:ascii="Cambria Math" w:hAnsi="Cambria Math"/>
                    <w:sz w:val="24"/>
                  </w:rPr>
                  <m:t>W=</m:t>
                </m:r>
                <m:f>
                  <m:fPr>
                    <m:ctrlPr>
                      <w:rPr>
                        <w:rFonts w:ascii="Cambria Math" w:hAnsi="Cambria Math"/>
                        <w:bCs/>
                        <w:sz w:val="24"/>
                      </w:rPr>
                    </m:ctrlPr>
                  </m:fPr>
                  <m:num>
                    <m:r>
                      <m:rPr/>
                      <w:rPr>
                        <w:rFonts w:ascii="Cambria Math" w:hAnsi="Cambria Math"/>
                        <w:sz w:val="24"/>
                      </w:rPr>
                      <m:t>9∗</m:t>
                    </m:r>
                    <m:sSup>
                      <m:sSupPr>
                        <m:ctrlPr>
                          <w:rPr>
                            <w:rFonts w:ascii="Cambria Math" w:hAnsi="Cambria Math"/>
                            <w:bCs/>
                            <w:i/>
                            <w:sz w:val="24"/>
                          </w:rPr>
                        </m:ctrlPr>
                      </m:sSupPr>
                      <m:e>
                        <m:d>
                          <m:dPr>
                            <m:ctrlPr>
                              <w:rPr>
                                <w:rFonts w:ascii="Cambria Math" w:hAnsi="Cambria Math"/>
                                <w:bCs/>
                                <w:i/>
                                <w:sz w:val="24"/>
                              </w:rPr>
                            </m:ctrlPr>
                          </m:dPr>
                          <m:e>
                            <m:r>
                              <m:rPr/>
                              <w:rPr>
                                <w:rFonts w:ascii="Cambria Math" w:hAnsi="Cambria Math"/>
                                <w:sz w:val="24"/>
                              </w:rPr>
                              <m:t>180−25</m:t>
                            </m:r>
                            <m:ctrlPr>
                              <w:rPr>
                                <w:rFonts w:ascii="Cambria Math" w:hAnsi="Cambria Math"/>
                                <w:bCs/>
                                <w:i/>
                                <w:sz w:val="24"/>
                              </w:rPr>
                            </m:ctrlPr>
                          </m:e>
                        </m:d>
                        <m:ctrlPr>
                          <w:rPr>
                            <w:rFonts w:ascii="Cambria Math" w:hAnsi="Cambria Math"/>
                            <w:bCs/>
                            <w:i/>
                            <w:sz w:val="24"/>
                          </w:rPr>
                        </m:ctrlPr>
                      </m:e>
                      <m:sup>
                        <m:r>
                          <m:rPr/>
                          <w:rPr>
                            <w:rFonts w:ascii="Cambria Math" w:hAnsi="Cambria Math"/>
                            <w:sz w:val="24"/>
                          </w:rPr>
                          <m:t>1.25</m:t>
                        </m:r>
                        <m:ctrlPr>
                          <w:rPr>
                            <w:rFonts w:ascii="Cambria Math" w:hAnsi="Cambria Math"/>
                            <w:bCs/>
                            <w:i/>
                            <w:sz w:val="24"/>
                          </w:rPr>
                        </m:ctrlPr>
                      </m:sup>
                    </m:sSup>
                    <m:r>
                      <m:rPr/>
                      <w:rPr>
                        <w:rFonts w:ascii="Cambria Math" w:hAnsi="Cambria Math"/>
                        <w:sz w:val="24"/>
                      </w:rPr>
                      <m:t>∗</m:t>
                    </m:r>
                    <m:r>
                      <m:rPr/>
                      <w:rPr>
                        <w:rFonts w:hint="default" w:ascii="Cambria Math" w:hAnsi="Cambria Math"/>
                        <w:sz w:val="24"/>
                        <w:lang w:val="en-US" w:eastAsia="zh-CN"/>
                      </w:rPr>
                      <m:t>1</m:t>
                    </m:r>
                    <m:ctrlPr>
                      <w:rPr>
                        <w:rFonts w:ascii="Cambria Math" w:hAnsi="Cambria Math"/>
                        <w:bCs/>
                        <w:sz w:val="24"/>
                      </w:rPr>
                    </m:ctrlPr>
                  </m:num>
                  <m:den>
                    <m:r>
                      <m:rPr/>
                      <w:rPr>
                        <w:rFonts w:ascii="Cambria Math" w:hAnsi="Cambria Math"/>
                        <w:sz w:val="24"/>
                      </w:rPr>
                      <m:t>3600</m:t>
                    </m:r>
                    <m:ctrlPr>
                      <w:rPr>
                        <w:rFonts w:ascii="Cambria Math" w:hAnsi="Cambria Math"/>
                        <w:bCs/>
                        <w:sz w:val="24"/>
                      </w:rPr>
                    </m:ctrlPr>
                  </m:den>
                </m:f>
                <m:r>
                  <m:rPr/>
                  <w:rPr>
                    <w:rFonts w:ascii="Cambria Math" w:hAnsi="Cambria Math"/>
                    <w:sz w:val="24"/>
                  </w:rPr>
                  <m:t>=</m:t>
                </m:r>
                <m:r>
                  <m:rPr/>
                  <w:rPr>
                    <w:rFonts w:hint="default" w:ascii="Cambria Math" w:hAnsi="Cambria Math"/>
                    <w:sz w:val="24"/>
                    <w:lang w:val="en-US" w:eastAsia="zh-CN"/>
                  </w:rPr>
                  <m:t>1.368</m:t>
                </m:r>
                <m:f>
                  <m:fPr>
                    <m:type m:val="lin"/>
                    <m:ctrlPr>
                      <w:rPr>
                        <w:rFonts w:ascii="Cambria Math" w:hAnsi="Cambria Math"/>
                        <w:bCs/>
                        <w:i/>
                        <w:sz w:val="24"/>
                      </w:rPr>
                    </m:ctrlPr>
                  </m:fPr>
                  <m:num>
                    <m:r>
                      <m:rPr>
                        <m:sty m:val="p"/>
                      </m:rPr>
                      <w:rPr>
                        <w:rFonts w:ascii="Cambria Math" w:hAnsi="Cambria Math"/>
                        <w:sz w:val="24"/>
                      </w:rPr>
                      <m:t>kJ</m:t>
                    </m:r>
                    <m:ctrlPr>
                      <w:rPr>
                        <w:rFonts w:ascii="Cambria Math" w:hAnsi="Cambria Math"/>
                        <w:bCs/>
                        <w:i/>
                        <w:sz w:val="24"/>
                      </w:rPr>
                    </m:ctrlPr>
                  </m:num>
                  <m:den>
                    <m:r>
                      <m:rPr/>
                      <w:rPr>
                        <w:rFonts w:ascii="Cambria Math" w:hAnsi="Cambria Math"/>
                        <w:sz w:val="24"/>
                      </w:rPr>
                      <m:t>s</m:t>
                    </m:r>
                    <m:ctrlPr>
                      <w:rPr>
                        <w:rFonts w:ascii="Cambria Math" w:hAnsi="Cambria Math"/>
                        <w:bCs/>
                        <w:i/>
                        <w:sz w:val="24"/>
                      </w:rPr>
                    </m:ctrlPr>
                  </m:den>
                </m:f>
              </m:oMath>
            </m:oMathPara>
          </w:p>
          <w:p>
            <w:pPr>
              <w:keepNext w:val="0"/>
              <w:keepLines w:val="0"/>
              <w:suppressLineNumbers w:val="0"/>
              <w:adjustRightInd w:val="0"/>
              <w:snapToGrid w:val="0"/>
              <w:spacing w:before="0" w:beforeAutospacing="0" w:after="0" w:afterAutospacing="0" w:line="360" w:lineRule="auto"/>
              <w:ind w:left="0" w:right="0" w:firstLine="1200" w:firstLineChars="500"/>
              <w:jc w:val="left"/>
              <w:rPr>
                <w:sz w:val="24"/>
              </w:rPr>
            </w:pPr>
            <w:r>
              <w:rPr>
                <w:rFonts w:hint="eastAsia" w:ascii="宋体" w:hAnsi="宋体"/>
                <w:sz w:val="24"/>
              </w:rPr>
              <w:t>低悬罩的排烟量</w:t>
            </w:r>
            <w:r>
              <w:rPr>
                <w:rFonts w:hint="eastAsia"/>
                <w:sz w:val="24"/>
              </w:rPr>
              <w:t>Q</w:t>
            </w:r>
          </w:p>
          <w:p>
            <w:pPr>
              <w:keepNext w:val="0"/>
              <w:keepLines w:val="0"/>
              <w:suppressLineNumbers w:val="0"/>
              <w:adjustRightInd w:val="0"/>
              <w:snapToGrid w:val="0"/>
              <w:spacing w:before="0" w:beforeAutospacing="0" w:after="0" w:afterAutospacing="0" w:line="360" w:lineRule="auto"/>
              <w:ind w:left="0" w:right="0" w:firstLine="1200" w:firstLineChars="500"/>
              <w:jc w:val="left"/>
              <w:rPr>
                <w:sz w:val="24"/>
                <w:vertAlign w:val="superscript"/>
              </w:rPr>
            </w:pPr>
            <w:r>
              <w:rPr>
                <w:rFonts w:hint="eastAsia"/>
                <w:sz w:val="24"/>
              </w:rPr>
              <w:t>Q=0.4</w:t>
            </w:r>
            <w:r>
              <w:rPr>
                <w:rFonts w:hint="eastAsia" w:ascii="宋体" w:hAnsi="宋体"/>
                <w:sz w:val="24"/>
              </w:rPr>
              <w:t>（</w:t>
            </w:r>
            <w:r>
              <w:rPr>
                <w:rFonts w:hint="eastAsia"/>
                <w:sz w:val="24"/>
              </w:rPr>
              <w:t>W*h*</w:t>
            </w:r>
            <w:r>
              <w:rPr>
                <w:rFonts w:hint="eastAsia"/>
                <w:sz w:val="24"/>
                <w:lang w:eastAsia="zh-CN"/>
              </w:rPr>
              <w:t>S1</w:t>
            </w:r>
            <w:r>
              <w:rPr>
                <w:rFonts w:hint="eastAsia" w:ascii="宋体" w:hAnsi="宋体"/>
                <w:sz w:val="24"/>
              </w:rPr>
              <w:t>）</w:t>
            </w:r>
            <w:r>
              <w:rPr>
                <w:rFonts w:hint="eastAsia"/>
                <w:sz w:val="24"/>
                <w:vertAlign w:val="superscript"/>
              </w:rPr>
              <w:t>1/3</w:t>
            </w:r>
          </w:p>
          <w:p>
            <w:pPr>
              <w:keepNext w:val="0"/>
              <w:keepLines w:val="0"/>
              <w:suppressLineNumbers w:val="0"/>
              <w:adjustRightInd w:val="0"/>
              <w:snapToGrid w:val="0"/>
              <w:spacing w:before="0" w:beforeAutospacing="0" w:after="0" w:afterAutospacing="0" w:line="360" w:lineRule="auto"/>
              <w:ind w:left="0" w:right="0" w:firstLine="480" w:firstLineChars="200"/>
              <w:jc w:val="left"/>
              <w:rPr>
                <w:sz w:val="24"/>
              </w:rPr>
            </w:pPr>
            <w:r>
              <w:rPr>
                <w:rFonts w:hint="eastAsia" w:ascii="宋体" w:hAnsi="宋体"/>
                <w:sz w:val="24"/>
              </w:rPr>
              <w:t>其中：</w:t>
            </w:r>
            <w:r>
              <w:rPr>
                <w:rFonts w:hint="eastAsia"/>
                <w:sz w:val="24"/>
              </w:rPr>
              <w:t>Q</w:t>
            </w:r>
            <w:r>
              <w:rPr>
                <w:rFonts w:hint="eastAsia" w:ascii="宋体" w:hAnsi="宋体"/>
                <w:sz w:val="24"/>
              </w:rPr>
              <w:t>——必须排烟量，</w:t>
            </w:r>
            <w:r>
              <w:rPr>
                <w:rFonts w:hint="eastAsia"/>
                <w:sz w:val="24"/>
              </w:rPr>
              <w:t>m</w:t>
            </w:r>
            <w:r>
              <w:rPr>
                <w:rFonts w:hint="eastAsia"/>
                <w:sz w:val="24"/>
                <w:vertAlign w:val="superscript"/>
              </w:rPr>
              <w:t>3</w:t>
            </w:r>
            <w:r>
              <w:rPr>
                <w:rFonts w:hint="eastAsia"/>
                <w:sz w:val="24"/>
              </w:rPr>
              <w:t>/s</w:t>
            </w:r>
            <w:r>
              <w:rPr>
                <w:rFonts w:hint="eastAsia" w:ascii="宋体" w:hAnsi="宋体"/>
                <w:sz w:val="24"/>
              </w:rPr>
              <w:t>；</w:t>
            </w:r>
          </w:p>
          <w:p>
            <w:pPr>
              <w:keepNext w:val="0"/>
              <w:keepLines w:val="0"/>
              <w:suppressLineNumbers w:val="0"/>
              <w:adjustRightInd w:val="0"/>
              <w:snapToGrid w:val="0"/>
              <w:spacing w:before="0" w:beforeAutospacing="0" w:after="0" w:afterAutospacing="0" w:line="360" w:lineRule="auto"/>
              <w:ind w:left="0" w:right="0" w:firstLine="1200" w:firstLineChars="500"/>
              <w:jc w:val="left"/>
              <w:rPr>
                <w:sz w:val="24"/>
              </w:rPr>
            </w:pPr>
            <w:r>
              <w:rPr>
                <w:rFonts w:hint="eastAsia"/>
                <w:sz w:val="24"/>
              </w:rPr>
              <w:t>h</w:t>
            </w:r>
            <w:r>
              <w:rPr>
                <w:rFonts w:hint="eastAsia" w:ascii="宋体" w:hAnsi="宋体"/>
                <w:sz w:val="24"/>
              </w:rPr>
              <w:t>——罩口离热</w:t>
            </w:r>
            <w:r>
              <w:rPr>
                <w:rFonts w:hAnsi="宋体"/>
                <w:sz w:val="24"/>
              </w:rPr>
              <w:t>设备水平面的距离，</w:t>
            </w:r>
            <w:r>
              <w:rPr>
                <w:sz w:val="24"/>
              </w:rPr>
              <w:t>m</w:t>
            </w:r>
            <w:r>
              <w:rPr>
                <w:rFonts w:hAnsi="宋体"/>
                <w:sz w:val="24"/>
              </w:rPr>
              <w:t>；本项目约为</w:t>
            </w:r>
            <w:r>
              <w:rPr>
                <w:sz w:val="24"/>
              </w:rPr>
              <w:t>0.</w:t>
            </w:r>
            <w:r>
              <w:rPr>
                <w:rFonts w:hint="eastAsia"/>
                <w:sz w:val="24"/>
              </w:rPr>
              <w:t>3</w:t>
            </w:r>
            <w:r>
              <w:rPr>
                <w:sz w:val="24"/>
              </w:rPr>
              <w:t>m</w:t>
            </w:r>
            <w:r>
              <w:rPr>
                <w:rFonts w:hAnsi="宋体"/>
                <w:sz w:val="24"/>
              </w:rPr>
              <w:t>；</w:t>
            </w:r>
          </w:p>
          <w:p>
            <w:pPr>
              <w:keepNext w:val="0"/>
              <w:keepLines w:val="0"/>
              <w:suppressLineNumbers w:val="0"/>
              <w:adjustRightInd w:val="0"/>
              <w:snapToGrid w:val="0"/>
              <w:spacing w:before="0" w:beforeAutospacing="0" w:after="0" w:afterAutospacing="0" w:line="360" w:lineRule="auto"/>
              <w:ind w:left="0" w:right="0" w:firstLine="1200" w:firstLineChars="500"/>
              <w:jc w:val="left"/>
              <w:rPr>
                <w:sz w:val="24"/>
              </w:rPr>
            </w:pPr>
            <w:r>
              <w:rPr>
                <w:rFonts w:hint="eastAsia"/>
                <w:sz w:val="24"/>
              </w:rPr>
              <w:t>W</w:t>
            </w:r>
            <w:r>
              <w:rPr>
                <w:rFonts w:hint="eastAsia" w:ascii="宋体" w:hAnsi="宋体"/>
                <w:sz w:val="24"/>
              </w:rPr>
              <w:t>——热设备水平面对流散热量，</w:t>
            </w:r>
            <w:r>
              <w:rPr>
                <w:rFonts w:hint="eastAsia"/>
                <w:sz w:val="24"/>
              </w:rPr>
              <w:t>kJ/s</w:t>
            </w:r>
            <w:r>
              <w:rPr>
                <w:rFonts w:hint="eastAsia" w:ascii="宋体" w:hAnsi="宋体"/>
                <w:sz w:val="24"/>
              </w:rPr>
              <w:t>；</w:t>
            </w:r>
          </w:p>
          <w:p>
            <w:pPr>
              <w:keepNext w:val="0"/>
              <w:keepLines w:val="0"/>
              <w:suppressLineNumbers w:val="0"/>
              <w:adjustRightInd w:val="0"/>
              <w:snapToGrid w:val="0"/>
              <w:spacing w:before="0" w:beforeAutospacing="0" w:after="0" w:afterAutospacing="0" w:line="360" w:lineRule="auto"/>
              <w:ind w:left="0" w:right="0" w:firstLine="1200" w:firstLineChars="500"/>
              <w:jc w:val="left"/>
              <w:rPr>
                <w:sz w:val="24"/>
              </w:rPr>
            </w:pPr>
            <w:r>
              <w:rPr>
                <w:rFonts w:hint="eastAsia"/>
                <w:sz w:val="24"/>
              </w:rPr>
              <w:t>S</w:t>
            </w:r>
            <w:r>
              <w:rPr>
                <w:rFonts w:hint="eastAsia" w:ascii="宋体" w:hAnsi="宋体"/>
                <w:sz w:val="24"/>
              </w:rPr>
              <w:t>——热设备水平表面积，</w:t>
            </w:r>
            <w:r>
              <w:rPr>
                <w:rFonts w:hint="eastAsia"/>
                <w:sz w:val="24"/>
              </w:rPr>
              <w:t>m</w:t>
            </w:r>
            <w:r>
              <w:rPr>
                <w:rFonts w:hint="eastAsia"/>
                <w:sz w:val="24"/>
                <w:vertAlign w:val="superscript"/>
              </w:rPr>
              <w:t>2</w:t>
            </w:r>
            <w:r>
              <w:rPr>
                <w:rFonts w:hint="eastAsia" w:ascii="宋体" w:hAnsi="宋体"/>
                <w:sz w:val="24"/>
              </w:rPr>
              <w:t>；本项目约为</w:t>
            </w:r>
            <w:r>
              <w:rPr>
                <w:rFonts w:hint="eastAsia"/>
                <w:sz w:val="24"/>
                <w:lang w:val="en-US" w:eastAsia="zh-CN"/>
              </w:rPr>
              <w:t>1</w:t>
            </w:r>
            <w:r>
              <w:rPr>
                <w:rFonts w:hint="eastAsia"/>
                <w:sz w:val="24"/>
              </w:rPr>
              <w:t>m</w:t>
            </w:r>
            <w:r>
              <w:rPr>
                <w:rFonts w:hint="eastAsia"/>
                <w:sz w:val="24"/>
                <w:vertAlign w:val="superscript"/>
              </w:rPr>
              <w:t>2</w:t>
            </w:r>
            <w:r>
              <w:rPr>
                <w:rFonts w:hint="eastAsia" w:ascii="宋体" w:hAnsi="宋体"/>
                <w:sz w:val="24"/>
              </w:rPr>
              <w:t>。</w:t>
            </w:r>
          </w:p>
          <w:p>
            <w:pPr>
              <w:keepNext w:val="0"/>
              <w:keepLines w:val="0"/>
              <w:suppressLineNumbers w:val="0"/>
              <w:adjustRightInd w:val="0"/>
              <w:snapToGrid w:val="0"/>
              <w:spacing w:before="0" w:beforeAutospacing="0" w:after="0" w:afterAutospacing="0" w:line="360" w:lineRule="auto"/>
              <w:ind w:left="0" w:right="0" w:firstLine="1200" w:firstLineChars="500"/>
              <w:jc w:val="left"/>
              <w:rPr>
                <w:sz w:val="24"/>
              </w:rPr>
            </w:pPr>
            <w:r>
              <w:rPr>
                <w:rFonts w:hint="eastAsia"/>
                <w:sz w:val="24"/>
              </w:rPr>
              <w:t>Q1=0.4</w:t>
            </w:r>
            <w:r>
              <w:rPr>
                <w:rFonts w:hint="eastAsia" w:ascii="宋体" w:hAnsi="宋体"/>
                <w:sz w:val="24"/>
              </w:rPr>
              <w:t>（</w:t>
            </w:r>
            <w:r>
              <w:rPr>
                <w:rFonts w:hint="eastAsia"/>
                <w:sz w:val="24"/>
                <w:lang w:val="en-US" w:eastAsia="zh-CN"/>
              </w:rPr>
              <w:t>1.368</w:t>
            </w:r>
            <w:r>
              <w:rPr>
                <w:rFonts w:hint="eastAsia"/>
                <w:sz w:val="24"/>
              </w:rPr>
              <w:t>*0.3*</w:t>
            </w:r>
            <w:r>
              <w:rPr>
                <w:rFonts w:hint="eastAsia"/>
                <w:sz w:val="24"/>
                <w:lang w:val="en-US" w:eastAsia="zh-CN"/>
              </w:rPr>
              <w:t>1</w:t>
            </w:r>
            <w:r>
              <w:rPr>
                <w:rFonts w:hint="eastAsia"/>
                <w:sz w:val="24"/>
                <w:vertAlign w:val="superscript"/>
              </w:rPr>
              <w:t>2</w:t>
            </w:r>
            <w:r>
              <w:rPr>
                <w:rFonts w:hint="eastAsia" w:ascii="宋体" w:hAnsi="宋体"/>
                <w:sz w:val="24"/>
              </w:rPr>
              <w:t>）</w:t>
            </w:r>
            <w:r>
              <w:rPr>
                <w:rFonts w:hint="eastAsia"/>
                <w:sz w:val="24"/>
                <w:vertAlign w:val="superscript"/>
              </w:rPr>
              <w:t>1/3</w:t>
            </w:r>
            <w:r>
              <w:rPr>
                <w:rFonts w:hint="eastAsia"/>
                <w:sz w:val="24"/>
              </w:rPr>
              <w:t>=0.</w:t>
            </w:r>
            <w:r>
              <w:rPr>
                <w:rFonts w:hint="eastAsia"/>
                <w:sz w:val="24"/>
                <w:lang w:val="en-US" w:eastAsia="zh-CN"/>
              </w:rPr>
              <w:t>297</w:t>
            </w:r>
            <w:r>
              <w:rPr>
                <w:rFonts w:hint="eastAsia"/>
                <w:sz w:val="24"/>
              </w:rPr>
              <w:t>m</w:t>
            </w:r>
            <w:r>
              <w:rPr>
                <w:rFonts w:hint="eastAsia"/>
                <w:sz w:val="24"/>
                <w:vertAlign w:val="superscript"/>
              </w:rPr>
              <w:t>3</w:t>
            </w:r>
            <w:r>
              <w:rPr>
                <w:rFonts w:hint="eastAsia"/>
                <w:sz w:val="24"/>
              </w:rPr>
              <w:t>/s=</w:t>
            </w:r>
            <w:r>
              <w:rPr>
                <w:rFonts w:hint="eastAsia"/>
                <w:sz w:val="24"/>
                <w:lang w:val="en-US" w:eastAsia="zh-CN"/>
              </w:rPr>
              <w:t>1069.2</w:t>
            </w:r>
            <w:r>
              <w:rPr>
                <w:rFonts w:hint="eastAsia"/>
                <w:sz w:val="24"/>
              </w:rPr>
              <w:t>m</w:t>
            </w:r>
            <w:r>
              <w:rPr>
                <w:rFonts w:hint="eastAsia"/>
                <w:sz w:val="24"/>
                <w:vertAlign w:val="superscript"/>
              </w:rPr>
              <w:t>3</w:t>
            </w:r>
            <w:r>
              <w:rPr>
                <w:rFonts w:hint="eastAsia"/>
                <w:sz w:val="24"/>
              </w:rPr>
              <w:t>/h</w:t>
            </w:r>
          </w:p>
          <w:p>
            <w:pPr>
              <w:keepNext w:val="0"/>
              <w:keepLines w:val="0"/>
              <w:suppressLineNumbers w:val="0"/>
              <w:adjustRightInd w:val="0"/>
              <w:snapToGrid w:val="0"/>
              <w:spacing w:before="0" w:beforeAutospacing="0" w:after="0" w:afterAutospacing="0" w:line="360" w:lineRule="auto"/>
              <w:ind w:left="0" w:right="0" w:firstLine="480" w:firstLineChars="200"/>
              <w:rPr>
                <w:bCs/>
                <w:sz w:val="24"/>
                <w:szCs w:val="22"/>
              </w:rPr>
            </w:pPr>
            <w:r>
              <w:rPr>
                <w:rFonts w:hint="eastAsia"/>
                <w:bCs/>
                <w:sz w:val="24"/>
                <w:szCs w:val="22"/>
              </w:rPr>
              <w:t>本项目共设5个集气罩，设计风量取</w:t>
            </w:r>
            <w:r>
              <w:rPr>
                <w:rFonts w:hint="eastAsia"/>
                <w:bCs/>
                <w:sz w:val="24"/>
                <w:szCs w:val="22"/>
                <w:lang w:val="en-US" w:eastAsia="zh-CN"/>
              </w:rPr>
              <w:t>120</w:t>
            </w:r>
            <w:r>
              <w:rPr>
                <w:rFonts w:hint="eastAsia"/>
                <w:bCs/>
                <w:sz w:val="24"/>
                <w:szCs w:val="22"/>
              </w:rPr>
              <w:t>0</w:t>
            </w:r>
            <w:r>
              <w:rPr>
                <w:bCs/>
                <w:sz w:val="24"/>
              </w:rPr>
              <w:t>m</w:t>
            </w:r>
            <w:r>
              <w:rPr>
                <w:bCs/>
                <w:sz w:val="24"/>
                <w:vertAlign w:val="superscript"/>
              </w:rPr>
              <w:t>3</w:t>
            </w:r>
            <w:r>
              <w:rPr>
                <w:bCs/>
                <w:sz w:val="24"/>
              </w:rPr>
              <w:t>/h，</w:t>
            </w:r>
            <w:r>
              <w:rPr>
                <w:rFonts w:hint="eastAsia"/>
                <w:bCs/>
                <w:sz w:val="24"/>
                <w:szCs w:val="22"/>
              </w:rPr>
              <w:t>总所需风量为</w:t>
            </w:r>
            <w:r>
              <w:rPr>
                <w:rFonts w:hint="eastAsia"/>
                <w:bCs/>
                <w:sz w:val="24"/>
                <w:szCs w:val="22"/>
                <w:lang w:val="en-US" w:eastAsia="zh-CN"/>
              </w:rPr>
              <w:t>12</w:t>
            </w:r>
            <w:r>
              <w:rPr>
                <w:rFonts w:hint="eastAsia"/>
                <w:bCs/>
                <w:sz w:val="24"/>
                <w:szCs w:val="22"/>
              </w:rPr>
              <w:t>00*5=</w:t>
            </w:r>
            <w:r>
              <w:rPr>
                <w:rFonts w:hint="eastAsia"/>
                <w:bCs/>
                <w:sz w:val="24"/>
                <w:szCs w:val="22"/>
                <w:lang w:val="en-US" w:eastAsia="zh-CN"/>
              </w:rPr>
              <w:t>6</w:t>
            </w:r>
            <w:r>
              <w:rPr>
                <w:rFonts w:hint="eastAsia"/>
                <w:bCs/>
                <w:sz w:val="24"/>
                <w:szCs w:val="22"/>
              </w:rPr>
              <w:t>000m</w:t>
            </w:r>
            <w:r>
              <w:rPr>
                <w:rFonts w:hint="eastAsia"/>
                <w:bCs/>
                <w:sz w:val="24"/>
                <w:szCs w:val="22"/>
                <w:vertAlign w:val="superscript"/>
              </w:rPr>
              <w:t>3</w:t>
            </w:r>
            <w:r>
              <w:rPr>
                <w:rFonts w:hint="eastAsia"/>
                <w:bCs/>
                <w:sz w:val="24"/>
                <w:szCs w:val="22"/>
              </w:rPr>
              <w:t>/h。</w:t>
            </w:r>
          </w:p>
          <w:p>
            <w:pPr>
              <w:keepNext w:val="0"/>
              <w:keepLines w:val="0"/>
              <w:suppressLineNumbers w:val="0"/>
              <w:adjustRightInd w:val="0"/>
              <w:snapToGrid w:val="0"/>
              <w:spacing w:before="0" w:beforeAutospacing="0" w:after="0" w:afterAutospacing="0" w:line="360" w:lineRule="auto"/>
              <w:ind w:left="0" w:right="0" w:firstLine="480" w:firstLineChars="200"/>
              <w:rPr>
                <w:bCs/>
                <w:sz w:val="24"/>
              </w:rPr>
            </w:pPr>
            <w:r>
              <w:rPr>
                <w:rFonts w:hint="eastAsia"/>
                <w:bCs/>
                <w:sz w:val="24"/>
              </w:rPr>
              <w:t>综上可知总共需要风量为</w:t>
            </w:r>
            <w:r>
              <w:rPr>
                <w:rFonts w:hint="eastAsia"/>
                <w:bCs/>
                <w:sz w:val="24"/>
                <w:lang w:val="en-US" w:eastAsia="zh-CN"/>
              </w:rPr>
              <w:t>3300</w:t>
            </w:r>
            <w:r>
              <w:rPr>
                <w:rFonts w:hint="eastAsia"/>
                <w:bCs/>
                <w:sz w:val="24"/>
              </w:rPr>
              <w:t>0m³/h，本项目配套的处理装置风机总风量为</w:t>
            </w:r>
            <w:r>
              <w:rPr>
                <w:rFonts w:hint="eastAsia"/>
                <w:bCs/>
                <w:sz w:val="24"/>
                <w:lang w:val="en-US" w:eastAsia="zh-CN"/>
              </w:rPr>
              <w:t>35</w:t>
            </w:r>
            <w:r>
              <w:rPr>
                <w:rFonts w:hint="eastAsia"/>
                <w:bCs/>
                <w:sz w:val="24"/>
              </w:rPr>
              <w:t>000m³/h，故满足所需风量要求。</w:t>
            </w:r>
          </w:p>
          <w:p>
            <w:pPr>
              <w:keepNext w:val="0"/>
              <w:keepLines w:val="0"/>
              <w:suppressLineNumbers w:val="0"/>
              <w:adjustRightInd w:val="0"/>
              <w:snapToGrid w:val="0"/>
              <w:spacing w:before="0" w:beforeAutospacing="0" w:after="0" w:afterAutospacing="0" w:line="360" w:lineRule="auto"/>
              <w:ind w:left="0" w:right="0" w:firstLine="482" w:firstLineChars="200"/>
              <w:rPr>
                <w:bCs/>
                <w:sz w:val="24"/>
              </w:rPr>
            </w:pPr>
            <w:r>
              <w:rPr>
                <w:rFonts w:hint="eastAsia"/>
                <w:b/>
                <w:bCs/>
                <w:sz w:val="24"/>
              </w:rPr>
              <w:t>2）</w:t>
            </w:r>
            <w:r>
              <w:rPr>
                <w:b/>
                <w:bCs/>
                <w:sz w:val="24"/>
              </w:rPr>
              <w:t>无组织废气</w:t>
            </w:r>
          </w:p>
          <w:p>
            <w:pPr>
              <w:keepNext w:val="0"/>
              <w:keepLines w:val="0"/>
              <w:suppressLineNumbers w:val="0"/>
              <w:adjustRightInd w:val="0"/>
              <w:snapToGrid w:val="0"/>
              <w:spacing w:before="0" w:beforeAutospacing="0" w:after="0" w:afterAutospacing="0" w:line="360" w:lineRule="auto"/>
              <w:ind w:left="0" w:right="0" w:firstLine="480" w:firstLineChars="200"/>
              <w:jc w:val="left"/>
              <w:rPr>
                <w:bCs/>
                <w:sz w:val="24"/>
              </w:rPr>
            </w:pPr>
            <w:r>
              <w:rPr>
                <w:rFonts w:hint="eastAsia" w:ascii="宋体" w:hAnsi="宋体"/>
                <w:sz w:val="24"/>
              </w:rPr>
              <w:t>焊接烟尘及涂敷、固化、</w:t>
            </w:r>
            <w:r>
              <w:rPr>
                <w:rFonts w:hint="eastAsia" w:ascii="宋体" w:hAnsi="宋体" w:cs="宋体"/>
                <w:bCs/>
                <w:sz w:val="24"/>
                <w:szCs w:val="22"/>
              </w:rPr>
              <w:t>注塑成型工序未捕集废气在车间内无组织排放，</w:t>
            </w:r>
            <w:r>
              <w:rPr>
                <w:sz w:val="24"/>
              </w:rPr>
              <w:t>通过加强车间通风可减少其对周围大气环境的影响</w:t>
            </w:r>
            <w:r>
              <w:rPr>
                <w:rFonts w:hint="eastAsia" w:ascii="宋体" w:hAnsi="宋体" w:cs="宋体"/>
                <w:bCs/>
                <w:sz w:val="24"/>
                <w:szCs w:val="22"/>
              </w:rPr>
              <w:t>。</w:t>
            </w:r>
          </w:p>
          <w:p>
            <w:pPr>
              <w:keepNext w:val="0"/>
              <w:keepLines w:val="0"/>
              <w:suppressLineNumbers w:val="0"/>
              <w:adjustRightInd w:val="0"/>
              <w:snapToGrid w:val="0"/>
              <w:spacing w:before="0" w:beforeAutospacing="0" w:after="0" w:afterAutospacing="0" w:line="360" w:lineRule="auto"/>
              <w:ind w:left="482" w:right="0"/>
              <w:rPr>
                <w:b/>
                <w:sz w:val="24"/>
                <w:szCs w:val="22"/>
              </w:rPr>
            </w:pPr>
            <w:r>
              <w:rPr>
                <w:rFonts w:hint="eastAsia"/>
                <w:b/>
                <w:sz w:val="24"/>
                <w:szCs w:val="22"/>
              </w:rPr>
              <w:t>3）</w:t>
            </w:r>
            <w:r>
              <w:rPr>
                <w:rFonts w:hint="eastAsia" w:ascii="宋体" w:hAnsi="宋体"/>
                <w:b/>
                <w:bCs/>
                <w:sz w:val="24"/>
              </w:rPr>
              <w:t>污染防治措施可行性分析</w:t>
            </w:r>
          </w:p>
          <w:p>
            <w:pPr>
              <w:keepNext w:val="0"/>
              <w:keepLines w:val="0"/>
              <w:suppressLineNumbers w:val="0"/>
              <w:snapToGrid w:val="0"/>
              <w:spacing w:before="0" w:beforeAutospacing="0" w:after="0" w:afterAutospacing="0" w:line="360" w:lineRule="auto"/>
              <w:ind w:left="0" w:right="0" w:firstLine="480" w:firstLineChars="200"/>
              <w:rPr>
                <w:bCs/>
                <w:sz w:val="24"/>
              </w:rPr>
            </w:pPr>
            <w:r>
              <w:rPr>
                <w:bCs/>
                <w:sz w:val="24"/>
              </w:rPr>
              <w:t>本项目生产废气拟采取的废气处理措施为</w:t>
            </w:r>
            <w:r>
              <w:rPr>
                <w:rFonts w:hint="eastAsia"/>
                <w:sz w:val="24"/>
              </w:rPr>
              <w:t>旋风分离塔+二级滤芯除尘器</w:t>
            </w:r>
            <w:r>
              <w:rPr>
                <w:rFonts w:hint="eastAsia"/>
                <w:bCs/>
                <w:sz w:val="24"/>
              </w:rPr>
              <w:t>和</w:t>
            </w:r>
            <w:r>
              <w:rPr>
                <w:bCs/>
                <w:sz w:val="24"/>
              </w:rPr>
              <w:t>二级活性炭吸附，属于</w:t>
            </w:r>
            <w:r>
              <w:rPr>
                <w:sz w:val="24"/>
              </w:rPr>
              <w:t>《</w:t>
            </w:r>
            <w:r>
              <w:rPr>
                <w:rFonts w:hint="eastAsia"/>
                <w:sz w:val="24"/>
              </w:rPr>
              <w:t>排污许可证申请与核发技术规范</w:t>
            </w:r>
            <w:r>
              <w:rPr>
                <w:rFonts w:hint="eastAsia"/>
                <w:sz w:val="24"/>
                <w:lang w:val="en-US" w:eastAsia="zh-CN"/>
              </w:rPr>
              <w:t xml:space="preserve"> </w:t>
            </w:r>
            <w:r>
              <w:rPr>
                <w:rFonts w:hint="eastAsia"/>
                <w:sz w:val="24"/>
              </w:rPr>
              <w:t>总则</w:t>
            </w:r>
            <w:r>
              <w:rPr>
                <w:sz w:val="24"/>
              </w:rPr>
              <w:t>》（</w:t>
            </w:r>
            <w:r>
              <w:rPr>
                <w:rFonts w:hint="eastAsia"/>
                <w:sz w:val="24"/>
              </w:rPr>
              <w:t>HJ942—2018</w:t>
            </w:r>
            <w:r>
              <w:rPr>
                <w:sz w:val="24"/>
              </w:rPr>
              <w:t>）</w:t>
            </w:r>
            <w:r>
              <w:rPr>
                <w:bCs/>
                <w:sz w:val="24"/>
              </w:rPr>
              <w:t>中的可行技术。</w:t>
            </w:r>
          </w:p>
          <w:p>
            <w:pPr>
              <w:keepNext w:val="0"/>
              <w:keepLines w:val="0"/>
              <w:suppressLineNumbers w:val="0"/>
              <w:adjustRightInd w:val="0"/>
              <w:snapToGrid w:val="0"/>
              <w:spacing w:before="0" w:beforeAutospacing="0" w:after="0" w:afterAutospacing="0" w:line="360" w:lineRule="auto"/>
              <w:ind w:left="482" w:right="0"/>
              <w:rPr>
                <w:sz w:val="24"/>
                <w:szCs w:val="22"/>
              </w:rPr>
            </w:pPr>
            <w:r>
              <w:rPr>
                <w:rFonts w:hint="eastAsia"/>
                <w:b/>
                <w:bCs/>
                <w:sz w:val="24"/>
              </w:rPr>
              <w:t>4</w:t>
            </w:r>
            <w:r>
              <w:rPr>
                <w:b/>
                <w:bCs/>
                <w:sz w:val="24"/>
              </w:rPr>
              <w:t>）</w:t>
            </w:r>
            <w:r>
              <w:rPr>
                <w:b/>
                <w:sz w:val="24"/>
                <w:szCs w:val="22"/>
              </w:rPr>
              <w:t>技术、经济可行性论证</w:t>
            </w:r>
          </w:p>
          <w:p>
            <w:pPr>
              <w:pStyle w:val="5"/>
              <w:keepNext w:val="0"/>
              <w:keepLines w:val="0"/>
              <w:suppressLineNumbers w:val="0"/>
              <w:spacing w:before="0" w:beforeAutospacing="0" w:after="0" w:afterAutospacing="0" w:line="360" w:lineRule="auto"/>
              <w:ind w:left="0" w:right="0" w:firstLine="482" w:firstLineChars="200"/>
              <w:rPr>
                <w:rFonts w:ascii="宋体" w:hAnsi="宋体" w:cs="宋体"/>
                <w:sz w:val="24"/>
              </w:rPr>
            </w:pPr>
            <w:r>
              <w:rPr>
                <w:rFonts w:hint="eastAsia" w:ascii="宋体" w:hAnsi="宋体" w:cs="宋体"/>
                <w:b/>
                <w:bCs/>
                <w:sz w:val="24"/>
              </w:rPr>
              <w:t>旋风分离塔</w:t>
            </w:r>
          </w:p>
          <w:p>
            <w:pPr>
              <w:keepNext w:val="0"/>
              <w:keepLines w:val="0"/>
              <w:suppressLineNumbers w:val="0"/>
              <w:spacing w:before="0" w:beforeAutospacing="0" w:after="0" w:afterAutospacing="0" w:line="360" w:lineRule="auto"/>
              <w:ind w:left="0" w:right="0" w:firstLine="480" w:firstLineChars="200"/>
              <w:rPr>
                <w:rFonts w:ascii="宋体" w:hAnsi="宋体" w:cs="宋体"/>
                <w:sz w:val="24"/>
              </w:rPr>
            </w:pPr>
            <w:r>
              <w:rPr>
                <w:rFonts w:ascii="宋体" w:hAnsi="宋体" w:cs="宋体"/>
                <w:sz w:val="24"/>
              </w:rPr>
              <w:t>旋风分离</w:t>
            </w:r>
            <w:r>
              <w:rPr>
                <w:rFonts w:hint="eastAsia" w:ascii="宋体" w:hAnsi="宋体" w:cs="宋体"/>
                <w:sz w:val="24"/>
              </w:rPr>
              <w:t>塔</w:t>
            </w:r>
            <w:r>
              <w:rPr>
                <w:rFonts w:ascii="宋体" w:hAnsi="宋体" w:cs="宋体"/>
                <w:sz w:val="24"/>
              </w:rPr>
              <w:t>，是用于气固体系或者液固体系的</w:t>
            </w:r>
            <w:r>
              <w:fldChar w:fldCharType="begin"/>
            </w:r>
            <w:r>
              <w:instrText xml:space="preserve"> HYPERLINK "https://baike.baidu.com/item/%E5%88%86%E7%A6%BB/6369610" \t "_blank" </w:instrText>
            </w:r>
            <w:r>
              <w:fldChar w:fldCharType="separate"/>
            </w:r>
            <w:r>
              <w:rPr>
                <w:rFonts w:ascii="宋体" w:hAnsi="宋体" w:cs="宋体"/>
                <w:sz w:val="24"/>
              </w:rPr>
              <w:t>分离</w:t>
            </w:r>
            <w:r>
              <w:rPr>
                <w:rFonts w:ascii="宋体" w:hAnsi="宋体" w:cs="宋体"/>
                <w:sz w:val="24"/>
              </w:rPr>
              <w:fldChar w:fldCharType="end"/>
            </w:r>
            <w:r>
              <w:rPr>
                <w:rFonts w:ascii="宋体" w:hAnsi="宋体" w:cs="宋体"/>
                <w:sz w:val="24"/>
              </w:rPr>
              <w:t>的一种</w:t>
            </w:r>
            <w:r>
              <w:fldChar w:fldCharType="begin"/>
            </w:r>
            <w:r>
              <w:instrText xml:space="preserve"> HYPERLINK "https://baike.baidu.com/item/%E8%AE%BE%E5%A4%87/3794003" \t "_blank" </w:instrText>
            </w:r>
            <w:r>
              <w:fldChar w:fldCharType="separate"/>
            </w:r>
            <w:r>
              <w:rPr>
                <w:rFonts w:ascii="宋体" w:hAnsi="宋体" w:cs="宋体"/>
                <w:sz w:val="24"/>
              </w:rPr>
              <w:t>设备</w:t>
            </w:r>
            <w:r>
              <w:rPr>
                <w:rFonts w:ascii="宋体" w:hAnsi="宋体" w:cs="宋体"/>
                <w:sz w:val="24"/>
              </w:rPr>
              <w:fldChar w:fldCharType="end"/>
            </w:r>
            <w:r>
              <w:rPr>
                <w:rFonts w:ascii="宋体" w:hAnsi="宋体" w:cs="宋体"/>
                <w:sz w:val="24"/>
              </w:rPr>
              <w:t>。工作原理为靠气流切向引入造成的旋转运动，使具有较大</w:t>
            </w:r>
            <w:r>
              <w:fldChar w:fldCharType="begin"/>
            </w:r>
            <w:r>
              <w:instrText xml:space="preserve"> HYPERLINK "https://baike.baidu.com/item/%E6%83%AF%E6%80%A7%E7%A6%BB%E5%BF%83%E5%8A%9B/1532947" \t "_blank" </w:instrText>
            </w:r>
            <w:r>
              <w:fldChar w:fldCharType="separate"/>
            </w:r>
            <w:r>
              <w:rPr>
                <w:rFonts w:ascii="宋体" w:hAnsi="宋体" w:cs="宋体"/>
                <w:sz w:val="24"/>
              </w:rPr>
              <w:t>惯性离心力</w:t>
            </w:r>
            <w:r>
              <w:rPr>
                <w:rFonts w:ascii="宋体" w:hAnsi="宋体" w:cs="宋体"/>
                <w:sz w:val="24"/>
              </w:rPr>
              <w:fldChar w:fldCharType="end"/>
            </w:r>
            <w:r>
              <w:rPr>
                <w:rFonts w:ascii="宋体" w:hAnsi="宋体" w:cs="宋体"/>
                <w:sz w:val="24"/>
              </w:rPr>
              <w:t>的固体颗粒或液滴甩向外壁面分开。旋风分离器的主要特点是结构简单、操作弹性大、效率较高、管理</w:t>
            </w:r>
            <w:r>
              <w:fldChar w:fldCharType="begin"/>
            </w:r>
            <w:r>
              <w:instrText xml:space="preserve"> HYPERLINK "https://baike.baidu.com/item/%E7%BB%B4%E4%BF%AE/3290939" \t "_blank" </w:instrText>
            </w:r>
            <w:r>
              <w:fldChar w:fldCharType="separate"/>
            </w:r>
            <w:r>
              <w:rPr>
                <w:rFonts w:ascii="宋体" w:hAnsi="宋体" w:cs="宋体"/>
                <w:sz w:val="24"/>
              </w:rPr>
              <w:t>维修</w:t>
            </w:r>
            <w:r>
              <w:rPr>
                <w:rFonts w:ascii="宋体" w:hAnsi="宋体" w:cs="宋体"/>
                <w:sz w:val="24"/>
              </w:rPr>
              <w:fldChar w:fldCharType="end"/>
            </w:r>
            <w:r>
              <w:rPr>
                <w:rFonts w:ascii="宋体" w:hAnsi="宋体" w:cs="宋体"/>
                <w:sz w:val="24"/>
              </w:rPr>
              <w:t>方便，价格低廉，用于</w:t>
            </w:r>
            <w:r>
              <w:rPr>
                <w:rFonts w:hint="default" w:ascii="Times New Roman" w:hAnsi="Times New Roman" w:cs="Times New Roman"/>
                <w:sz w:val="24"/>
              </w:rPr>
              <w:t>捕集直径5～10μm以上的粉尘，广泛应用于</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"https://baike.baidu.com/item/%E5%88%B6%E8%8D%AF%E5%B7%A5%E4%B8%9A/2395575" \t "_blank" </w:instrText>
            </w:r>
            <w:r>
              <w:rPr>
                <w:rFonts w:hint="default" w:ascii="Times New Roman" w:hAnsi="Times New Roman" w:cs="Times New Roman"/>
              </w:rPr>
              <w:fldChar w:fldCharType="separate"/>
            </w:r>
            <w:r>
              <w:rPr>
                <w:rFonts w:hint="default" w:ascii="Times New Roman" w:hAnsi="Times New Roman" w:cs="Times New Roman"/>
                <w:sz w:val="24"/>
              </w:rPr>
              <w:t>制药工业</w:t>
            </w:r>
            <w:r>
              <w:rPr>
                <w:rFonts w:hint="default" w:ascii="Times New Roman" w:hAnsi="Times New Roman" w:cs="Times New Roman"/>
                <w:sz w:val="24"/>
              </w:rPr>
              <w:fldChar w:fldCharType="end"/>
            </w:r>
            <w:r>
              <w:rPr>
                <w:rFonts w:hint="default" w:ascii="Times New Roman" w:hAnsi="Times New Roman" w:cs="Times New Roman"/>
                <w:sz w:val="24"/>
              </w:rPr>
              <w:t>中，特别适合粉尘颗粒较粗，含尘浓度较大，高温、高压条件下，也常作为</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"https://baike.baidu.com/item/%E6%B5%81%E5%8C%96%E5%BA%8A%E5%8F%8D%E5%BA%94%E5%99%A8/4269426" \t "_blank" </w:instrText>
            </w:r>
            <w:r>
              <w:rPr>
                <w:rFonts w:hint="default" w:ascii="Times New Roman" w:hAnsi="Times New Roman" w:cs="Times New Roman"/>
              </w:rPr>
              <w:fldChar w:fldCharType="separate"/>
            </w:r>
            <w:r>
              <w:rPr>
                <w:rFonts w:hint="default" w:ascii="Times New Roman" w:hAnsi="Times New Roman" w:cs="Times New Roman"/>
                <w:sz w:val="24"/>
              </w:rPr>
              <w:t>流化床反应器</w:t>
            </w:r>
            <w:r>
              <w:rPr>
                <w:rFonts w:hint="default" w:ascii="Times New Roman" w:hAnsi="Times New Roman" w:cs="Times New Roman"/>
                <w:sz w:val="24"/>
              </w:rPr>
              <w:fldChar w:fldCharType="end"/>
            </w:r>
            <w:r>
              <w:rPr>
                <w:rFonts w:hint="default" w:ascii="Times New Roman" w:hAnsi="Times New Roman" w:cs="Times New Roman"/>
                <w:sz w:val="24"/>
              </w:rPr>
              <w:t>的内分离装置，或作为预分离器</w:t>
            </w:r>
            <w:r>
              <w:rPr>
                <w:rFonts w:ascii="宋体" w:hAnsi="宋体" w:cs="宋体"/>
                <w:sz w:val="24"/>
              </w:rPr>
              <w:t>使用，是工业上应用很广的一种分离设备。</w:t>
            </w:r>
          </w:p>
          <w:p>
            <w:pPr>
              <w:keepNext w:val="0"/>
              <w:keepLines w:val="0"/>
              <w:suppressLineNumbers w:val="0"/>
              <w:spacing w:before="0" w:beforeAutospacing="0" w:after="0" w:afterAutospacing="0" w:line="360" w:lineRule="auto"/>
              <w:ind w:left="0" w:right="0" w:firstLine="482" w:firstLineChars="200"/>
              <w:rPr>
                <w:rFonts w:ascii="宋体" w:hAnsi="宋体" w:cs="宋体"/>
                <w:b/>
                <w:sz w:val="24"/>
              </w:rPr>
            </w:pPr>
            <w:r>
              <w:rPr>
                <w:rFonts w:hint="eastAsia" w:ascii="宋体" w:hAnsi="宋体" w:cs="宋体"/>
                <w:b/>
                <w:sz w:val="24"/>
              </w:rPr>
              <w:t>滤芯除尘器</w:t>
            </w:r>
          </w:p>
          <w:p>
            <w:pPr>
              <w:keepNext w:val="0"/>
              <w:keepLines w:val="0"/>
              <w:suppressLineNumbers w:val="0"/>
              <w:spacing w:before="0" w:beforeAutospacing="0" w:after="0" w:afterAutospacing="0" w:line="360" w:lineRule="auto"/>
              <w:ind w:left="0" w:right="0" w:firstLine="480" w:firstLineChars="200"/>
              <w:rPr>
                <w:rFonts w:ascii="宋体" w:hAnsi="宋体" w:cs="宋体"/>
                <w:sz w:val="24"/>
              </w:rPr>
            </w:pPr>
            <w:r>
              <w:rPr>
                <w:rFonts w:hint="eastAsia" w:ascii="宋体" w:hAnsi="宋体" w:cs="宋体"/>
                <w:sz w:val="24"/>
              </w:rPr>
              <w:t>滤芯除尘器是当含尘气体进</w:t>
            </w:r>
            <w:r>
              <w:rPr>
                <w:rFonts w:hint="eastAsia" w:ascii="宋体" w:hAnsi="宋体" w:cs="宋体"/>
                <w:sz w:val="24"/>
                <w:lang w:eastAsia="zh-CN"/>
              </w:rPr>
              <w:t>入</w:t>
            </w:r>
            <w:r>
              <w:rPr>
                <w:rFonts w:hint="eastAsia" w:ascii="宋体" w:hAnsi="宋体" w:cs="宋体"/>
                <w:sz w:val="24"/>
              </w:rPr>
              <w:t>滤芯通过滤料时，粉尘被阻留在其表面，干净空气则透过滤料的缝隙排出，完成过滤过程。过滤技术是滤芯除尘器的基本原理。完成过滤的主要有纤维过滤、薄膜过滤和粉尘层过滤。除尘器滤芯是纤维过滤、薄膜过滤与粉尘层过滤的组合，它的除尘机理是筛滤、惯性碰撞、钩附、扩散、重力沉降和静电等效应综合作用的结果。</w:t>
            </w:r>
          </w:p>
          <w:p>
            <w:pPr>
              <w:pStyle w:val="5"/>
              <w:keepNext w:val="0"/>
              <w:keepLines w:val="0"/>
              <w:suppressLineNumbers w:val="0"/>
              <w:spacing w:before="0" w:beforeAutospacing="0" w:after="0" w:afterAutospacing="0" w:line="360" w:lineRule="auto"/>
              <w:ind w:left="0" w:right="0" w:firstLine="482" w:firstLineChars="200"/>
              <w:rPr>
                <w:rFonts w:ascii="宋体" w:hAnsi="宋体"/>
                <w:b/>
                <w:bCs/>
                <w:sz w:val="24"/>
                <w:szCs w:val="24"/>
              </w:rPr>
            </w:pPr>
            <w:r>
              <w:rPr>
                <w:rFonts w:hint="eastAsia" w:ascii="宋体" w:hAnsi="宋体"/>
                <w:b/>
                <w:bCs/>
                <w:sz w:val="24"/>
                <w:szCs w:val="24"/>
              </w:rPr>
              <w:t>活性炭吸附装置</w:t>
            </w:r>
          </w:p>
          <w:p>
            <w:pPr>
              <w:pStyle w:val="5"/>
              <w:keepNext w:val="0"/>
              <w:keepLines w:val="0"/>
              <w:suppressLineNumbers w:val="0"/>
              <w:adjustRightInd w:val="0"/>
              <w:snapToGrid w:val="0"/>
              <w:spacing w:before="0" w:beforeAutospacing="0" w:after="0" w:afterAutospacing="0" w:line="360" w:lineRule="auto"/>
              <w:ind w:left="0" w:right="0" w:firstLine="480" w:firstLineChars="200"/>
              <w:rPr>
                <w:rFonts w:ascii="Times New Roman" w:hAnsi="Times New Roman"/>
                <w:sz w:val="24"/>
                <w:szCs w:val="24"/>
              </w:rPr>
            </w:pPr>
            <w:r>
              <w:rPr>
                <w:rFonts w:ascii="Times New Roman" w:hAnsi="Times New Roman"/>
                <w:sz w:val="24"/>
                <w:szCs w:val="24"/>
              </w:rPr>
              <w:t>活性炭是一种多孔性的含</w:t>
            </w:r>
            <w:r>
              <w:rPr>
                <w:rFonts w:hint="eastAsia" w:ascii="Times New Roman" w:hAnsi="Times New Roman"/>
                <w:sz w:val="24"/>
                <w:szCs w:val="24"/>
                <w:lang w:eastAsia="zh-CN"/>
              </w:rPr>
              <w:t>碳</w:t>
            </w:r>
            <w:r>
              <w:rPr>
                <w:rFonts w:ascii="Times New Roman" w:hAnsi="Times New Roman"/>
                <w:sz w:val="24"/>
                <w:szCs w:val="24"/>
              </w:rPr>
              <w:t>物质，</w:t>
            </w:r>
            <w:r>
              <w:rPr>
                <w:rFonts w:hint="eastAsia" w:ascii="Times New Roman" w:hAnsi="Times New Roman"/>
                <w:sz w:val="24"/>
                <w:szCs w:val="24"/>
              </w:rPr>
              <w:t>利用活性炭多微孔及其巨大的表面张力等特性将废气中的有机物吸附，使所排废气得到净化。活性炭纤维是采用天然或人造纤维经高温、催化等特殊工艺制作而成的高效吸附材料，含有高度发达的微孔结构，其主要特点为：比表面积大（900-220m</w:t>
            </w:r>
            <w:r>
              <w:rPr>
                <w:rFonts w:hint="eastAsia" w:ascii="Times New Roman" w:hAnsi="Times New Roman"/>
                <w:sz w:val="24"/>
                <w:szCs w:val="24"/>
                <w:vertAlign w:val="superscript"/>
              </w:rPr>
              <w:t>2</w:t>
            </w:r>
            <w:r>
              <w:rPr>
                <w:rFonts w:hint="eastAsia" w:ascii="Times New Roman" w:hAnsi="Times New Roman"/>
                <w:sz w:val="24"/>
                <w:szCs w:val="24"/>
              </w:rPr>
              <w:t>/g），吸脱附容量高，如对有机气体、恶臭、腥臭物质吸附量比颗粒和粉状活性炭大20-30倍；吸脱附速度快，是颗粒活性炭的10-100倍；脱附速度快、易再生，脱附以后活性炭纤维吸附能力基本不变；耐温性能好，且耐酸、耐碱，具有良好的导电性能和化学稳定性；</w:t>
            </w:r>
            <w:r>
              <w:rPr>
                <w:rFonts w:hint="eastAsia" w:ascii="Times New Roman" w:hAnsi="Times New Roman"/>
                <w:sz w:val="24"/>
                <w:szCs w:val="24"/>
                <w:lang w:eastAsia="zh-CN"/>
              </w:rPr>
              <w:t>灰分</w:t>
            </w:r>
            <w:r>
              <w:rPr>
                <w:rFonts w:hint="eastAsia" w:ascii="Times New Roman" w:hAnsi="Times New Roman"/>
                <w:sz w:val="24"/>
                <w:szCs w:val="24"/>
              </w:rPr>
              <w:t>少，其</w:t>
            </w:r>
            <w:r>
              <w:rPr>
                <w:rFonts w:hint="eastAsia" w:ascii="Times New Roman" w:hAnsi="Times New Roman"/>
                <w:sz w:val="24"/>
                <w:szCs w:val="24"/>
                <w:lang w:eastAsia="zh-CN"/>
              </w:rPr>
              <w:t>灰分含量</w:t>
            </w:r>
            <w:r>
              <w:rPr>
                <w:rFonts w:hint="eastAsia" w:ascii="Times New Roman" w:hAnsi="Times New Roman"/>
                <w:sz w:val="24"/>
                <w:szCs w:val="24"/>
              </w:rPr>
              <w:t>仅为颗粒活性炭的十分之一。</w:t>
            </w:r>
          </w:p>
          <w:p>
            <w:pPr>
              <w:keepNext w:val="0"/>
              <w:keepLines w:val="0"/>
              <w:suppressLineNumbers w:val="0"/>
              <w:spacing w:before="0" w:beforeAutospacing="0" w:after="0" w:afterAutospacing="0"/>
              <w:ind w:left="0" w:right="0"/>
              <w:jc w:val="center"/>
              <w:rPr>
                <w:b/>
                <w:color w:val="000000"/>
                <w:sz w:val="24"/>
              </w:rPr>
            </w:pPr>
          </w:p>
          <w:p>
            <w:pPr>
              <w:keepNext w:val="0"/>
              <w:keepLines w:val="0"/>
              <w:suppressLineNumbers w:val="0"/>
              <w:spacing w:before="0" w:beforeAutospacing="0" w:after="0" w:afterAutospacing="0"/>
              <w:ind w:left="0" w:right="0"/>
              <w:jc w:val="center"/>
              <w:rPr>
                <w:b/>
                <w:color w:val="000000"/>
                <w:sz w:val="24"/>
              </w:rPr>
            </w:pPr>
          </w:p>
          <w:p>
            <w:pPr>
              <w:keepNext w:val="0"/>
              <w:keepLines w:val="0"/>
              <w:suppressLineNumbers w:val="0"/>
              <w:spacing w:before="0" w:beforeAutospacing="0" w:after="0" w:afterAutospacing="0"/>
              <w:ind w:left="0" w:right="0"/>
              <w:jc w:val="center"/>
              <w:rPr>
                <w:b/>
                <w:color w:val="000000"/>
                <w:sz w:val="24"/>
              </w:rPr>
            </w:pPr>
          </w:p>
          <w:p>
            <w:pPr>
              <w:keepNext w:val="0"/>
              <w:keepLines w:val="0"/>
              <w:suppressLineNumbers w:val="0"/>
              <w:spacing w:before="0" w:beforeAutospacing="0" w:after="0" w:afterAutospacing="0"/>
              <w:ind w:left="0" w:right="0"/>
              <w:jc w:val="center"/>
              <w:rPr>
                <w:b/>
                <w:color w:val="000000"/>
                <w:sz w:val="24"/>
              </w:rPr>
            </w:pPr>
          </w:p>
          <w:p>
            <w:pPr>
              <w:keepNext w:val="0"/>
              <w:keepLines w:val="0"/>
              <w:suppressLineNumbers w:val="0"/>
              <w:spacing w:before="0" w:beforeAutospacing="0" w:after="0" w:afterAutospacing="0"/>
              <w:ind w:left="0" w:right="0"/>
              <w:jc w:val="center"/>
              <w:rPr>
                <w:b/>
                <w:color w:val="000000"/>
                <w:sz w:val="24"/>
              </w:rPr>
            </w:pPr>
          </w:p>
          <w:p>
            <w:pPr>
              <w:keepNext w:val="0"/>
              <w:keepLines w:val="0"/>
              <w:suppressLineNumbers w:val="0"/>
              <w:spacing w:before="0" w:beforeAutospacing="0" w:after="0" w:afterAutospacing="0"/>
              <w:ind w:left="0" w:right="0"/>
              <w:jc w:val="center"/>
              <w:rPr>
                <w:b/>
                <w:color w:val="000000"/>
                <w:sz w:val="24"/>
              </w:rPr>
            </w:pPr>
          </w:p>
          <w:p>
            <w:pPr>
              <w:keepNext w:val="0"/>
              <w:keepLines w:val="0"/>
              <w:suppressLineNumbers w:val="0"/>
              <w:spacing w:before="0" w:beforeAutospacing="0" w:after="0" w:afterAutospacing="0"/>
              <w:ind w:left="0" w:right="0"/>
              <w:jc w:val="center"/>
              <w:rPr>
                <w:b/>
                <w:color w:val="000000"/>
                <w:sz w:val="24"/>
              </w:rPr>
            </w:pPr>
          </w:p>
          <w:p>
            <w:pPr>
              <w:keepNext w:val="0"/>
              <w:keepLines w:val="0"/>
              <w:suppressLineNumbers w:val="0"/>
              <w:spacing w:before="0" w:beforeAutospacing="0" w:after="0" w:afterAutospacing="0"/>
              <w:ind w:left="0" w:right="0"/>
              <w:jc w:val="center"/>
              <w:rPr>
                <w:b/>
                <w:color w:val="000000"/>
                <w:sz w:val="24"/>
              </w:rPr>
            </w:pPr>
          </w:p>
          <w:p>
            <w:pPr>
              <w:pStyle w:val="2"/>
              <w:keepNext w:val="0"/>
              <w:keepLines w:val="0"/>
              <w:suppressLineNumbers w:val="0"/>
              <w:spacing w:before="0" w:beforeAutospacing="0" w:afterAutospacing="0"/>
            </w:pPr>
          </w:p>
          <w:p>
            <w:pPr>
              <w:keepNext w:val="0"/>
              <w:keepLines w:val="0"/>
              <w:suppressLineNumbers w:val="0"/>
              <w:spacing w:before="0" w:beforeAutospacing="0" w:after="0" w:afterAutospacing="0"/>
              <w:ind w:left="0" w:right="0"/>
              <w:jc w:val="center"/>
              <w:rPr>
                <w:b/>
                <w:color w:val="000000"/>
                <w:sz w:val="24"/>
              </w:rPr>
            </w:pPr>
          </w:p>
          <w:p>
            <w:pPr>
              <w:keepNext w:val="0"/>
              <w:keepLines w:val="0"/>
              <w:suppressLineNumbers w:val="0"/>
              <w:spacing w:before="0" w:beforeAutospacing="0" w:after="0" w:afterAutospacing="0"/>
              <w:ind w:left="0" w:right="0"/>
              <w:jc w:val="center"/>
              <w:rPr>
                <w:b/>
                <w:color w:val="000000"/>
                <w:sz w:val="24"/>
              </w:rPr>
            </w:pPr>
          </w:p>
          <w:p>
            <w:pPr>
              <w:keepNext w:val="0"/>
              <w:keepLines w:val="0"/>
              <w:suppressLineNumbers w:val="0"/>
              <w:spacing w:before="0" w:beforeAutospacing="0" w:after="0" w:afterAutospacing="0"/>
              <w:ind w:left="0" w:right="0"/>
              <w:jc w:val="center"/>
              <w:rPr>
                <w:b/>
                <w:color w:val="000000"/>
                <w:sz w:val="24"/>
              </w:rPr>
            </w:pPr>
          </w:p>
          <w:p>
            <w:pPr>
              <w:keepNext w:val="0"/>
              <w:keepLines w:val="0"/>
              <w:suppressLineNumbers w:val="0"/>
              <w:spacing w:before="0" w:beforeAutospacing="0" w:after="0" w:afterAutospacing="0"/>
              <w:ind w:left="0" w:right="0"/>
              <w:jc w:val="center"/>
              <w:rPr>
                <w:b/>
                <w:color w:val="000000"/>
              </w:rPr>
            </w:pPr>
            <w:r>
              <w:rPr>
                <w:b/>
                <w:color w:val="000000"/>
                <w:sz w:val="24"/>
              </w:rPr>
              <w:t>表</w:t>
            </w:r>
            <w:r>
              <w:rPr>
                <w:rFonts w:hint="eastAsia"/>
                <w:b/>
                <w:color w:val="000000"/>
                <w:sz w:val="24"/>
              </w:rPr>
              <w:t>4-4活性炭技术参数一览表</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834"/>
              <w:gridCol w:w="534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32" w:type="pct"/>
                  <w:shd w:val="clear" w:color="auto" w:fill="auto"/>
                  <w:vAlign w:val="center"/>
                </w:tcPr>
                <w:p>
                  <w:pPr>
                    <w:keepNext w:val="0"/>
                    <w:keepLines w:val="0"/>
                    <w:suppressLineNumbers w:val="0"/>
                    <w:spacing w:before="0" w:beforeAutospacing="0" w:after="0" w:afterAutospacing="0"/>
                    <w:ind w:left="0" w:right="0"/>
                    <w:jc w:val="center"/>
                    <w:rPr>
                      <w:color w:val="000000"/>
                      <w:szCs w:val="21"/>
                    </w:rPr>
                  </w:pPr>
                  <w:r>
                    <w:rPr>
                      <w:color w:val="000000"/>
                      <w:szCs w:val="21"/>
                    </w:rPr>
                    <w:t>种类</w:t>
                  </w:r>
                </w:p>
              </w:tc>
              <w:tc>
                <w:tcPr>
                  <w:tcW w:w="3268" w:type="pct"/>
                  <w:shd w:val="clear" w:color="auto" w:fill="auto"/>
                  <w:vAlign w:val="center"/>
                </w:tcPr>
                <w:p>
                  <w:pPr>
                    <w:keepNext w:val="0"/>
                    <w:keepLines w:val="0"/>
                    <w:suppressLineNumbers w:val="0"/>
                    <w:tabs>
                      <w:tab w:val="left" w:pos="1390"/>
                    </w:tabs>
                    <w:spacing w:before="0" w:beforeAutospacing="0" w:after="0" w:afterAutospacing="0"/>
                    <w:ind w:left="0" w:right="0"/>
                    <w:jc w:val="center"/>
                    <w:rPr>
                      <w:color w:val="000000"/>
                      <w:szCs w:val="21"/>
                    </w:rPr>
                  </w:pPr>
                  <w:r>
                    <w:rPr>
                      <w:color w:val="000000"/>
                      <w:szCs w:val="21"/>
                    </w:rPr>
                    <w:t>蜂窝活性炭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32" w:type="pct"/>
                  <w:shd w:val="clear" w:color="auto" w:fill="auto"/>
                  <w:vAlign w:val="center"/>
                </w:tcPr>
                <w:p>
                  <w:pPr>
                    <w:keepNext w:val="0"/>
                    <w:keepLines w:val="0"/>
                    <w:suppressLineNumbers w:val="0"/>
                    <w:spacing w:before="0" w:beforeAutospacing="0" w:after="0" w:afterAutospacing="0"/>
                    <w:ind w:left="0" w:right="0"/>
                    <w:jc w:val="center"/>
                    <w:rPr>
                      <w:szCs w:val="21"/>
                    </w:rPr>
                  </w:pPr>
                  <w:r>
                    <w:rPr>
                      <w:szCs w:val="21"/>
                    </w:rPr>
                    <w:t>产品规格</w:t>
                  </w:r>
                </w:p>
              </w:tc>
              <w:tc>
                <w:tcPr>
                  <w:tcW w:w="3268" w:type="pct"/>
                  <w:shd w:val="clear" w:color="auto" w:fill="auto"/>
                  <w:vAlign w:val="center"/>
                </w:tcPr>
                <w:p>
                  <w:pPr>
                    <w:keepNext w:val="0"/>
                    <w:keepLines w:val="0"/>
                    <w:suppressLineNumbers w:val="0"/>
                    <w:spacing w:before="0" w:beforeAutospacing="0" w:after="0" w:afterAutospacing="0"/>
                    <w:ind w:left="0" w:right="0"/>
                    <w:jc w:val="center"/>
                    <w:rPr>
                      <w:color w:val="000000"/>
                      <w:szCs w:val="21"/>
                    </w:rPr>
                  </w:pPr>
                  <w:r>
                    <w:rPr>
                      <w:color w:val="000000"/>
                      <w:szCs w:val="21"/>
                    </w:rPr>
                    <w:t>10cm*10cm*10cm/18块/箱</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32" w:type="pct"/>
                  <w:shd w:val="clear" w:color="auto" w:fill="auto"/>
                  <w:vAlign w:val="center"/>
                </w:tcPr>
                <w:p>
                  <w:pPr>
                    <w:keepNext w:val="0"/>
                    <w:keepLines w:val="0"/>
                    <w:suppressLineNumbers w:val="0"/>
                    <w:spacing w:before="0" w:beforeAutospacing="0" w:after="0" w:afterAutospacing="0"/>
                    <w:ind w:left="0" w:right="0"/>
                    <w:jc w:val="center"/>
                    <w:rPr>
                      <w:szCs w:val="21"/>
                    </w:rPr>
                  </w:pPr>
                  <w:r>
                    <w:rPr>
                      <w:szCs w:val="21"/>
                    </w:rPr>
                    <w:t>抗压强度</w:t>
                  </w:r>
                </w:p>
              </w:tc>
              <w:tc>
                <w:tcPr>
                  <w:tcW w:w="3268" w:type="pct"/>
                  <w:shd w:val="clear" w:color="auto" w:fill="auto"/>
                  <w:vAlign w:val="center"/>
                </w:tcPr>
                <w:p>
                  <w:pPr>
                    <w:keepNext w:val="0"/>
                    <w:keepLines w:val="0"/>
                    <w:suppressLineNumbers w:val="0"/>
                    <w:spacing w:before="0" w:beforeAutospacing="0" w:after="0" w:afterAutospacing="0"/>
                    <w:ind w:left="0" w:right="0"/>
                    <w:jc w:val="center"/>
                    <w:rPr>
                      <w:color w:val="000000"/>
                      <w:szCs w:val="21"/>
                    </w:rPr>
                  </w:pPr>
                  <w:r>
                    <w:rPr>
                      <w:color w:val="000000"/>
                      <w:szCs w:val="21"/>
                    </w:rPr>
                    <w:t>0.9Mpa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32" w:type="pct"/>
                  <w:shd w:val="clear" w:color="auto" w:fill="auto"/>
                  <w:vAlign w:val="center"/>
                </w:tcPr>
                <w:p>
                  <w:pPr>
                    <w:keepNext w:val="0"/>
                    <w:keepLines w:val="0"/>
                    <w:suppressLineNumbers w:val="0"/>
                    <w:spacing w:before="0" w:beforeAutospacing="0" w:after="0" w:afterAutospacing="0"/>
                    <w:ind w:left="0" w:right="0"/>
                    <w:jc w:val="center"/>
                    <w:rPr>
                      <w:szCs w:val="21"/>
                    </w:rPr>
                  </w:pPr>
                  <w:r>
                    <w:rPr>
                      <w:szCs w:val="21"/>
                    </w:rPr>
                    <w:t>孔径</w:t>
                  </w:r>
                </w:p>
              </w:tc>
              <w:tc>
                <w:tcPr>
                  <w:tcW w:w="3268" w:type="pct"/>
                  <w:shd w:val="clear" w:color="auto" w:fill="auto"/>
                  <w:vAlign w:val="center"/>
                </w:tcPr>
                <w:p>
                  <w:pPr>
                    <w:keepNext w:val="0"/>
                    <w:keepLines w:val="0"/>
                    <w:suppressLineNumbers w:val="0"/>
                    <w:spacing w:before="0" w:beforeAutospacing="0" w:after="0" w:afterAutospacing="0"/>
                    <w:ind w:left="0" w:right="0"/>
                    <w:jc w:val="center"/>
                    <w:rPr>
                      <w:color w:val="000000"/>
                      <w:szCs w:val="21"/>
                    </w:rPr>
                  </w:pPr>
                  <w:r>
                    <w:rPr>
                      <w:color w:val="000000"/>
                      <w:szCs w:val="21"/>
                    </w:rPr>
                    <w:t>1.5mm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32" w:type="pct"/>
                  <w:shd w:val="clear" w:color="auto" w:fill="auto"/>
                  <w:vAlign w:val="center"/>
                </w:tcPr>
                <w:p>
                  <w:pPr>
                    <w:keepNext w:val="0"/>
                    <w:keepLines w:val="0"/>
                    <w:suppressLineNumbers w:val="0"/>
                    <w:spacing w:before="0" w:beforeAutospacing="0" w:after="0" w:afterAutospacing="0"/>
                    <w:ind w:left="0" w:right="0"/>
                    <w:jc w:val="center"/>
                    <w:rPr>
                      <w:szCs w:val="21"/>
                    </w:rPr>
                  </w:pPr>
                  <w:r>
                    <w:rPr>
                      <w:szCs w:val="21"/>
                    </w:rPr>
                    <w:t>壁厚</w:t>
                  </w:r>
                </w:p>
              </w:tc>
              <w:tc>
                <w:tcPr>
                  <w:tcW w:w="3268" w:type="pct"/>
                  <w:shd w:val="clear" w:color="auto" w:fill="auto"/>
                  <w:vAlign w:val="center"/>
                </w:tcPr>
                <w:p>
                  <w:pPr>
                    <w:keepNext w:val="0"/>
                    <w:keepLines w:val="0"/>
                    <w:suppressLineNumbers w:val="0"/>
                    <w:spacing w:before="0" w:beforeAutospacing="0" w:after="0" w:afterAutospacing="0"/>
                    <w:ind w:left="0" w:right="0"/>
                    <w:jc w:val="center"/>
                    <w:rPr>
                      <w:color w:val="000000"/>
                      <w:szCs w:val="21"/>
                    </w:rPr>
                  </w:pPr>
                  <w:r>
                    <w:rPr>
                      <w:color w:val="000000"/>
                      <w:szCs w:val="21"/>
                    </w:rPr>
                    <w:t>1.0mm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32" w:type="pct"/>
                  <w:shd w:val="clear" w:color="auto" w:fill="auto"/>
                  <w:vAlign w:val="center"/>
                </w:tcPr>
                <w:p>
                  <w:pPr>
                    <w:keepNext w:val="0"/>
                    <w:keepLines w:val="0"/>
                    <w:suppressLineNumbers w:val="0"/>
                    <w:spacing w:before="0" w:beforeAutospacing="0" w:after="0" w:afterAutospacing="0"/>
                    <w:ind w:left="0" w:right="0"/>
                    <w:jc w:val="center"/>
                    <w:rPr>
                      <w:szCs w:val="21"/>
                    </w:rPr>
                  </w:pPr>
                  <w:r>
                    <w:rPr>
                      <w:szCs w:val="21"/>
                    </w:rPr>
                    <w:t>pH值</w:t>
                  </w:r>
                </w:p>
              </w:tc>
              <w:tc>
                <w:tcPr>
                  <w:tcW w:w="3268" w:type="pct"/>
                  <w:shd w:val="clear" w:color="auto" w:fill="auto"/>
                  <w:vAlign w:val="center"/>
                </w:tcPr>
                <w:p>
                  <w:pPr>
                    <w:keepNext w:val="0"/>
                    <w:keepLines w:val="0"/>
                    <w:suppressLineNumbers w:val="0"/>
                    <w:spacing w:before="0" w:beforeAutospacing="0" w:after="0" w:afterAutospacing="0"/>
                    <w:ind w:left="0" w:right="0"/>
                    <w:jc w:val="center"/>
                    <w:rPr>
                      <w:color w:val="000000"/>
                      <w:szCs w:val="21"/>
                    </w:rPr>
                  </w:pPr>
                  <w:r>
                    <w:rPr>
                      <w:color w:val="000000"/>
                      <w:szCs w:val="21"/>
                    </w:rPr>
                    <w:t>7.5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32" w:type="pct"/>
                  <w:shd w:val="clear" w:color="auto" w:fill="auto"/>
                  <w:vAlign w:val="center"/>
                </w:tcPr>
                <w:p>
                  <w:pPr>
                    <w:keepNext w:val="0"/>
                    <w:keepLines w:val="0"/>
                    <w:suppressLineNumbers w:val="0"/>
                    <w:spacing w:before="0" w:beforeAutospacing="0" w:after="0" w:afterAutospacing="0"/>
                    <w:ind w:left="0" w:right="0"/>
                    <w:jc w:val="center"/>
                    <w:rPr>
                      <w:szCs w:val="21"/>
                    </w:rPr>
                  </w:pPr>
                  <w:r>
                    <w:rPr>
                      <w:szCs w:val="21"/>
                    </w:rPr>
                    <w:t>水分</w:t>
                  </w:r>
                </w:p>
              </w:tc>
              <w:tc>
                <w:tcPr>
                  <w:tcW w:w="3268" w:type="pct"/>
                  <w:shd w:val="clear" w:color="auto" w:fill="auto"/>
                  <w:vAlign w:val="center"/>
                </w:tcPr>
                <w:p>
                  <w:pPr>
                    <w:keepNext w:val="0"/>
                    <w:keepLines w:val="0"/>
                    <w:suppressLineNumbers w:val="0"/>
                    <w:spacing w:before="0" w:beforeAutospacing="0" w:after="0" w:afterAutospacing="0"/>
                    <w:ind w:left="0" w:right="0"/>
                    <w:jc w:val="center"/>
                    <w:rPr>
                      <w:color w:val="000000"/>
                      <w:szCs w:val="21"/>
                    </w:rPr>
                  </w:pPr>
                  <w:r>
                    <w:rPr>
                      <w:color w:val="000000"/>
                      <w:szCs w:val="21"/>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32" w:type="pct"/>
                  <w:shd w:val="clear" w:color="auto" w:fill="auto"/>
                  <w:vAlign w:val="center"/>
                </w:tcPr>
                <w:p>
                  <w:pPr>
                    <w:keepNext w:val="0"/>
                    <w:keepLines w:val="0"/>
                    <w:suppressLineNumbers w:val="0"/>
                    <w:spacing w:before="0" w:beforeAutospacing="0" w:after="0" w:afterAutospacing="0"/>
                    <w:ind w:left="0" w:right="0"/>
                    <w:jc w:val="center"/>
                    <w:rPr>
                      <w:szCs w:val="21"/>
                    </w:rPr>
                  </w:pPr>
                  <w:r>
                    <w:rPr>
                      <w:szCs w:val="21"/>
                    </w:rPr>
                    <w:t>体积密度</w:t>
                  </w:r>
                </w:p>
              </w:tc>
              <w:tc>
                <w:tcPr>
                  <w:tcW w:w="3268" w:type="pct"/>
                  <w:shd w:val="clear" w:color="auto" w:fill="auto"/>
                  <w:vAlign w:val="center"/>
                </w:tcPr>
                <w:p>
                  <w:pPr>
                    <w:keepNext w:val="0"/>
                    <w:keepLines w:val="0"/>
                    <w:suppressLineNumbers w:val="0"/>
                    <w:spacing w:before="0" w:beforeAutospacing="0" w:after="0" w:afterAutospacing="0"/>
                    <w:ind w:left="0" w:right="0"/>
                    <w:jc w:val="center"/>
                    <w:rPr>
                      <w:color w:val="000000"/>
                      <w:szCs w:val="21"/>
                    </w:rPr>
                  </w:pPr>
                  <w:r>
                    <w:rPr>
                      <w:color w:val="000000"/>
                      <w:szCs w:val="21"/>
                    </w:rPr>
                    <w:t>0.35-0.60g/cm</w:t>
                  </w:r>
                  <w:r>
                    <w:rPr>
                      <w:color w:val="000000"/>
                      <w:szCs w:val="21"/>
                      <w:vertAlign w:val="superscript"/>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32" w:type="pct"/>
                  <w:shd w:val="clear" w:color="auto" w:fill="auto"/>
                  <w:vAlign w:val="center"/>
                </w:tcPr>
                <w:p>
                  <w:pPr>
                    <w:keepNext w:val="0"/>
                    <w:keepLines w:val="0"/>
                    <w:suppressLineNumbers w:val="0"/>
                    <w:spacing w:before="0" w:beforeAutospacing="0" w:after="0" w:afterAutospacing="0"/>
                    <w:ind w:left="0" w:right="0"/>
                    <w:jc w:val="center"/>
                    <w:rPr>
                      <w:szCs w:val="21"/>
                    </w:rPr>
                  </w:pPr>
                  <w:r>
                    <w:rPr>
                      <w:szCs w:val="21"/>
                    </w:rPr>
                    <w:t>使用温度</w:t>
                  </w:r>
                </w:p>
              </w:tc>
              <w:tc>
                <w:tcPr>
                  <w:tcW w:w="3268" w:type="pct"/>
                  <w:shd w:val="clear" w:color="auto" w:fill="auto"/>
                  <w:vAlign w:val="center"/>
                </w:tcPr>
                <w:p>
                  <w:pPr>
                    <w:keepNext w:val="0"/>
                    <w:keepLines w:val="0"/>
                    <w:suppressLineNumbers w:val="0"/>
                    <w:spacing w:before="0" w:beforeAutospacing="0" w:after="0" w:afterAutospacing="0"/>
                    <w:ind w:left="0" w:right="0"/>
                    <w:jc w:val="center"/>
                    <w:rPr>
                      <w:color w:val="000000"/>
                      <w:szCs w:val="21"/>
                    </w:rPr>
                  </w:pPr>
                  <w:r>
                    <w:rPr>
                      <w:color w:val="000000"/>
                      <w:szCs w:val="21"/>
                    </w:rPr>
                    <w:t>≤400</w:t>
                  </w:r>
                  <w:r>
                    <w:rPr>
                      <w:rFonts w:hAnsi="宋体"/>
                      <w:color w:val="000000"/>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32" w:type="pct"/>
                  <w:shd w:val="clear" w:color="auto" w:fill="auto"/>
                  <w:vAlign w:val="center"/>
                </w:tcPr>
                <w:p>
                  <w:pPr>
                    <w:keepNext w:val="0"/>
                    <w:keepLines w:val="0"/>
                    <w:suppressLineNumbers w:val="0"/>
                    <w:spacing w:before="0" w:beforeAutospacing="0" w:after="0" w:afterAutospacing="0"/>
                    <w:ind w:left="0" w:right="0"/>
                    <w:jc w:val="center"/>
                    <w:rPr>
                      <w:szCs w:val="21"/>
                    </w:rPr>
                  </w:pPr>
                  <w:r>
                    <w:rPr>
                      <w:szCs w:val="21"/>
                    </w:rPr>
                    <w:t>碘值</w:t>
                  </w:r>
                </w:p>
              </w:tc>
              <w:tc>
                <w:tcPr>
                  <w:tcW w:w="3268" w:type="pct"/>
                  <w:shd w:val="clear" w:color="auto" w:fill="auto"/>
                  <w:vAlign w:val="center"/>
                </w:tcPr>
                <w:p>
                  <w:pPr>
                    <w:keepNext w:val="0"/>
                    <w:keepLines w:val="0"/>
                    <w:suppressLineNumbers w:val="0"/>
                    <w:spacing w:before="0" w:beforeAutospacing="0" w:after="0" w:afterAutospacing="0"/>
                    <w:ind w:left="0" w:right="0"/>
                    <w:jc w:val="center"/>
                    <w:rPr>
                      <w:color w:val="000000"/>
                      <w:szCs w:val="21"/>
                    </w:rPr>
                  </w:pPr>
                  <w:r>
                    <w:rPr>
                      <w:rFonts w:hint="eastAsia" w:ascii="宋体" w:hAnsi="宋体"/>
                      <w:color w:val="000000"/>
                      <w:szCs w:val="21"/>
                    </w:rPr>
                    <w:t>≥</w:t>
                  </w:r>
                  <w:r>
                    <w:rPr>
                      <w:color w:val="000000"/>
                      <w:szCs w:val="21"/>
                    </w:rPr>
                    <w:t>8</w:t>
                  </w:r>
                  <w:r>
                    <w:rPr>
                      <w:rFonts w:hint="eastAsia"/>
                      <w:color w:val="000000"/>
                      <w:szCs w:val="21"/>
                    </w:rPr>
                    <w:t>00</w:t>
                  </w:r>
                  <w:r>
                    <w:rPr>
                      <w:color w:val="000000"/>
                      <w:szCs w:val="21"/>
                    </w:rPr>
                    <w:t>mg/g</w:t>
                  </w:r>
                </w:p>
              </w:tc>
            </w:tr>
          </w:tbl>
          <w:p>
            <w:pPr>
              <w:pStyle w:val="5"/>
              <w:keepNext w:val="0"/>
              <w:keepLines w:val="0"/>
              <w:suppressLineNumbers w:val="0"/>
              <w:spacing w:before="0" w:beforeAutospacing="0" w:after="0" w:afterAutospacing="0" w:line="360" w:lineRule="auto"/>
              <w:ind w:left="0" w:right="0" w:firstLine="0"/>
              <w:rPr>
                <w:rFonts w:ascii="宋体" w:hAnsi="宋体" w:cs="宋体"/>
                <w:b/>
                <w:bCs/>
                <w:szCs w:val="21"/>
              </w:rPr>
            </w:pPr>
            <w:r>
              <w:rPr>
                <w:rFonts w:hint="eastAsia" w:ascii="宋体" w:hAnsi="宋体" w:cs="宋体"/>
                <w:b/>
                <w:bCs/>
                <w:szCs w:val="21"/>
              </w:rPr>
              <w:t>注</w:t>
            </w:r>
            <w:r>
              <w:rPr>
                <w:rFonts w:ascii="Times New Roman" w:hAnsi="宋体"/>
                <w:b/>
                <w:bCs/>
                <w:szCs w:val="21"/>
              </w:rPr>
              <w:t>：本项目所用活性炭符合《</w:t>
            </w:r>
            <w:r>
              <w:rPr>
                <w:rFonts w:ascii="Times New Roman" w:hAnsi="Times New Roman"/>
                <w:b/>
                <w:bCs/>
                <w:szCs w:val="21"/>
              </w:rPr>
              <w:t>2020</w:t>
            </w:r>
            <w:r>
              <w:rPr>
                <w:rFonts w:ascii="Times New Roman" w:hAnsi="宋体"/>
                <w:b/>
                <w:bCs/>
                <w:szCs w:val="21"/>
              </w:rPr>
              <w:t>年挥发性有机物治理攻坚方案》内相关要求</w:t>
            </w:r>
            <w:r>
              <w:rPr>
                <w:rFonts w:hint="eastAsia" w:ascii="宋体" w:hAnsi="宋体" w:cs="宋体"/>
                <w:b/>
                <w:bCs/>
                <w:szCs w:val="21"/>
              </w:rPr>
              <w:t>。</w:t>
            </w:r>
          </w:p>
          <w:p>
            <w:pPr>
              <w:pStyle w:val="5"/>
              <w:keepNext w:val="0"/>
              <w:keepLines w:val="0"/>
              <w:suppressLineNumbers w:val="0"/>
              <w:snapToGrid w:val="0"/>
              <w:spacing w:before="0" w:beforeAutospacing="0" w:after="0" w:afterAutospacing="0" w:line="360" w:lineRule="auto"/>
              <w:ind w:left="0" w:right="0" w:firstLine="480" w:firstLineChars="200"/>
              <w:rPr>
                <w:rFonts w:ascii="Times New Roman" w:hAnsi="Times New Roman"/>
                <w:sz w:val="24"/>
                <w:szCs w:val="24"/>
              </w:rPr>
            </w:pPr>
            <w:r>
              <w:rPr>
                <w:rFonts w:ascii="Times New Roman" w:hAnsi="Times New Roman"/>
                <w:sz w:val="24"/>
                <w:szCs w:val="24"/>
              </w:rPr>
              <w:t>本项目废气处理装置总投资</w:t>
            </w:r>
            <w:r>
              <w:rPr>
                <w:rFonts w:hint="eastAsia" w:ascii="Times New Roman" w:hAnsi="Times New Roman"/>
                <w:sz w:val="24"/>
                <w:szCs w:val="24"/>
              </w:rPr>
              <w:t>80</w:t>
            </w:r>
            <w:r>
              <w:rPr>
                <w:rFonts w:ascii="Times New Roman" w:hAnsi="Times New Roman"/>
                <w:sz w:val="24"/>
                <w:szCs w:val="24"/>
              </w:rPr>
              <w:t>万人民币，约占总投资</w:t>
            </w:r>
            <w:r>
              <w:rPr>
                <w:rFonts w:hint="eastAsia" w:ascii="Times New Roman" w:hAnsi="Times New Roman"/>
                <w:sz w:val="24"/>
                <w:szCs w:val="24"/>
              </w:rPr>
              <w:t>0.</w:t>
            </w:r>
            <w:r>
              <w:rPr>
                <w:rFonts w:hint="eastAsia" w:ascii="Times New Roman" w:hAnsi="Times New Roman"/>
                <w:sz w:val="24"/>
                <w:szCs w:val="24"/>
                <w:lang w:val="en-US" w:eastAsia="zh-CN"/>
              </w:rPr>
              <w:t>26</w:t>
            </w:r>
            <w:r>
              <w:rPr>
                <w:rFonts w:ascii="Times New Roman" w:hAnsi="Times New Roman"/>
                <w:sz w:val="24"/>
                <w:szCs w:val="24"/>
              </w:rPr>
              <w:t>%，每年运行成本和维护保养费按</w:t>
            </w:r>
            <w:r>
              <w:rPr>
                <w:rFonts w:hint="eastAsia" w:ascii="Times New Roman" w:hAnsi="Times New Roman"/>
                <w:sz w:val="24"/>
                <w:szCs w:val="24"/>
              </w:rPr>
              <w:t>4</w:t>
            </w:r>
            <w:r>
              <w:rPr>
                <w:rFonts w:ascii="Times New Roman" w:hAnsi="Times New Roman"/>
                <w:sz w:val="24"/>
                <w:szCs w:val="24"/>
              </w:rPr>
              <w:t>万人民币/年，折旧费</w:t>
            </w:r>
            <w:r>
              <w:rPr>
                <w:rFonts w:hint="eastAsia" w:ascii="Times New Roman" w:hAnsi="Times New Roman"/>
                <w:sz w:val="24"/>
                <w:szCs w:val="24"/>
              </w:rPr>
              <w:t>2</w:t>
            </w:r>
            <w:r>
              <w:rPr>
                <w:rFonts w:ascii="Times New Roman" w:hAnsi="Times New Roman"/>
                <w:sz w:val="24"/>
                <w:szCs w:val="24"/>
              </w:rPr>
              <w:t>万人民币/年，共计</w:t>
            </w:r>
            <w:r>
              <w:rPr>
                <w:rFonts w:hint="eastAsia" w:ascii="Times New Roman" w:hAnsi="Times New Roman"/>
                <w:sz w:val="24"/>
                <w:szCs w:val="24"/>
              </w:rPr>
              <w:t>6</w:t>
            </w:r>
            <w:r>
              <w:rPr>
                <w:rFonts w:ascii="Times New Roman" w:hAnsi="Times New Roman"/>
                <w:sz w:val="24"/>
                <w:szCs w:val="24"/>
              </w:rPr>
              <w:t>万人民币/年，本项目效益较好，企业可以承受，同时大大减少了污染物排入大气，可实现较大的环境效益，在经济上是可行的。</w:t>
            </w:r>
          </w:p>
          <w:p>
            <w:pPr>
              <w:pStyle w:val="5"/>
              <w:keepNext w:val="0"/>
              <w:keepLines w:val="0"/>
              <w:suppressLineNumbers w:val="0"/>
              <w:snapToGrid w:val="0"/>
              <w:spacing w:before="0" w:beforeAutospacing="0" w:after="0" w:afterAutospacing="0" w:line="360" w:lineRule="auto"/>
              <w:ind w:left="0" w:right="0" w:firstLine="482" w:firstLineChars="200"/>
              <w:rPr>
                <w:rFonts w:ascii="Times New Roman" w:hAnsi="Times New Roman"/>
                <w:b/>
                <w:sz w:val="24"/>
                <w:szCs w:val="24"/>
              </w:rPr>
            </w:pPr>
            <w:r>
              <w:rPr>
                <w:rFonts w:hint="eastAsia" w:ascii="Times New Roman" w:hAnsi="Times New Roman"/>
                <w:b/>
                <w:sz w:val="24"/>
                <w:szCs w:val="24"/>
              </w:rPr>
              <w:t>5）</w:t>
            </w:r>
            <w:r>
              <w:rPr>
                <w:rFonts w:ascii="Times New Roman" w:hAnsi="Times New Roman"/>
                <w:b/>
                <w:sz w:val="24"/>
                <w:szCs w:val="24"/>
              </w:rPr>
              <w:t>工程实例</w:t>
            </w:r>
          </w:p>
          <w:p>
            <w:pPr>
              <w:pStyle w:val="5"/>
              <w:keepNext w:val="0"/>
              <w:keepLines w:val="0"/>
              <w:suppressLineNumbers w:val="0"/>
              <w:snapToGrid w:val="0"/>
              <w:spacing w:before="0" w:beforeAutospacing="0" w:after="0" w:afterAutospacing="0" w:line="360" w:lineRule="auto"/>
              <w:ind w:left="-84" w:right="0" w:firstLine="482" w:firstLineChars="200"/>
              <w:rPr>
                <w:rFonts w:ascii="Times New Roman" w:hAnsi="宋体"/>
                <w:b/>
                <w:sz w:val="24"/>
                <w:szCs w:val="24"/>
              </w:rPr>
            </w:pPr>
            <w:r>
              <w:rPr>
                <w:rFonts w:hint="eastAsia" w:ascii="宋体" w:hAnsi="宋体"/>
                <w:b/>
                <w:sz w:val="24"/>
                <w:szCs w:val="24"/>
              </w:rPr>
              <w:t>Ⅰ</w:t>
            </w:r>
            <w:r>
              <w:rPr>
                <w:rFonts w:hint="eastAsia" w:ascii="Times New Roman" w:hAnsi="宋体"/>
                <w:b/>
                <w:sz w:val="24"/>
                <w:szCs w:val="24"/>
              </w:rPr>
              <w:t>活性炭吸附装置</w:t>
            </w:r>
          </w:p>
          <w:p>
            <w:pPr>
              <w:pStyle w:val="5"/>
              <w:keepNext w:val="0"/>
              <w:keepLines w:val="0"/>
              <w:suppressLineNumbers w:val="0"/>
              <w:snapToGrid w:val="0"/>
              <w:spacing w:before="0" w:beforeAutospacing="0" w:after="0" w:afterAutospacing="0" w:line="360" w:lineRule="auto"/>
              <w:ind w:left="-84" w:right="0" w:firstLine="480" w:firstLineChars="200"/>
              <w:rPr>
                <w:rFonts w:ascii="Times New Roman" w:hAnsi="Times New Roman"/>
                <w:sz w:val="24"/>
                <w:szCs w:val="24"/>
              </w:rPr>
            </w:pPr>
            <w:r>
              <w:rPr>
                <w:rFonts w:hint="eastAsia" w:ascii="Times New Roman" w:hAnsi="宋体"/>
                <w:sz w:val="24"/>
                <w:szCs w:val="24"/>
              </w:rPr>
              <w:t>“</w:t>
            </w:r>
            <w:r>
              <w:rPr>
                <w:rFonts w:ascii="Times New Roman" w:hAnsi="宋体"/>
                <w:sz w:val="24"/>
                <w:szCs w:val="24"/>
              </w:rPr>
              <w:t>江苏太湖新材料技术研发有限公司年产8000吨塑料制品制造项目</w:t>
            </w:r>
            <w:r>
              <w:rPr>
                <w:rFonts w:hint="eastAsia" w:ascii="Times New Roman" w:hAnsi="宋体"/>
                <w:sz w:val="24"/>
                <w:szCs w:val="24"/>
              </w:rPr>
              <w:t>”于2020年9月30日取得了常州市生态环境局发布的批复（批复文号：常武环审[2020]382号），并于2021年7月13日完成自主验收。</w:t>
            </w:r>
            <w:r>
              <w:rPr>
                <w:rFonts w:ascii="Times New Roman" w:hAnsi="宋体"/>
                <w:sz w:val="24"/>
                <w:szCs w:val="24"/>
              </w:rPr>
              <w:t>江苏太湖新材料技术研发有限公司生产项目</w:t>
            </w:r>
            <w:r>
              <w:rPr>
                <w:rFonts w:hint="eastAsia" w:ascii="Times New Roman" w:hAnsi="宋体"/>
                <w:sz w:val="24"/>
                <w:szCs w:val="24"/>
              </w:rPr>
              <w:t>注塑过程中</w:t>
            </w:r>
            <w:r>
              <w:rPr>
                <w:rFonts w:ascii="Times New Roman" w:hAnsi="宋体"/>
                <w:sz w:val="24"/>
                <w:szCs w:val="24"/>
              </w:rPr>
              <w:t>产生的有机废气经</w:t>
            </w:r>
            <w:r>
              <w:rPr>
                <w:rFonts w:hint="eastAsia" w:ascii="Times New Roman" w:hAnsi="宋体"/>
                <w:sz w:val="24"/>
                <w:szCs w:val="24"/>
              </w:rPr>
              <w:t>二级</w:t>
            </w:r>
            <w:r>
              <w:rPr>
                <w:rFonts w:ascii="Times New Roman" w:hAnsi="宋体"/>
                <w:sz w:val="24"/>
                <w:szCs w:val="24"/>
              </w:rPr>
              <w:t>活性炭吸附装置处理后通过</w:t>
            </w:r>
            <w:r>
              <w:rPr>
                <w:rFonts w:ascii="Times New Roman" w:hAnsi="Times New Roman"/>
                <w:sz w:val="24"/>
                <w:szCs w:val="24"/>
              </w:rPr>
              <w:t>15m</w:t>
            </w:r>
            <w:r>
              <w:rPr>
                <w:rFonts w:ascii="Times New Roman" w:hAnsi="宋体"/>
                <w:sz w:val="24"/>
                <w:szCs w:val="24"/>
              </w:rPr>
              <w:t>高排气筒排放。根据竣工环境保护验收监测报告，该项目非甲烷总烃的排放浓度、排放速率可满足相应排放标准。</w:t>
            </w:r>
          </w:p>
          <w:p>
            <w:pPr>
              <w:pStyle w:val="5"/>
              <w:keepNext w:val="0"/>
              <w:keepLines w:val="0"/>
              <w:suppressLineNumbers w:val="0"/>
              <w:snapToGrid w:val="0"/>
              <w:spacing w:before="0" w:beforeAutospacing="0" w:after="0" w:afterAutospacing="0" w:line="360" w:lineRule="auto"/>
              <w:ind w:left="0" w:right="0" w:firstLine="480" w:firstLineChars="200"/>
              <w:rPr>
                <w:rFonts w:ascii="Times New Roman" w:hAnsi="Times New Roman"/>
                <w:sz w:val="24"/>
                <w:szCs w:val="24"/>
              </w:rPr>
            </w:pPr>
            <w:r>
              <w:rPr>
                <w:rFonts w:ascii="Times New Roman" w:hAnsi="宋体"/>
                <w:sz w:val="24"/>
                <w:szCs w:val="24"/>
              </w:rPr>
              <w:t>根据《环境保护产品技术要求</w:t>
            </w:r>
            <w:r>
              <w:rPr>
                <w:rFonts w:ascii="Times New Roman" w:hAnsi="Times New Roman"/>
                <w:sz w:val="24"/>
                <w:szCs w:val="24"/>
              </w:rPr>
              <w:t xml:space="preserve"> </w:t>
            </w:r>
            <w:r>
              <w:rPr>
                <w:rFonts w:ascii="Times New Roman" w:hAnsi="宋体"/>
                <w:sz w:val="24"/>
                <w:szCs w:val="24"/>
              </w:rPr>
              <w:t>工业废气吸附净化装置》（</w:t>
            </w:r>
            <w:r>
              <w:rPr>
                <w:rFonts w:ascii="Times New Roman" w:hAnsi="Times New Roman"/>
                <w:sz w:val="24"/>
                <w:szCs w:val="24"/>
              </w:rPr>
              <w:t>HJT386-2007</w:t>
            </w:r>
            <w:r>
              <w:rPr>
                <w:rFonts w:ascii="Times New Roman" w:hAnsi="宋体"/>
                <w:sz w:val="24"/>
                <w:szCs w:val="24"/>
              </w:rPr>
              <w:t>）要求：</w:t>
            </w:r>
          </w:p>
          <w:p>
            <w:pPr>
              <w:pStyle w:val="5"/>
              <w:keepNext w:val="0"/>
              <w:keepLines w:val="0"/>
              <w:suppressLineNumbers w:val="0"/>
              <w:snapToGrid w:val="0"/>
              <w:spacing w:before="0" w:beforeAutospacing="0" w:after="0" w:afterAutospacing="0" w:line="360" w:lineRule="auto"/>
              <w:ind w:left="0" w:right="0" w:firstLine="480" w:firstLineChars="200"/>
              <w:rPr>
                <w:rFonts w:ascii="Times New Roman" w:hAnsi="Times New Roman"/>
                <w:sz w:val="24"/>
                <w:szCs w:val="24"/>
              </w:rPr>
            </w:pPr>
            <w:r>
              <w:rPr>
                <w:rFonts w:ascii="Times New Roman" w:hAnsi="宋体"/>
                <w:sz w:val="24"/>
                <w:szCs w:val="24"/>
              </w:rPr>
              <w:t>①吸附装置应防火、防爆、防漏电和防泄漏；</w:t>
            </w:r>
          </w:p>
          <w:p>
            <w:pPr>
              <w:pStyle w:val="5"/>
              <w:keepNext w:val="0"/>
              <w:keepLines w:val="0"/>
              <w:suppressLineNumbers w:val="0"/>
              <w:snapToGrid w:val="0"/>
              <w:spacing w:before="0" w:beforeAutospacing="0" w:after="0" w:afterAutospacing="0" w:line="360" w:lineRule="auto"/>
              <w:ind w:left="0" w:right="0" w:firstLine="480" w:firstLineChars="200"/>
              <w:rPr>
                <w:rFonts w:ascii="Times New Roman" w:hAnsi="Times New Roman"/>
                <w:sz w:val="24"/>
                <w:szCs w:val="24"/>
              </w:rPr>
            </w:pPr>
            <w:r>
              <w:rPr>
                <w:rFonts w:ascii="Times New Roman" w:hAnsi="宋体"/>
                <w:sz w:val="24"/>
                <w:szCs w:val="24"/>
              </w:rPr>
              <w:t>②吸附装置主体的表面温度不高于</w:t>
            </w:r>
            <w:r>
              <w:rPr>
                <w:rFonts w:ascii="Times New Roman" w:hAnsi="Times New Roman"/>
                <w:sz w:val="24"/>
                <w:szCs w:val="24"/>
              </w:rPr>
              <w:t>60</w:t>
            </w:r>
            <w:r>
              <w:rPr>
                <w:rFonts w:ascii="Times New Roman" w:hAnsi="宋体"/>
                <w:sz w:val="24"/>
                <w:szCs w:val="24"/>
              </w:rPr>
              <w:t>℃；</w:t>
            </w:r>
          </w:p>
          <w:p>
            <w:pPr>
              <w:pStyle w:val="5"/>
              <w:keepNext w:val="0"/>
              <w:keepLines w:val="0"/>
              <w:suppressLineNumbers w:val="0"/>
              <w:snapToGrid w:val="0"/>
              <w:spacing w:before="0" w:beforeAutospacing="0" w:after="0" w:afterAutospacing="0" w:line="360" w:lineRule="auto"/>
              <w:ind w:left="0" w:right="0" w:firstLine="480" w:firstLineChars="200"/>
              <w:rPr>
                <w:rFonts w:ascii="Times New Roman" w:hAnsi="Times New Roman"/>
                <w:sz w:val="24"/>
                <w:szCs w:val="24"/>
              </w:rPr>
            </w:pPr>
            <w:r>
              <w:rPr>
                <w:rFonts w:ascii="Times New Roman" w:hAnsi="宋体"/>
                <w:sz w:val="24"/>
                <w:szCs w:val="24"/>
              </w:rPr>
              <w:t>③吸附单元应设置温度指示、超温声光报警装置及应急处理系统；</w:t>
            </w:r>
          </w:p>
          <w:p>
            <w:pPr>
              <w:pStyle w:val="5"/>
              <w:keepNext w:val="0"/>
              <w:keepLines w:val="0"/>
              <w:suppressLineNumbers w:val="0"/>
              <w:snapToGrid w:val="0"/>
              <w:spacing w:before="0" w:beforeAutospacing="0" w:after="0" w:afterAutospacing="0" w:line="360" w:lineRule="auto"/>
              <w:ind w:left="0" w:right="0" w:firstLine="480" w:firstLineChars="200"/>
              <w:rPr>
                <w:rFonts w:ascii="Times New Roman" w:hAnsi="Times New Roman"/>
                <w:sz w:val="24"/>
                <w:szCs w:val="24"/>
              </w:rPr>
            </w:pPr>
            <w:r>
              <w:rPr>
                <w:rFonts w:ascii="Times New Roman" w:hAnsi="宋体"/>
                <w:sz w:val="24"/>
                <w:szCs w:val="24"/>
              </w:rPr>
              <w:t>④吸附单元应设置压力指示和泄压装置，其性能应符合安全技术要求；</w:t>
            </w:r>
          </w:p>
          <w:p>
            <w:pPr>
              <w:pStyle w:val="5"/>
              <w:keepNext w:val="0"/>
              <w:keepLines w:val="0"/>
              <w:suppressLineNumbers w:val="0"/>
              <w:snapToGrid w:val="0"/>
              <w:spacing w:before="0" w:beforeAutospacing="0" w:after="0" w:afterAutospacing="0" w:line="360" w:lineRule="auto"/>
              <w:ind w:left="0" w:right="0" w:firstLine="480" w:firstLineChars="200"/>
              <w:rPr>
                <w:rFonts w:ascii="Times New Roman" w:hAnsi="Times New Roman"/>
                <w:sz w:val="24"/>
                <w:szCs w:val="24"/>
              </w:rPr>
            </w:pPr>
            <w:r>
              <w:rPr>
                <w:rFonts w:ascii="Times New Roman" w:hAnsi="宋体"/>
                <w:sz w:val="24"/>
                <w:szCs w:val="24"/>
              </w:rPr>
              <w:t>⑤污染物为易燃易爆气体时，应采用防爆风机和电机；</w:t>
            </w:r>
          </w:p>
          <w:p>
            <w:pPr>
              <w:pStyle w:val="5"/>
              <w:keepNext w:val="0"/>
              <w:keepLines w:val="0"/>
              <w:suppressLineNumbers w:val="0"/>
              <w:snapToGrid w:val="0"/>
              <w:spacing w:before="0" w:beforeAutospacing="0" w:after="0" w:afterAutospacing="0" w:line="360" w:lineRule="auto"/>
              <w:ind w:left="0" w:right="0" w:firstLine="480" w:firstLineChars="200"/>
              <w:rPr>
                <w:rFonts w:ascii="Times New Roman" w:hAnsi="Times New Roman"/>
                <w:snapToGrid w:val="0"/>
                <w:kern w:val="0"/>
                <w:sz w:val="24"/>
                <w:szCs w:val="22"/>
              </w:rPr>
            </w:pPr>
            <w:r>
              <w:rPr>
                <w:rFonts w:ascii="Times New Roman" w:hAnsi="宋体"/>
                <w:sz w:val="24"/>
                <w:szCs w:val="24"/>
              </w:rPr>
              <w:t>⑥由计算机控制的吸附装置应同时具备手动操作功能。本项目不涉及易燃</w:t>
            </w:r>
            <w:r>
              <w:rPr>
                <w:rFonts w:ascii="Times New Roman" w:hAnsi="Times New Roman"/>
                <w:sz w:val="24"/>
                <w:szCs w:val="24"/>
              </w:rPr>
              <w:t>易爆气体，吸附装置设置防火、防爆、防漏电和防泄漏设施等。</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rFonts w:hint="eastAsia" w:hAnsi="宋体"/>
                <w:sz w:val="24"/>
              </w:rPr>
              <w:t>本项目针对生产过程产生的有机废气采取二级</w:t>
            </w:r>
            <w:r>
              <w:rPr>
                <w:rFonts w:hint="eastAsia" w:hAnsi="宋体"/>
                <w:sz w:val="24"/>
                <w:lang w:eastAsia="zh-CN"/>
              </w:rPr>
              <w:t>活性炭</w:t>
            </w:r>
            <w:r>
              <w:rPr>
                <w:rFonts w:hint="eastAsia" w:hAnsi="宋体"/>
                <w:sz w:val="24"/>
              </w:rPr>
              <w:t>吸附装置处理有机废气，注塑工序工作温度为160-180℃，固化工序工作温度为180-220℃，废气收集后通过管道进入废气处理装置，废气输送期间温度逐渐损耗，参</w:t>
            </w:r>
            <w:r>
              <w:rPr>
                <w:rFonts w:hAnsi="宋体"/>
                <w:bCs/>
                <w:snapToGrid w:val="0"/>
                <w:kern w:val="0"/>
                <w:sz w:val="24"/>
                <w:szCs w:val="22"/>
              </w:rPr>
              <w:t>考</w:t>
            </w:r>
            <w:r>
              <w:rPr>
                <w:rFonts w:hAnsi="宋体"/>
                <w:sz w:val="24"/>
              </w:rPr>
              <w:t>江苏太湖新材料技术研发有限公司</w:t>
            </w:r>
            <w:r>
              <w:rPr>
                <w:rFonts w:hint="eastAsia" w:hAnsi="宋体"/>
                <w:bCs/>
                <w:snapToGrid w:val="0"/>
                <w:kern w:val="0"/>
                <w:sz w:val="24"/>
                <w:szCs w:val="22"/>
              </w:rPr>
              <w:t>二级</w:t>
            </w:r>
            <w:r>
              <w:rPr>
                <w:rFonts w:hAnsi="宋体"/>
                <w:bCs/>
                <w:snapToGrid w:val="0"/>
                <w:kern w:val="0"/>
                <w:sz w:val="24"/>
                <w:szCs w:val="22"/>
              </w:rPr>
              <w:t>活性炭吸附处理设施</w:t>
            </w:r>
            <w:r>
              <w:rPr>
                <w:rFonts w:hint="eastAsia" w:hAnsi="宋体"/>
                <w:sz w:val="24"/>
              </w:rPr>
              <w:t>，废气处理装置主体的表面温度低于60℃，且满足防火、防爆、防漏电和防泄漏要求，设置温度指示、超温声光报警装置及应急处理系统，设置压力指示和泄压装置，符合《环境保护产品技术要求 工业废气吸附净化装置》（HJT386-2007）要求。</w:t>
            </w:r>
          </w:p>
          <w:p>
            <w:pPr>
              <w:keepNext w:val="0"/>
              <w:keepLines w:val="0"/>
              <w:suppressLineNumbers w:val="0"/>
              <w:adjustRightInd w:val="0"/>
              <w:snapToGrid w:val="0"/>
              <w:spacing w:before="0" w:beforeAutospacing="0" w:after="0" w:afterAutospacing="0" w:line="360" w:lineRule="auto"/>
              <w:ind w:left="0" w:right="0" w:firstLine="482" w:firstLineChars="200"/>
              <w:rPr>
                <w:b/>
                <w:sz w:val="24"/>
              </w:rPr>
            </w:pPr>
            <w:r>
              <w:rPr>
                <w:rFonts w:hint="eastAsia" w:ascii="宋体" w:hAnsi="宋体"/>
                <w:b/>
                <w:sz w:val="24"/>
              </w:rPr>
              <w:t>Ⅱ</w:t>
            </w:r>
            <w:r>
              <w:rPr>
                <w:rFonts w:hint="eastAsia"/>
                <w:b/>
                <w:sz w:val="24"/>
              </w:rPr>
              <w:t>滤芯除尘器</w:t>
            </w:r>
          </w:p>
          <w:p>
            <w:pPr>
              <w:keepNext w:val="0"/>
              <w:keepLines w:val="0"/>
              <w:suppressLineNumbers w:val="0"/>
              <w:adjustRightInd w:val="0"/>
              <w:snapToGrid w:val="0"/>
              <w:spacing w:before="0" w:beforeAutospacing="0" w:after="0" w:afterAutospacing="0" w:line="360" w:lineRule="auto"/>
              <w:ind w:left="0" w:right="0" w:firstLine="480" w:firstLineChars="200"/>
              <w:rPr>
                <w:rFonts w:eastAsiaTheme="minorEastAsia"/>
              </w:rPr>
            </w:pPr>
            <w:r>
              <w:rPr>
                <w:rFonts w:hint="eastAsia" w:hAnsi="宋体"/>
                <w:sz w:val="24"/>
              </w:rPr>
              <w:t>“</w:t>
            </w:r>
            <w:r>
              <w:rPr>
                <w:rFonts w:hAnsi="宋体"/>
                <w:sz w:val="24"/>
              </w:rPr>
              <w:t>常州康南金属材料有限公司迁建年产20万套新能源电机壳体、工业电机壳体及机械零部件</w:t>
            </w:r>
            <w:r>
              <w:rPr>
                <w:rFonts w:hint="eastAsia" w:hAnsi="宋体"/>
                <w:sz w:val="24"/>
              </w:rPr>
              <w:t>项目”于</w:t>
            </w:r>
            <w:r>
              <w:rPr>
                <w:rFonts w:hAnsi="宋体"/>
                <w:sz w:val="24"/>
              </w:rPr>
              <w:t>20</w:t>
            </w:r>
            <w:r>
              <w:rPr>
                <w:rFonts w:hint="eastAsia" w:hAnsi="宋体"/>
                <w:sz w:val="24"/>
              </w:rPr>
              <w:t>21年7月7日取得了江苏常州经济开发区管理委员会发布的批复（批复文号：常经发审【2021】195号），并于2021年12月17日完成自主验收。</w:t>
            </w:r>
            <w:r>
              <w:rPr>
                <w:rFonts w:hAnsi="宋体"/>
                <w:sz w:val="24"/>
              </w:rPr>
              <w:t>常州康南金属材料有限公司生产项目</w:t>
            </w:r>
            <w:r>
              <w:rPr>
                <w:rFonts w:hint="eastAsia" w:hAnsi="宋体"/>
                <w:sz w:val="24"/>
              </w:rPr>
              <w:t>生产过程中</w:t>
            </w:r>
            <w:r>
              <w:rPr>
                <w:rFonts w:hAnsi="宋体"/>
                <w:sz w:val="24"/>
              </w:rPr>
              <w:t>产生的</w:t>
            </w:r>
            <w:r>
              <w:rPr>
                <w:rFonts w:hint="eastAsia" w:hAnsi="宋体"/>
                <w:sz w:val="24"/>
              </w:rPr>
              <w:t>粉尘</w:t>
            </w:r>
            <w:r>
              <w:rPr>
                <w:rFonts w:hAnsi="宋体"/>
                <w:sz w:val="24"/>
              </w:rPr>
              <w:t>经</w:t>
            </w:r>
            <w:r>
              <w:rPr>
                <w:rFonts w:hint="eastAsia" w:hAnsi="宋体"/>
                <w:sz w:val="24"/>
              </w:rPr>
              <w:t>滤芯除尘器</w:t>
            </w:r>
            <w:r>
              <w:rPr>
                <w:rFonts w:hAnsi="宋体"/>
                <w:sz w:val="24"/>
              </w:rPr>
              <w:t>处理后通过</w:t>
            </w:r>
            <w:r>
              <w:rPr>
                <w:rFonts w:hint="eastAsia" w:hAnsi="宋体"/>
                <w:sz w:val="24"/>
              </w:rPr>
              <w:t>一根</w:t>
            </w:r>
            <w:r>
              <w:rPr>
                <w:sz w:val="24"/>
              </w:rPr>
              <w:t>15m</w:t>
            </w:r>
            <w:r>
              <w:rPr>
                <w:rFonts w:hAnsi="宋体"/>
                <w:sz w:val="24"/>
              </w:rPr>
              <w:t>高排气筒排放。</w:t>
            </w:r>
            <w:r>
              <w:rPr>
                <w:rFonts w:hint="eastAsia"/>
                <w:sz w:val="24"/>
              </w:rPr>
              <w:t>根据竣工环境保护验收监测报告，该项目颗粒物的排放浓度、排放速率可满足相应排放标准。</w:t>
            </w:r>
          </w:p>
          <w:p>
            <w:pPr>
              <w:keepNext w:val="0"/>
              <w:keepLines w:val="0"/>
              <w:suppressLineNumbers w:val="0"/>
              <w:adjustRightInd w:val="0"/>
              <w:snapToGrid w:val="0"/>
              <w:spacing w:before="0" w:beforeAutospacing="0" w:after="0" w:afterAutospacing="0" w:line="360" w:lineRule="auto"/>
              <w:ind w:left="0" w:right="0" w:firstLine="482" w:firstLineChars="200"/>
              <w:rPr>
                <w:b/>
                <w:sz w:val="24"/>
              </w:rPr>
            </w:pPr>
            <w:r>
              <w:rPr>
                <w:rFonts w:hint="eastAsia"/>
                <w:b/>
                <w:sz w:val="24"/>
              </w:rPr>
              <w:t>6）排放情况</w:t>
            </w:r>
          </w:p>
          <w:p>
            <w:pPr>
              <w:keepNext w:val="0"/>
              <w:keepLines w:val="0"/>
              <w:suppressLineNumbers w:val="0"/>
              <w:snapToGrid w:val="0"/>
              <w:spacing w:before="0" w:beforeAutospacing="0" w:after="0" w:afterAutospacing="0" w:line="360" w:lineRule="auto"/>
              <w:ind w:left="0" w:right="0" w:firstLine="420"/>
              <w:rPr>
                <w:rFonts w:ascii="宋体" w:hAnsi="宋体"/>
                <w:kern w:val="0"/>
                <w:sz w:val="24"/>
              </w:rPr>
            </w:pPr>
            <w:r>
              <w:rPr>
                <w:rFonts w:hint="eastAsia" w:ascii="宋体" w:hAnsi="宋体"/>
                <w:kern w:val="0"/>
                <w:sz w:val="24"/>
              </w:rPr>
              <w:t>本项目废气有组织排放情况见下表：</w:t>
            </w:r>
          </w:p>
          <w:p>
            <w:pPr>
              <w:keepNext w:val="0"/>
              <w:keepLines w:val="0"/>
              <w:suppressLineNumbers w:val="0"/>
              <w:spacing w:before="0" w:beforeAutospacing="0" w:after="0" w:afterAutospacing="0"/>
              <w:ind w:left="0" w:right="0"/>
              <w:jc w:val="center"/>
              <w:rPr>
                <w:rFonts w:ascii="宋体" w:hAnsi="宋体"/>
                <w:b/>
                <w:bCs/>
                <w:sz w:val="24"/>
              </w:rPr>
            </w:pPr>
            <w:r>
              <w:rPr>
                <w:b/>
                <w:bCs/>
                <w:sz w:val="24"/>
              </w:rPr>
              <w:t>表4-</w:t>
            </w:r>
            <w:r>
              <w:rPr>
                <w:rFonts w:hint="eastAsia"/>
                <w:b/>
                <w:bCs/>
                <w:sz w:val="24"/>
              </w:rPr>
              <w:t>5</w:t>
            </w:r>
            <w:r>
              <w:rPr>
                <w:b/>
                <w:bCs/>
                <w:sz w:val="24"/>
              </w:rPr>
              <w:t xml:space="preserve"> 本项目有组织</w:t>
            </w:r>
            <w:r>
              <w:rPr>
                <w:rFonts w:hint="eastAsia" w:ascii="宋体" w:hAnsi="宋体"/>
                <w:b/>
                <w:bCs/>
                <w:sz w:val="24"/>
              </w:rPr>
              <w:t>废气污染物排放情况</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76"/>
              <w:gridCol w:w="1090"/>
              <w:gridCol w:w="817"/>
              <w:gridCol w:w="1226"/>
              <w:gridCol w:w="681"/>
              <w:gridCol w:w="1051"/>
              <w:gridCol w:w="710"/>
              <w:gridCol w:w="908"/>
              <w:gridCol w:w="102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4" w:type="pct"/>
                  <w:vMerge w:val="restart"/>
                  <w:tcBorders>
                    <w:top w:val="single" w:color="auto" w:sz="12" w:space="0"/>
                    <w:left w:val="nil"/>
                    <w:bottom w:val="single" w:color="auto" w:sz="4"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b/>
                      <w:sz w:val="21"/>
                      <w:szCs w:val="21"/>
                    </w:rPr>
                  </w:pPr>
                  <w:r>
                    <w:rPr>
                      <w:rFonts w:ascii="Times New Roman" w:hAnsi="Times New Roman" w:eastAsia="宋体"/>
                      <w:b/>
                      <w:sz w:val="21"/>
                      <w:szCs w:val="21"/>
                    </w:rPr>
                    <w:t>排气筒设置</w:t>
                  </w:r>
                </w:p>
              </w:tc>
              <w:tc>
                <w:tcPr>
                  <w:tcW w:w="666" w:type="pct"/>
                  <w:vMerge w:val="restart"/>
                  <w:tcBorders>
                    <w:top w:val="single" w:color="auto" w:sz="12" w:space="0"/>
                    <w:left w:val="single" w:color="auto" w:sz="4" w:space="0"/>
                    <w:bottom w:val="single" w:color="auto" w:sz="4"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b/>
                      <w:sz w:val="21"/>
                      <w:szCs w:val="21"/>
                    </w:rPr>
                  </w:pPr>
                  <w:r>
                    <w:rPr>
                      <w:rFonts w:ascii="Times New Roman" w:hAnsi="Times New Roman" w:eastAsia="宋体"/>
                      <w:b/>
                      <w:sz w:val="21"/>
                      <w:szCs w:val="21"/>
                    </w:rPr>
                    <w:t>工段</w:t>
                  </w:r>
                </w:p>
              </w:tc>
              <w:tc>
                <w:tcPr>
                  <w:tcW w:w="499" w:type="pct"/>
                  <w:vMerge w:val="restart"/>
                  <w:tcBorders>
                    <w:top w:val="single" w:color="auto" w:sz="12" w:space="0"/>
                    <w:left w:val="single" w:color="auto" w:sz="4" w:space="0"/>
                    <w:bottom w:val="single" w:color="auto" w:sz="4"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b/>
                      <w:sz w:val="21"/>
                      <w:szCs w:val="21"/>
                    </w:rPr>
                  </w:pPr>
                  <w:r>
                    <w:rPr>
                      <w:rFonts w:ascii="Times New Roman" w:hAnsi="Times New Roman" w:eastAsia="宋体"/>
                      <w:b/>
                      <w:sz w:val="21"/>
                      <w:szCs w:val="21"/>
                    </w:rPr>
                    <w:t>风量m</w:t>
                  </w:r>
                  <w:r>
                    <w:rPr>
                      <w:rFonts w:ascii="Times New Roman" w:hAnsi="Times New Roman" w:eastAsia="宋体"/>
                      <w:b/>
                      <w:sz w:val="21"/>
                      <w:szCs w:val="21"/>
                      <w:vertAlign w:val="superscript"/>
                    </w:rPr>
                    <w:t>3</w:t>
                  </w:r>
                  <w:r>
                    <w:rPr>
                      <w:rFonts w:ascii="Times New Roman" w:hAnsi="Times New Roman" w:eastAsia="宋体"/>
                      <w:b/>
                      <w:sz w:val="21"/>
                      <w:szCs w:val="21"/>
                    </w:rPr>
                    <w:t>/h</w:t>
                  </w:r>
                </w:p>
              </w:tc>
              <w:tc>
                <w:tcPr>
                  <w:tcW w:w="749" w:type="pct"/>
                  <w:vMerge w:val="restart"/>
                  <w:tcBorders>
                    <w:top w:val="single" w:color="auto" w:sz="12" w:space="0"/>
                    <w:left w:val="single" w:color="auto" w:sz="4" w:space="0"/>
                    <w:bottom w:val="single" w:color="auto" w:sz="4"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b/>
                      <w:sz w:val="21"/>
                      <w:szCs w:val="21"/>
                    </w:rPr>
                  </w:pPr>
                  <w:r>
                    <w:rPr>
                      <w:rFonts w:ascii="Times New Roman" w:hAnsi="Times New Roman" w:eastAsia="宋体"/>
                      <w:b/>
                      <w:sz w:val="21"/>
                      <w:szCs w:val="21"/>
                    </w:rPr>
                    <w:t>拟采取的处理方式</w:t>
                  </w:r>
                </w:p>
              </w:tc>
              <w:tc>
                <w:tcPr>
                  <w:tcW w:w="416" w:type="pct"/>
                  <w:vMerge w:val="restart"/>
                  <w:tcBorders>
                    <w:top w:val="single" w:color="auto" w:sz="12" w:space="0"/>
                    <w:left w:val="single" w:color="auto" w:sz="4" w:space="0"/>
                    <w:bottom w:val="single" w:color="auto" w:sz="4"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b/>
                      <w:sz w:val="21"/>
                      <w:szCs w:val="21"/>
                    </w:rPr>
                  </w:pPr>
                  <w:r>
                    <w:rPr>
                      <w:rFonts w:ascii="Times New Roman" w:hAnsi="Times New Roman" w:eastAsia="宋体"/>
                      <w:b/>
                      <w:sz w:val="21"/>
                      <w:szCs w:val="21"/>
                    </w:rPr>
                    <w:t>去除率</w:t>
                  </w:r>
                </w:p>
                <w:p>
                  <w:pPr>
                    <w:pStyle w:val="62"/>
                    <w:keepNext w:val="0"/>
                    <w:keepLines w:val="0"/>
                    <w:suppressLineNumbers w:val="0"/>
                    <w:spacing w:before="0" w:beforeAutospacing="0" w:after="0" w:afterAutospacing="0"/>
                    <w:ind w:left="0" w:right="0"/>
                    <w:rPr>
                      <w:rFonts w:hint="eastAsia" w:ascii="Times New Roman" w:hAnsi="Times New Roman" w:eastAsia="宋体"/>
                      <w:b/>
                      <w:sz w:val="21"/>
                      <w:szCs w:val="21"/>
                      <w:lang w:val="en-US" w:eastAsia="zh-CN"/>
                    </w:rPr>
                  </w:pPr>
                  <w:r>
                    <w:rPr>
                      <w:rFonts w:hint="eastAsia" w:ascii="Times New Roman" w:hAnsi="Times New Roman" w:eastAsia="宋体"/>
                      <w:b/>
                      <w:sz w:val="21"/>
                      <w:szCs w:val="21"/>
                      <w:lang w:val="en-US" w:eastAsia="zh-CN"/>
                    </w:rPr>
                    <w:t>%</w:t>
                  </w:r>
                </w:p>
              </w:tc>
              <w:tc>
                <w:tcPr>
                  <w:tcW w:w="642" w:type="pct"/>
                  <w:vMerge w:val="restart"/>
                  <w:tcBorders>
                    <w:top w:val="single" w:color="auto" w:sz="12"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b/>
                      <w:szCs w:val="21"/>
                    </w:rPr>
                  </w:pPr>
                  <w:r>
                    <w:rPr>
                      <w:b/>
                      <w:bCs/>
                      <w:szCs w:val="21"/>
                    </w:rPr>
                    <w:t>污染物名称</w:t>
                  </w:r>
                </w:p>
              </w:tc>
              <w:tc>
                <w:tcPr>
                  <w:tcW w:w="1614" w:type="pct"/>
                  <w:gridSpan w:val="3"/>
                  <w:tcBorders>
                    <w:top w:val="single" w:color="auto" w:sz="12" w:space="0"/>
                    <w:left w:val="single" w:color="auto" w:sz="4" w:space="0"/>
                    <w:bottom w:val="single" w:color="auto" w:sz="4" w:space="0"/>
                    <w:right w:val="nil"/>
                  </w:tcBorders>
                  <w:vAlign w:val="center"/>
                </w:tcPr>
                <w:p>
                  <w:pPr>
                    <w:pStyle w:val="62"/>
                    <w:keepNext w:val="0"/>
                    <w:keepLines w:val="0"/>
                    <w:suppressLineNumbers w:val="0"/>
                    <w:spacing w:before="0" w:beforeAutospacing="0" w:after="0" w:afterAutospacing="0"/>
                    <w:ind w:left="0" w:right="0"/>
                    <w:rPr>
                      <w:rFonts w:ascii="Times New Roman" w:hAnsi="Times New Roman" w:eastAsia="宋体"/>
                      <w:b/>
                      <w:sz w:val="21"/>
                      <w:szCs w:val="21"/>
                    </w:rPr>
                  </w:pPr>
                  <w:r>
                    <w:rPr>
                      <w:rFonts w:ascii="Times New Roman" w:hAnsi="Times New Roman" w:eastAsia="宋体"/>
                      <w:b/>
                      <w:sz w:val="21"/>
                      <w:szCs w:val="21"/>
                    </w:rPr>
                    <w:t>排放状况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4" w:type="pct"/>
                  <w:vMerge w:val="continue"/>
                  <w:tcBorders>
                    <w:top w:val="single" w:color="auto" w:sz="12"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b/>
                      <w:kern w:val="44"/>
                      <w:szCs w:val="21"/>
                    </w:rPr>
                  </w:pPr>
                </w:p>
              </w:tc>
              <w:tc>
                <w:tcPr>
                  <w:tcW w:w="666" w:type="pct"/>
                  <w:vMerge w:val="continue"/>
                  <w:tcBorders>
                    <w:top w:val="single" w:color="auto" w:sz="12"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b/>
                      <w:kern w:val="44"/>
                      <w:szCs w:val="21"/>
                    </w:rPr>
                  </w:pPr>
                </w:p>
              </w:tc>
              <w:tc>
                <w:tcPr>
                  <w:tcW w:w="499" w:type="pct"/>
                  <w:vMerge w:val="continue"/>
                  <w:tcBorders>
                    <w:top w:val="single" w:color="auto" w:sz="12"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b/>
                      <w:kern w:val="44"/>
                      <w:szCs w:val="21"/>
                    </w:rPr>
                  </w:pPr>
                </w:p>
              </w:tc>
              <w:tc>
                <w:tcPr>
                  <w:tcW w:w="749" w:type="pct"/>
                  <w:vMerge w:val="continue"/>
                  <w:tcBorders>
                    <w:top w:val="single" w:color="auto" w:sz="12"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b/>
                      <w:kern w:val="44"/>
                      <w:szCs w:val="21"/>
                    </w:rPr>
                  </w:pPr>
                </w:p>
              </w:tc>
              <w:tc>
                <w:tcPr>
                  <w:tcW w:w="416" w:type="pct"/>
                  <w:vMerge w:val="continue"/>
                  <w:tcBorders>
                    <w:top w:val="single" w:color="auto" w:sz="12"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b/>
                      <w:kern w:val="44"/>
                      <w:szCs w:val="21"/>
                    </w:rPr>
                  </w:pPr>
                </w:p>
              </w:tc>
              <w:tc>
                <w:tcPr>
                  <w:tcW w:w="642" w:type="pct"/>
                  <w:vMerge w:val="continue"/>
                  <w:tcBorders>
                    <w:top w:val="single" w:color="auto" w:sz="12"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b/>
                      <w:szCs w:val="21"/>
                    </w:rPr>
                  </w:pPr>
                </w:p>
              </w:tc>
              <w:tc>
                <w:tcPr>
                  <w:tcW w:w="434"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ind w:left="0" w:right="0"/>
                    <w:jc w:val="center"/>
                    <w:rPr>
                      <w:b/>
                      <w:szCs w:val="21"/>
                    </w:rPr>
                  </w:pPr>
                  <w:r>
                    <w:rPr>
                      <w:b/>
                      <w:szCs w:val="21"/>
                    </w:rPr>
                    <w:t>浓度mg/m</w:t>
                  </w:r>
                  <w:r>
                    <w:rPr>
                      <w:b/>
                      <w:szCs w:val="21"/>
                      <w:vertAlign w:val="superscript"/>
                    </w:rPr>
                    <w:t>3</w:t>
                  </w:r>
                </w:p>
              </w:tc>
              <w:tc>
                <w:tcPr>
                  <w:tcW w:w="555"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ind w:left="0" w:right="0"/>
                    <w:jc w:val="center"/>
                    <w:rPr>
                      <w:b/>
                      <w:szCs w:val="21"/>
                    </w:rPr>
                  </w:pPr>
                  <w:r>
                    <w:rPr>
                      <w:b/>
                      <w:szCs w:val="21"/>
                    </w:rPr>
                    <w:t>速率kg/h</w:t>
                  </w:r>
                </w:p>
              </w:tc>
              <w:tc>
                <w:tcPr>
                  <w:tcW w:w="625" w:type="pct"/>
                  <w:tcBorders>
                    <w:top w:val="single" w:color="auto" w:sz="4" w:space="0"/>
                    <w:left w:val="single" w:color="auto" w:sz="4" w:space="0"/>
                    <w:bottom w:val="single" w:color="auto" w:sz="4" w:space="0"/>
                    <w:right w:val="nil"/>
                  </w:tcBorders>
                  <w:vAlign w:val="center"/>
                </w:tcPr>
                <w:p>
                  <w:pPr>
                    <w:keepNext w:val="0"/>
                    <w:keepLines w:val="0"/>
                    <w:suppressLineNumbers w:val="0"/>
                    <w:snapToGrid w:val="0"/>
                    <w:spacing w:before="0" w:beforeAutospacing="0" w:after="0" w:afterAutospacing="0"/>
                    <w:ind w:left="0" w:right="0"/>
                    <w:jc w:val="center"/>
                    <w:rPr>
                      <w:b/>
                      <w:szCs w:val="21"/>
                    </w:rPr>
                  </w:pPr>
                  <w:r>
                    <w:rPr>
                      <w:b/>
                      <w:szCs w:val="21"/>
                    </w:rPr>
                    <w:t>排放量t/a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4" w:type="pct"/>
                  <w:vMerge w:val="restart"/>
                  <w:tcBorders>
                    <w:top w:val="single" w:color="auto" w:sz="4" w:space="0"/>
                    <w:left w:val="nil"/>
                    <w:right w:val="single" w:color="auto" w:sz="4" w:space="0"/>
                  </w:tcBorders>
                  <w:vAlign w:val="center"/>
                </w:tcPr>
                <w:p>
                  <w:pPr>
                    <w:keepNext w:val="0"/>
                    <w:keepLines w:val="0"/>
                    <w:suppressLineNumbers w:val="0"/>
                    <w:snapToGrid w:val="0"/>
                    <w:spacing w:before="0" w:beforeAutospacing="0" w:after="0" w:afterAutospacing="0"/>
                    <w:ind w:left="0" w:right="0"/>
                    <w:jc w:val="center"/>
                    <w:rPr>
                      <w:szCs w:val="21"/>
                    </w:rPr>
                  </w:pPr>
                  <w:r>
                    <w:rPr>
                      <w:szCs w:val="21"/>
                    </w:rPr>
                    <w:t>FQ-</w:t>
                  </w:r>
                  <w:r>
                    <w:rPr>
                      <w:rFonts w:hint="eastAsia"/>
                      <w:szCs w:val="21"/>
                    </w:rPr>
                    <w:t>1</w:t>
                  </w:r>
                </w:p>
              </w:tc>
              <w:tc>
                <w:tcPr>
                  <w:tcW w:w="666" w:type="pct"/>
                  <w:tcBorders>
                    <w:top w:val="single" w:color="auto" w:sz="4" w:space="0"/>
                    <w:left w:val="single" w:color="auto" w:sz="4" w:space="0"/>
                    <w:bottom w:val="single" w:color="auto" w:sz="4"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sz w:val="21"/>
                      <w:szCs w:val="21"/>
                    </w:rPr>
                  </w:pPr>
                  <w:r>
                    <w:rPr>
                      <w:rFonts w:hint="eastAsia" w:ascii="Times New Roman" w:hAnsi="Times New Roman" w:eastAsia="宋体"/>
                      <w:sz w:val="21"/>
                      <w:szCs w:val="21"/>
                    </w:rPr>
                    <w:t>涂敷</w:t>
                  </w:r>
                </w:p>
              </w:tc>
              <w:tc>
                <w:tcPr>
                  <w:tcW w:w="499" w:type="pct"/>
                  <w:vMerge w:val="restart"/>
                  <w:tcBorders>
                    <w:top w:val="single" w:color="auto" w:sz="4" w:space="0"/>
                    <w:left w:val="single" w:color="auto" w:sz="4"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sz w:val="21"/>
                      <w:szCs w:val="21"/>
                    </w:rPr>
                  </w:pPr>
                  <w:r>
                    <w:rPr>
                      <w:rFonts w:hint="eastAsia" w:ascii="Times New Roman" w:hAnsi="Times New Roman" w:eastAsia="宋体"/>
                      <w:sz w:val="21"/>
                      <w:szCs w:val="21"/>
                      <w:lang w:val="en-US" w:eastAsia="zh-CN"/>
                    </w:rPr>
                    <w:t>35</w:t>
                  </w:r>
                  <w:r>
                    <w:rPr>
                      <w:rFonts w:hint="eastAsia" w:ascii="Times New Roman" w:hAnsi="Times New Roman" w:eastAsia="宋体"/>
                      <w:sz w:val="21"/>
                      <w:szCs w:val="21"/>
                    </w:rPr>
                    <w:t>000</w:t>
                  </w:r>
                </w:p>
              </w:tc>
              <w:tc>
                <w:tcPr>
                  <w:tcW w:w="749"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旋风分离塔+二级滤芯除尘器</w:t>
                  </w:r>
                </w:p>
              </w:tc>
              <w:tc>
                <w:tcPr>
                  <w:tcW w:w="416" w:type="pct"/>
                  <w:tcBorders>
                    <w:top w:val="single" w:color="auto" w:sz="4" w:space="0"/>
                    <w:left w:val="single" w:color="auto" w:sz="4" w:space="0"/>
                    <w:bottom w:val="single" w:color="auto" w:sz="4"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sz w:val="21"/>
                      <w:szCs w:val="21"/>
                    </w:rPr>
                  </w:pPr>
                  <w:r>
                    <w:rPr>
                      <w:rFonts w:hint="eastAsia" w:ascii="Times New Roman" w:hAnsi="Times New Roman" w:eastAsia="宋体"/>
                      <w:sz w:val="21"/>
                      <w:szCs w:val="21"/>
                    </w:rPr>
                    <w:t>98</w:t>
                  </w:r>
                </w:p>
              </w:tc>
              <w:tc>
                <w:tcPr>
                  <w:tcW w:w="642" w:type="pct"/>
                  <w:tcBorders>
                    <w:top w:val="single" w:color="auto" w:sz="4" w:space="0"/>
                    <w:left w:val="single" w:color="auto" w:sz="4" w:space="0"/>
                    <w:bottom w:val="single" w:color="auto" w:sz="4"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sz w:val="21"/>
                      <w:szCs w:val="21"/>
                    </w:rPr>
                  </w:pPr>
                  <w:r>
                    <w:rPr>
                      <w:rFonts w:hint="eastAsia" w:ascii="Times New Roman" w:hAnsi="Times New Roman" w:eastAsia="宋体"/>
                      <w:sz w:val="21"/>
                      <w:szCs w:val="21"/>
                    </w:rPr>
                    <w:t>粉尘</w:t>
                  </w:r>
                </w:p>
              </w:tc>
              <w:tc>
                <w:tcPr>
                  <w:tcW w:w="434" w:type="pct"/>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hint="default" w:ascii="Times New Roman" w:hAnsi="Times New Roman" w:eastAsia="宋体"/>
                      <w:szCs w:val="21"/>
                      <w:lang w:val="en-US" w:eastAsia="zh-CN"/>
                    </w:rPr>
                  </w:pPr>
                  <w:r>
                    <w:rPr>
                      <w:rFonts w:hint="eastAsia" w:ascii="Times New Roman" w:hAnsi="Times New Roman"/>
                      <w:szCs w:val="21"/>
                      <w:lang w:val="en-US" w:eastAsia="zh-CN"/>
                    </w:rPr>
                    <w:t>0.93</w:t>
                  </w:r>
                </w:p>
              </w:tc>
              <w:tc>
                <w:tcPr>
                  <w:tcW w:w="555" w:type="pct"/>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hint="default" w:ascii="Times New Roman" w:hAnsi="Times New Roman" w:eastAsia="宋体"/>
                      <w:szCs w:val="21"/>
                      <w:lang w:val="en-US" w:eastAsia="zh-CN"/>
                    </w:rPr>
                  </w:pPr>
                  <w:r>
                    <w:rPr>
                      <w:rFonts w:hint="eastAsia" w:ascii="Times New Roman" w:hAnsi="Times New Roman"/>
                      <w:szCs w:val="21"/>
                    </w:rPr>
                    <w:t>0.0</w:t>
                  </w:r>
                  <w:r>
                    <w:rPr>
                      <w:rFonts w:hint="eastAsia" w:ascii="Times New Roman" w:hAnsi="Times New Roman"/>
                      <w:szCs w:val="21"/>
                      <w:lang w:val="en-US" w:eastAsia="zh-CN"/>
                    </w:rPr>
                    <w:t>327</w:t>
                  </w:r>
                </w:p>
              </w:tc>
              <w:tc>
                <w:tcPr>
                  <w:tcW w:w="625" w:type="pct"/>
                  <w:tcBorders>
                    <w:top w:val="single" w:color="auto" w:sz="4" w:space="0"/>
                    <w:left w:val="single" w:color="auto" w:sz="4" w:space="0"/>
                    <w:bottom w:val="single" w:color="auto" w:sz="4" w:space="0"/>
                    <w:right w:val="nil"/>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szCs w:val="21"/>
                    </w:rPr>
                  </w:pPr>
                  <w:r>
                    <w:rPr>
                      <w:rFonts w:hint="eastAsia" w:ascii="Times New Roman" w:hAnsi="Times New Roman"/>
                      <w:szCs w:val="21"/>
                    </w:rPr>
                    <w:t>0.098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4" w:type="pct"/>
                  <w:vMerge w:val="continue"/>
                  <w:tcBorders>
                    <w:left w:val="nil"/>
                    <w:right w:val="single" w:color="auto" w:sz="4" w:space="0"/>
                  </w:tcBorders>
                  <w:vAlign w:val="center"/>
                </w:tcPr>
                <w:p>
                  <w:pPr>
                    <w:keepNext w:val="0"/>
                    <w:keepLines w:val="0"/>
                    <w:suppressLineNumbers w:val="0"/>
                    <w:snapToGrid w:val="0"/>
                    <w:spacing w:before="0" w:beforeAutospacing="0" w:after="0" w:afterAutospacing="0"/>
                    <w:ind w:left="0" w:right="0"/>
                    <w:jc w:val="center"/>
                    <w:rPr>
                      <w:szCs w:val="21"/>
                    </w:rPr>
                  </w:pPr>
                </w:p>
              </w:tc>
              <w:tc>
                <w:tcPr>
                  <w:tcW w:w="666" w:type="pct"/>
                  <w:tcBorders>
                    <w:top w:val="single" w:color="auto" w:sz="4" w:space="0"/>
                    <w:left w:val="single" w:color="auto" w:sz="4" w:space="0"/>
                    <w:bottom w:val="single" w:color="auto" w:sz="4"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sz w:val="21"/>
                      <w:szCs w:val="21"/>
                    </w:rPr>
                  </w:pPr>
                  <w:r>
                    <w:rPr>
                      <w:rFonts w:hint="eastAsia" w:ascii="Times New Roman" w:hAnsi="Times New Roman" w:eastAsia="宋体"/>
                      <w:sz w:val="21"/>
                      <w:szCs w:val="21"/>
                    </w:rPr>
                    <w:t>固化</w:t>
                  </w:r>
                </w:p>
              </w:tc>
              <w:tc>
                <w:tcPr>
                  <w:tcW w:w="499" w:type="pct"/>
                  <w:vMerge w:val="continue"/>
                  <w:tcBorders>
                    <w:left w:val="single" w:color="auto" w:sz="4"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sz w:val="21"/>
                      <w:szCs w:val="21"/>
                    </w:rPr>
                  </w:pPr>
                </w:p>
              </w:tc>
              <w:tc>
                <w:tcPr>
                  <w:tcW w:w="749" w:type="pct"/>
                  <w:vMerge w:val="restart"/>
                  <w:tcBorders>
                    <w:top w:val="single" w:color="auto" w:sz="4" w:space="0"/>
                    <w:left w:val="single" w:color="auto" w:sz="4" w:space="0"/>
                    <w:right w:val="single" w:color="auto" w:sz="4" w:space="0"/>
                  </w:tcBorders>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rPr>
                    <w:t>二级活性炭</w:t>
                  </w:r>
                </w:p>
              </w:tc>
              <w:tc>
                <w:tcPr>
                  <w:tcW w:w="416" w:type="pct"/>
                  <w:vMerge w:val="restart"/>
                  <w:tcBorders>
                    <w:top w:val="single" w:color="auto" w:sz="4" w:space="0"/>
                    <w:left w:val="single" w:color="auto" w:sz="4"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sz w:val="21"/>
                      <w:szCs w:val="21"/>
                    </w:rPr>
                  </w:pPr>
                  <w:r>
                    <w:rPr>
                      <w:rFonts w:hint="eastAsia" w:ascii="Times New Roman" w:hAnsi="Times New Roman" w:eastAsia="宋体"/>
                      <w:sz w:val="21"/>
                      <w:szCs w:val="21"/>
                    </w:rPr>
                    <w:t>80</w:t>
                  </w:r>
                </w:p>
              </w:tc>
              <w:tc>
                <w:tcPr>
                  <w:tcW w:w="642" w:type="pct"/>
                  <w:vMerge w:val="restart"/>
                  <w:tcBorders>
                    <w:top w:val="single" w:color="auto" w:sz="4" w:space="0"/>
                    <w:left w:val="single" w:color="auto" w:sz="4"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sz w:val="21"/>
                      <w:szCs w:val="21"/>
                    </w:rPr>
                  </w:pPr>
                  <w:r>
                    <w:rPr>
                      <w:rFonts w:hint="eastAsia" w:ascii="Times New Roman" w:hAnsi="Times New Roman" w:eastAsia="宋体"/>
                      <w:sz w:val="21"/>
                      <w:szCs w:val="21"/>
                    </w:rPr>
                    <w:t>非甲烷总烃</w:t>
                  </w:r>
                </w:p>
              </w:tc>
              <w:tc>
                <w:tcPr>
                  <w:tcW w:w="434" w:type="pct"/>
                  <w:vMerge w:val="restart"/>
                  <w:tcBorders>
                    <w:top w:val="single" w:color="auto" w:sz="4" w:space="0"/>
                    <w:left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hint="default" w:ascii="Times New Roman" w:hAnsi="Times New Roman" w:eastAsia="宋体"/>
                      <w:szCs w:val="21"/>
                      <w:lang w:val="en-US" w:eastAsia="zh-CN"/>
                    </w:rPr>
                  </w:pPr>
                  <w:r>
                    <w:rPr>
                      <w:rFonts w:hint="eastAsia" w:ascii="Times New Roman" w:hAnsi="Times New Roman"/>
                      <w:szCs w:val="21"/>
                    </w:rPr>
                    <w:t>1.</w:t>
                  </w:r>
                  <w:r>
                    <w:rPr>
                      <w:rFonts w:hint="eastAsia" w:ascii="Times New Roman" w:hAnsi="Times New Roman"/>
                      <w:szCs w:val="21"/>
                      <w:lang w:val="en-US" w:eastAsia="zh-CN"/>
                    </w:rPr>
                    <w:t>06</w:t>
                  </w:r>
                </w:p>
              </w:tc>
              <w:tc>
                <w:tcPr>
                  <w:tcW w:w="555" w:type="pct"/>
                  <w:vMerge w:val="restart"/>
                  <w:tcBorders>
                    <w:top w:val="single" w:color="auto" w:sz="4" w:space="0"/>
                    <w:left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hint="default" w:ascii="Times New Roman" w:hAnsi="Times New Roman" w:eastAsia="宋体"/>
                      <w:szCs w:val="21"/>
                      <w:lang w:val="en-US" w:eastAsia="zh-CN"/>
                    </w:rPr>
                  </w:pPr>
                  <w:r>
                    <w:rPr>
                      <w:rFonts w:hint="eastAsia" w:ascii="Times New Roman" w:hAnsi="Times New Roman"/>
                      <w:szCs w:val="21"/>
                    </w:rPr>
                    <w:t>0.0</w:t>
                  </w:r>
                  <w:r>
                    <w:rPr>
                      <w:rFonts w:hint="eastAsia" w:ascii="Times New Roman" w:hAnsi="Times New Roman"/>
                      <w:szCs w:val="21"/>
                      <w:lang w:val="en-US" w:eastAsia="zh-CN"/>
                    </w:rPr>
                    <w:t>37</w:t>
                  </w:r>
                </w:p>
              </w:tc>
              <w:tc>
                <w:tcPr>
                  <w:tcW w:w="625" w:type="pct"/>
                  <w:vMerge w:val="restart"/>
                  <w:tcBorders>
                    <w:top w:val="single" w:color="auto" w:sz="4" w:space="0"/>
                    <w:left w:val="single" w:color="auto" w:sz="4" w:space="0"/>
                    <w:right w:val="nil"/>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hint="default" w:ascii="Times New Roman" w:hAnsi="Times New Roman" w:eastAsia="宋体"/>
                      <w:szCs w:val="21"/>
                      <w:lang w:val="en-US" w:eastAsia="zh-CN"/>
                    </w:rPr>
                  </w:pPr>
                  <w:r>
                    <w:rPr>
                      <w:rFonts w:hint="eastAsia" w:ascii="Times New Roman" w:hAnsi="Times New Roman"/>
                      <w:szCs w:val="21"/>
                    </w:rPr>
                    <w:t>0.</w:t>
                  </w:r>
                  <w:r>
                    <w:rPr>
                      <w:rFonts w:hint="eastAsia" w:ascii="Times New Roman" w:hAnsi="Times New Roman"/>
                      <w:szCs w:val="21"/>
                      <w:lang w:val="en-US" w:eastAsia="zh-CN"/>
                    </w:rPr>
                    <w:t>111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4" w:type="pct"/>
                  <w:vMerge w:val="continue"/>
                  <w:tcBorders>
                    <w:left w:val="nil"/>
                    <w:right w:val="single" w:color="auto" w:sz="4" w:space="0"/>
                  </w:tcBorders>
                  <w:vAlign w:val="center"/>
                </w:tcPr>
                <w:p>
                  <w:pPr>
                    <w:keepNext w:val="0"/>
                    <w:keepLines w:val="0"/>
                    <w:suppressLineNumbers w:val="0"/>
                    <w:snapToGrid w:val="0"/>
                    <w:spacing w:before="0" w:beforeAutospacing="0" w:after="0" w:afterAutospacing="0"/>
                    <w:ind w:left="0" w:right="0"/>
                    <w:jc w:val="center"/>
                    <w:rPr>
                      <w:szCs w:val="21"/>
                    </w:rPr>
                  </w:pPr>
                </w:p>
              </w:tc>
              <w:tc>
                <w:tcPr>
                  <w:tcW w:w="666" w:type="pct"/>
                  <w:tcBorders>
                    <w:top w:val="single" w:color="auto" w:sz="4" w:space="0"/>
                    <w:left w:val="single" w:color="auto" w:sz="4" w:space="0"/>
                    <w:bottom w:val="single" w:color="auto" w:sz="4"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sz w:val="21"/>
                      <w:szCs w:val="21"/>
                    </w:rPr>
                  </w:pPr>
                  <w:r>
                    <w:rPr>
                      <w:rFonts w:hint="eastAsia" w:ascii="Times New Roman" w:hAnsi="Times New Roman" w:eastAsia="宋体"/>
                      <w:sz w:val="21"/>
                      <w:szCs w:val="21"/>
                    </w:rPr>
                    <w:t>注塑成型</w:t>
                  </w:r>
                </w:p>
              </w:tc>
              <w:tc>
                <w:tcPr>
                  <w:tcW w:w="499" w:type="pct"/>
                  <w:vMerge w:val="continue"/>
                  <w:tcBorders>
                    <w:left w:val="single" w:color="auto" w:sz="4"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sz w:val="21"/>
                      <w:szCs w:val="21"/>
                    </w:rPr>
                  </w:pPr>
                </w:p>
              </w:tc>
              <w:tc>
                <w:tcPr>
                  <w:tcW w:w="749" w:type="pct"/>
                  <w:vMerge w:val="continue"/>
                  <w:tcBorders>
                    <w:left w:val="single" w:color="auto" w:sz="4" w:space="0"/>
                    <w:right w:val="single" w:color="auto" w:sz="4" w:space="0"/>
                  </w:tcBorders>
                  <w:vAlign w:val="center"/>
                </w:tcPr>
                <w:p>
                  <w:pPr>
                    <w:keepNext w:val="0"/>
                    <w:keepLines w:val="0"/>
                    <w:suppressLineNumbers w:val="0"/>
                    <w:snapToGrid w:val="0"/>
                    <w:spacing w:before="0" w:beforeAutospacing="0" w:after="0" w:afterAutospacing="0"/>
                    <w:ind w:left="0" w:right="0"/>
                    <w:jc w:val="center"/>
                    <w:rPr>
                      <w:szCs w:val="21"/>
                    </w:rPr>
                  </w:pPr>
                </w:p>
              </w:tc>
              <w:tc>
                <w:tcPr>
                  <w:tcW w:w="416" w:type="pct"/>
                  <w:vMerge w:val="continue"/>
                  <w:tcBorders>
                    <w:left w:val="single" w:color="auto" w:sz="4"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sz w:val="21"/>
                      <w:szCs w:val="21"/>
                    </w:rPr>
                  </w:pPr>
                </w:p>
              </w:tc>
              <w:tc>
                <w:tcPr>
                  <w:tcW w:w="642" w:type="pct"/>
                  <w:vMerge w:val="continue"/>
                  <w:tcBorders>
                    <w:left w:val="single" w:color="auto" w:sz="4"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sz w:val="21"/>
                      <w:szCs w:val="21"/>
                    </w:rPr>
                  </w:pPr>
                </w:p>
              </w:tc>
              <w:tc>
                <w:tcPr>
                  <w:tcW w:w="434" w:type="pct"/>
                  <w:vMerge w:val="continue"/>
                  <w:tcBorders>
                    <w:left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szCs w:val="21"/>
                    </w:rPr>
                  </w:pPr>
                </w:p>
              </w:tc>
              <w:tc>
                <w:tcPr>
                  <w:tcW w:w="555" w:type="pct"/>
                  <w:vMerge w:val="continue"/>
                  <w:tcBorders>
                    <w:left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szCs w:val="21"/>
                    </w:rPr>
                  </w:pPr>
                </w:p>
              </w:tc>
              <w:tc>
                <w:tcPr>
                  <w:tcW w:w="625" w:type="pct"/>
                  <w:vMerge w:val="continue"/>
                  <w:tcBorders>
                    <w:left w:val="single" w:color="auto" w:sz="4" w:space="0"/>
                    <w:right w:val="nil"/>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4" w:type="pct"/>
                  <w:tcBorders>
                    <w:left w:val="nil"/>
                    <w:right w:val="single" w:color="auto" w:sz="4" w:space="0"/>
                  </w:tcBorders>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rPr>
                    <w:t>FQ-2</w:t>
                  </w:r>
                </w:p>
              </w:tc>
              <w:tc>
                <w:tcPr>
                  <w:tcW w:w="666" w:type="pct"/>
                  <w:tcBorders>
                    <w:top w:val="single" w:color="auto" w:sz="4" w:space="0"/>
                    <w:left w:val="single" w:color="auto" w:sz="4"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sz w:val="21"/>
                      <w:szCs w:val="21"/>
                    </w:rPr>
                  </w:pPr>
                  <w:r>
                    <w:rPr>
                      <w:rFonts w:hint="eastAsia" w:ascii="Times New Roman" w:hAnsi="Times New Roman" w:eastAsia="宋体"/>
                      <w:sz w:val="21"/>
                      <w:szCs w:val="21"/>
                    </w:rPr>
                    <w:t>食堂</w:t>
                  </w:r>
                </w:p>
              </w:tc>
              <w:tc>
                <w:tcPr>
                  <w:tcW w:w="499" w:type="pct"/>
                  <w:tcBorders>
                    <w:left w:val="single" w:color="auto" w:sz="4"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sz w:val="21"/>
                      <w:szCs w:val="21"/>
                    </w:rPr>
                  </w:pPr>
                  <w:r>
                    <w:rPr>
                      <w:rFonts w:hint="eastAsia" w:ascii="Times New Roman" w:hAnsi="Times New Roman" w:eastAsia="宋体"/>
                      <w:sz w:val="21"/>
                      <w:szCs w:val="21"/>
                    </w:rPr>
                    <w:t>10000</w:t>
                  </w:r>
                </w:p>
              </w:tc>
              <w:tc>
                <w:tcPr>
                  <w:tcW w:w="749" w:type="pct"/>
                  <w:tcBorders>
                    <w:left w:val="single" w:color="auto" w:sz="4" w:space="0"/>
                    <w:right w:val="single" w:color="auto" w:sz="4" w:space="0"/>
                  </w:tcBorders>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rPr>
                    <w:t>油烟净化处理装置</w:t>
                  </w:r>
                </w:p>
              </w:tc>
              <w:tc>
                <w:tcPr>
                  <w:tcW w:w="416" w:type="pct"/>
                  <w:tcBorders>
                    <w:left w:val="single" w:color="auto" w:sz="4"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sz w:val="21"/>
                      <w:szCs w:val="21"/>
                    </w:rPr>
                  </w:pPr>
                  <w:r>
                    <w:rPr>
                      <w:rFonts w:hint="eastAsia" w:ascii="Times New Roman" w:hAnsi="Times New Roman" w:eastAsia="宋体"/>
                      <w:sz w:val="21"/>
                      <w:szCs w:val="21"/>
                    </w:rPr>
                    <w:t>60</w:t>
                  </w:r>
                </w:p>
              </w:tc>
              <w:tc>
                <w:tcPr>
                  <w:tcW w:w="642" w:type="pct"/>
                  <w:tcBorders>
                    <w:left w:val="single" w:color="auto" w:sz="4" w:space="0"/>
                    <w:bottom w:val="single" w:color="auto" w:sz="12" w:space="0"/>
                    <w:right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sz w:val="21"/>
                      <w:szCs w:val="21"/>
                    </w:rPr>
                  </w:pPr>
                  <w:r>
                    <w:rPr>
                      <w:rFonts w:hint="eastAsia" w:ascii="Times New Roman" w:hAnsi="Times New Roman" w:eastAsia="宋体"/>
                      <w:sz w:val="21"/>
                      <w:szCs w:val="21"/>
                    </w:rPr>
                    <w:t>食堂油烟</w:t>
                  </w:r>
                </w:p>
              </w:tc>
              <w:tc>
                <w:tcPr>
                  <w:tcW w:w="434" w:type="pct"/>
                  <w:tcBorders>
                    <w:left w:val="single" w:color="auto" w:sz="4" w:space="0"/>
                    <w:bottom w:val="single" w:color="auto" w:sz="12"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hint="default" w:ascii="Times New Roman" w:hAnsi="Times New Roman" w:eastAsia="宋体"/>
                      <w:szCs w:val="21"/>
                      <w:lang w:val="en-US" w:eastAsia="zh-CN"/>
                    </w:rPr>
                  </w:pPr>
                  <w:r>
                    <w:rPr>
                      <w:rFonts w:hint="eastAsia" w:ascii="Times New Roman" w:hAnsi="Times New Roman"/>
                      <w:szCs w:val="21"/>
                    </w:rPr>
                    <w:t>0.</w:t>
                  </w:r>
                  <w:r>
                    <w:rPr>
                      <w:rFonts w:hint="eastAsia" w:ascii="Times New Roman" w:hAnsi="Times New Roman"/>
                      <w:szCs w:val="21"/>
                      <w:lang w:val="en-US" w:eastAsia="zh-CN"/>
                    </w:rPr>
                    <w:t>72</w:t>
                  </w:r>
                </w:p>
              </w:tc>
              <w:tc>
                <w:tcPr>
                  <w:tcW w:w="555" w:type="pct"/>
                  <w:tcBorders>
                    <w:left w:val="single" w:color="auto" w:sz="4" w:space="0"/>
                    <w:bottom w:val="single" w:color="auto" w:sz="12"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hint="default" w:ascii="Times New Roman" w:hAnsi="Times New Roman" w:eastAsia="宋体"/>
                      <w:szCs w:val="21"/>
                      <w:lang w:val="en-US" w:eastAsia="zh-CN"/>
                    </w:rPr>
                  </w:pPr>
                  <w:r>
                    <w:rPr>
                      <w:rFonts w:hint="eastAsia" w:ascii="Times New Roman" w:hAnsi="Times New Roman"/>
                      <w:szCs w:val="21"/>
                    </w:rPr>
                    <w:t>0.00</w:t>
                  </w:r>
                  <w:r>
                    <w:rPr>
                      <w:rFonts w:hint="eastAsia" w:ascii="Times New Roman" w:hAnsi="Times New Roman"/>
                      <w:szCs w:val="21"/>
                      <w:lang w:val="en-US" w:eastAsia="zh-CN"/>
                    </w:rPr>
                    <w:t>72</w:t>
                  </w:r>
                </w:p>
              </w:tc>
              <w:tc>
                <w:tcPr>
                  <w:tcW w:w="625" w:type="pct"/>
                  <w:tcBorders>
                    <w:left w:val="single" w:color="auto" w:sz="4" w:space="0"/>
                    <w:bottom w:val="single" w:color="auto" w:sz="12" w:space="0"/>
                    <w:right w:val="nil"/>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hint="default" w:ascii="Times New Roman" w:hAnsi="Times New Roman" w:eastAsia="宋体"/>
                      <w:szCs w:val="21"/>
                      <w:lang w:val="en-US" w:eastAsia="zh-CN"/>
                    </w:rPr>
                  </w:pPr>
                  <w:r>
                    <w:rPr>
                      <w:rFonts w:hint="eastAsia" w:ascii="Times New Roman" w:hAnsi="Times New Roman"/>
                      <w:szCs w:val="21"/>
                    </w:rPr>
                    <w:t>0.0</w:t>
                  </w:r>
                  <w:r>
                    <w:rPr>
                      <w:rFonts w:hint="eastAsia" w:ascii="Times New Roman" w:hAnsi="Times New Roman"/>
                      <w:szCs w:val="21"/>
                      <w:lang w:val="en-US" w:eastAsia="zh-CN"/>
                    </w:rPr>
                    <w:t>13</w:t>
                  </w:r>
                </w:p>
              </w:tc>
            </w:tr>
          </w:tbl>
          <w:p>
            <w:pPr>
              <w:keepNext w:val="0"/>
              <w:keepLines w:val="0"/>
              <w:widowControl w:val="0"/>
              <w:suppressLineNumbers w:val="0"/>
              <w:snapToGrid w:val="0"/>
              <w:spacing w:before="0" w:beforeAutospacing="0" w:after="0" w:afterAutospacing="0" w:line="360" w:lineRule="auto"/>
              <w:ind w:left="0" w:right="0"/>
              <w:jc w:val="both"/>
              <w:rPr>
                <w:b/>
                <w:bCs w:val="0"/>
                <w:lang w:val="en-US"/>
              </w:rPr>
            </w:pPr>
            <w:r>
              <w:rPr>
                <w:rFonts w:hint="eastAsia" w:ascii="宋体" w:hAnsi="宋体" w:eastAsia="宋体" w:cs="宋体"/>
                <w:b/>
                <w:bCs w:val="0"/>
                <w:kern w:val="2"/>
                <w:sz w:val="21"/>
                <w:szCs w:val="21"/>
                <w:lang w:val="en-US" w:eastAsia="zh-CN" w:bidi="ar"/>
              </w:rPr>
              <w:t>注：涂</w:t>
            </w:r>
            <w:r>
              <w:rPr>
                <w:rFonts w:hint="eastAsia" w:ascii="宋体" w:hAnsi="宋体" w:cs="宋体"/>
                <w:b/>
                <w:bCs w:val="0"/>
                <w:kern w:val="2"/>
                <w:sz w:val="21"/>
                <w:szCs w:val="21"/>
                <w:lang w:val="en-US" w:eastAsia="zh-CN" w:bidi="ar"/>
              </w:rPr>
              <w:t>敷</w:t>
            </w:r>
            <w:r>
              <w:rPr>
                <w:rFonts w:hint="eastAsia" w:ascii="宋体" w:hAnsi="宋体" w:eastAsia="宋体" w:cs="宋体"/>
                <w:b/>
                <w:bCs w:val="0"/>
                <w:kern w:val="2"/>
                <w:sz w:val="21"/>
                <w:szCs w:val="21"/>
                <w:lang w:val="en-US" w:eastAsia="zh-CN" w:bidi="ar"/>
              </w:rPr>
              <w:t>、固化和注塑成型运行时间约为</w:t>
            </w:r>
            <w:r>
              <w:rPr>
                <w:rFonts w:hint="default" w:ascii="Times New Roman" w:hAnsi="Times New Roman" w:eastAsia="宋体" w:cs="Times New Roman"/>
                <w:b/>
                <w:bCs w:val="0"/>
                <w:kern w:val="2"/>
                <w:sz w:val="21"/>
                <w:szCs w:val="21"/>
                <w:lang w:val="en-US" w:eastAsia="zh-CN" w:bidi="ar"/>
              </w:rPr>
              <w:t>3000h/a</w:t>
            </w:r>
            <w:r>
              <w:rPr>
                <w:rFonts w:hint="eastAsia" w:ascii="宋体" w:hAnsi="宋体" w:eastAsia="宋体" w:cs="宋体"/>
                <w:b/>
                <w:bCs w:val="0"/>
                <w:kern w:val="2"/>
                <w:sz w:val="21"/>
                <w:szCs w:val="21"/>
                <w:lang w:val="en-US" w:eastAsia="zh-CN" w:bidi="ar"/>
              </w:rPr>
              <w:t>，食堂运行时间约为</w:t>
            </w:r>
            <w:r>
              <w:rPr>
                <w:rFonts w:hint="default" w:ascii="Times New Roman" w:hAnsi="Times New Roman" w:eastAsia="宋体" w:cs="Times New Roman"/>
                <w:b/>
                <w:bCs w:val="0"/>
                <w:kern w:val="2"/>
                <w:sz w:val="21"/>
                <w:szCs w:val="21"/>
                <w:lang w:val="en-US" w:eastAsia="zh-CN" w:bidi="ar"/>
              </w:rPr>
              <w:t>1</w:t>
            </w:r>
            <w:r>
              <w:rPr>
                <w:rFonts w:hint="eastAsia" w:cs="Times New Roman"/>
                <w:b/>
                <w:bCs w:val="0"/>
                <w:kern w:val="2"/>
                <w:sz w:val="21"/>
                <w:szCs w:val="21"/>
                <w:lang w:val="en-US" w:eastAsia="zh-CN" w:bidi="ar"/>
              </w:rPr>
              <w:t>8</w:t>
            </w:r>
            <w:r>
              <w:rPr>
                <w:rFonts w:hint="default" w:ascii="Times New Roman" w:hAnsi="Times New Roman" w:eastAsia="宋体" w:cs="Times New Roman"/>
                <w:b/>
                <w:bCs w:val="0"/>
                <w:kern w:val="2"/>
                <w:sz w:val="21"/>
                <w:szCs w:val="21"/>
                <w:lang w:val="en-US" w:eastAsia="zh-CN" w:bidi="ar"/>
              </w:rPr>
              <w:t>00h/a</w:t>
            </w:r>
            <w:r>
              <w:rPr>
                <w:rFonts w:hint="eastAsia" w:ascii="宋体" w:hAnsi="宋体" w:eastAsia="宋体" w:cs="宋体"/>
                <w:b/>
                <w:bCs w:val="0"/>
                <w:kern w:val="2"/>
                <w:sz w:val="21"/>
                <w:szCs w:val="21"/>
                <w:lang w:val="en-US" w:eastAsia="zh-CN" w:bidi="ar"/>
              </w:rPr>
              <w:t>。</w:t>
            </w:r>
          </w:p>
          <w:p>
            <w:pPr>
              <w:keepNext w:val="0"/>
              <w:keepLines w:val="0"/>
              <w:suppressLineNumbers w:val="0"/>
              <w:snapToGrid w:val="0"/>
              <w:spacing w:before="0" w:beforeAutospacing="0" w:after="0" w:afterAutospacing="0" w:line="360" w:lineRule="auto"/>
              <w:ind w:left="0" w:right="0" w:firstLine="480" w:firstLineChars="200"/>
              <w:rPr>
                <w:rFonts w:ascii="宋体" w:hAnsi="宋体"/>
                <w:kern w:val="0"/>
                <w:sz w:val="24"/>
              </w:rPr>
            </w:pPr>
            <w:r>
              <w:rPr>
                <w:rFonts w:hint="eastAsia" w:ascii="宋体" w:hAnsi="宋体"/>
                <w:kern w:val="0"/>
                <w:sz w:val="24"/>
              </w:rPr>
              <w:t>本项目废气无组织排放情况见下表：</w:t>
            </w:r>
          </w:p>
          <w:p>
            <w:pPr>
              <w:keepNext w:val="0"/>
              <w:keepLines w:val="0"/>
              <w:suppressLineNumbers w:val="0"/>
              <w:spacing w:before="0" w:beforeAutospacing="0" w:after="0" w:afterAutospacing="0"/>
              <w:ind w:left="0" w:right="0"/>
              <w:jc w:val="center"/>
              <w:rPr>
                <w:rFonts w:ascii="宋体" w:hAnsi="宋体"/>
                <w:b/>
                <w:bCs/>
                <w:sz w:val="24"/>
              </w:rPr>
            </w:pPr>
            <w:r>
              <w:rPr>
                <w:b/>
                <w:bCs/>
                <w:sz w:val="24"/>
              </w:rPr>
              <w:t>表4-</w:t>
            </w:r>
            <w:r>
              <w:rPr>
                <w:rFonts w:hint="eastAsia"/>
                <w:b/>
                <w:bCs/>
                <w:sz w:val="24"/>
              </w:rPr>
              <w:t>6</w:t>
            </w:r>
            <w:r>
              <w:rPr>
                <w:b/>
                <w:bCs/>
                <w:sz w:val="24"/>
              </w:rPr>
              <w:t xml:space="preserve"> 本项目无</w:t>
            </w:r>
            <w:r>
              <w:rPr>
                <w:rFonts w:hint="eastAsia" w:ascii="宋体" w:hAnsi="宋体"/>
                <w:b/>
                <w:bCs/>
                <w:sz w:val="24"/>
              </w:rPr>
              <w:t>组织废气污染物排放情况</w:t>
            </w:r>
          </w:p>
          <w:tbl>
            <w:tblPr>
              <w:tblStyle w:val="2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29"/>
              <w:gridCol w:w="939"/>
              <w:gridCol w:w="821"/>
              <w:gridCol w:w="1264"/>
              <w:gridCol w:w="1094"/>
              <w:gridCol w:w="1045"/>
              <w:gridCol w:w="1142"/>
              <w:gridCol w:w="96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929" w:type="dxa"/>
                  <w:vAlign w:val="center"/>
                </w:tcPr>
                <w:p>
                  <w:pPr>
                    <w:keepNext w:val="0"/>
                    <w:keepLines w:val="0"/>
                    <w:suppressLineNumbers w:val="0"/>
                    <w:spacing w:before="0" w:beforeAutospacing="0" w:after="0" w:afterAutospacing="0"/>
                    <w:ind w:left="0" w:right="0"/>
                    <w:jc w:val="center"/>
                    <w:rPr>
                      <w:b/>
                      <w:bCs/>
                    </w:rPr>
                  </w:pPr>
                  <w:r>
                    <w:rPr>
                      <w:rFonts w:hint="eastAsia"/>
                      <w:b/>
                    </w:rPr>
                    <w:t>所在车间</w:t>
                  </w:r>
                </w:p>
              </w:tc>
              <w:tc>
                <w:tcPr>
                  <w:tcW w:w="939" w:type="dxa"/>
                  <w:vAlign w:val="center"/>
                </w:tcPr>
                <w:p>
                  <w:pPr>
                    <w:keepNext w:val="0"/>
                    <w:keepLines w:val="0"/>
                    <w:suppressLineNumbers w:val="0"/>
                    <w:spacing w:before="0" w:beforeAutospacing="0" w:after="0" w:afterAutospacing="0"/>
                    <w:ind w:left="0" w:right="0"/>
                    <w:jc w:val="center"/>
                    <w:rPr>
                      <w:b/>
                      <w:bCs/>
                    </w:rPr>
                  </w:pPr>
                  <w:r>
                    <w:rPr>
                      <w:rFonts w:hint="eastAsia"/>
                      <w:b/>
                      <w:bCs/>
                    </w:rPr>
                    <w:t>工段</w:t>
                  </w:r>
                </w:p>
              </w:tc>
              <w:tc>
                <w:tcPr>
                  <w:tcW w:w="821" w:type="dxa"/>
                  <w:vAlign w:val="center"/>
                </w:tcPr>
                <w:p>
                  <w:pPr>
                    <w:keepNext w:val="0"/>
                    <w:keepLines w:val="0"/>
                    <w:suppressLineNumbers w:val="0"/>
                    <w:spacing w:before="0" w:beforeAutospacing="0" w:after="0" w:afterAutospacing="0"/>
                    <w:ind w:left="0" w:right="0"/>
                    <w:jc w:val="center"/>
                    <w:rPr>
                      <w:b/>
                      <w:bCs/>
                    </w:rPr>
                  </w:pPr>
                  <w:r>
                    <w:rPr>
                      <w:rFonts w:hint="eastAsia"/>
                      <w:b/>
                      <w:bCs/>
                    </w:rPr>
                    <w:t>年运行时间/h</w:t>
                  </w:r>
                </w:p>
              </w:tc>
              <w:tc>
                <w:tcPr>
                  <w:tcW w:w="1264" w:type="dxa"/>
                  <w:vAlign w:val="center"/>
                </w:tcPr>
                <w:p>
                  <w:pPr>
                    <w:keepNext w:val="0"/>
                    <w:keepLines w:val="0"/>
                    <w:suppressLineNumbers w:val="0"/>
                    <w:spacing w:before="0" w:beforeAutospacing="0" w:after="0" w:afterAutospacing="0"/>
                    <w:ind w:left="0" w:right="0"/>
                    <w:jc w:val="center"/>
                    <w:rPr>
                      <w:b/>
                      <w:bCs/>
                    </w:rPr>
                  </w:pPr>
                  <w:r>
                    <w:rPr>
                      <w:rFonts w:hint="eastAsia"/>
                      <w:b/>
                      <w:bCs/>
                    </w:rPr>
                    <w:t>污染物名称</w:t>
                  </w:r>
                </w:p>
              </w:tc>
              <w:tc>
                <w:tcPr>
                  <w:tcW w:w="1094" w:type="dxa"/>
                  <w:vAlign w:val="center"/>
                </w:tcPr>
                <w:p>
                  <w:pPr>
                    <w:keepNext w:val="0"/>
                    <w:keepLines w:val="0"/>
                    <w:suppressLineNumbers w:val="0"/>
                    <w:spacing w:before="0" w:beforeAutospacing="0" w:after="0" w:afterAutospacing="0"/>
                    <w:ind w:left="0" w:right="0"/>
                    <w:jc w:val="center"/>
                    <w:rPr>
                      <w:b/>
                      <w:bCs/>
                    </w:rPr>
                  </w:pPr>
                  <w:r>
                    <w:rPr>
                      <w:rFonts w:hint="eastAsia"/>
                      <w:b/>
                      <w:bCs/>
                    </w:rPr>
                    <w:t>污染物产生量（t/a）</w:t>
                  </w:r>
                </w:p>
              </w:tc>
              <w:tc>
                <w:tcPr>
                  <w:tcW w:w="1045" w:type="dxa"/>
                  <w:vAlign w:val="center"/>
                </w:tcPr>
                <w:p>
                  <w:pPr>
                    <w:keepNext w:val="0"/>
                    <w:keepLines w:val="0"/>
                    <w:suppressLineNumbers w:val="0"/>
                    <w:spacing w:before="0" w:beforeAutospacing="0" w:after="0" w:afterAutospacing="0"/>
                    <w:ind w:left="0" w:right="0"/>
                    <w:jc w:val="center"/>
                    <w:rPr>
                      <w:rFonts w:hint="eastAsia" w:eastAsia="宋体"/>
                      <w:b/>
                      <w:bCs/>
                      <w:lang w:eastAsia="zh-CN"/>
                    </w:rPr>
                  </w:pPr>
                  <w:r>
                    <w:rPr>
                      <w:rFonts w:hint="eastAsia"/>
                      <w:b/>
                      <w:bCs/>
                    </w:rPr>
                    <w:t>产生速率</w:t>
                  </w:r>
                  <w:r>
                    <w:rPr>
                      <w:rFonts w:hint="eastAsia"/>
                      <w:b/>
                      <w:bCs/>
                      <w:lang w:eastAsia="zh-CN"/>
                    </w:rPr>
                    <w:t>（</w:t>
                  </w:r>
                  <w:r>
                    <w:rPr>
                      <w:rFonts w:hint="eastAsia"/>
                      <w:b/>
                      <w:bCs/>
                    </w:rPr>
                    <w:t>kg/h</w:t>
                  </w:r>
                  <w:r>
                    <w:rPr>
                      <w:rFonts w:hint="eastAsia"/>
                      <w:b/>
                      <w:bCs/>
                      <w:lang w:eastAsia="zh-CN"/>
                    </w:rPr>
                    <w:t>）</w:t>
                  </w:r>
                </w:p>
              </w:tc>
              <w:tc>
                <w:tcPr>
                  <w:tcW w:w="1142" w:type="dxa"/>
                  <w:vAlign w:val="center"/>
                </w:tcPr>
                <w:p>
                  <w:pPr>
                    <w:keepNext w:val="0"/>
                    <w:keepLines w:val="0"/>
                    <w:suppressLineNumbers w:val="0"/>
                    <w:spacing w:before="0" w:beforeAutospacing="0" w:after="0" w:afterAutospacing="0"/>
                    <w:ind w:left="0" w:right="0"/>
                    <w:jc w:val="center"/>
                    <w:rPr>
                      <w:b/>
                      <w:bCs/>
                    </w:rPr>
                  </w:pPr>
                  <w:r>
                    <w:rPr>
                      <w:rFonts w:hint="eastAsia"/>
                      <w:b/>
                      <w:bCs/>
                    </w:rPr>
                    <w:t>面源面积（m</w:t>
                  </w:r>
                  <w:r>
                    <w:rPr>
                      <w:rFonts w:hint="eastAsia"/>
                      <w:b/>
                      <w:bCs/>
                      <w:vertAlign w:val="superscript"/>
                    </w:rPr>
                    <w:t>2</w:t>
                  </w:r>
                  <w:r>
                    <w:rPr>
                      <w:rFonts w:hint="eastAsia"/>
                      <w:b/>
                      <w:bCs/>
                    </w:rPr>
                    <w:t>）</w:t>
                  </w:r>
                </w:p>
              </w:tc>
              <w:tc>
                <w:tcPr>
                  <w:tcW w:w="963" w:type="dxa"/>
                  <w:vAlign w:val="center"/>
                </w:tcPr>
                <w:p>
                  <w:pPr>
                    <w:keepNext w:val="0"/>
                    <w:keepLines w:val="0"/>
                    <w:suppressLineNumbers w:val="0"/>
                    <w:spacing w:before="0" w:beforeAutospacing="0" w:after="0" w:afterAutospacing="0"/>
                    <w:ind w:left="0" w:right="0"/>
                    <w:jc w:val="center"/>
                    <w:rPr>
                      <w:rFonts w:hint="eastAsia" w:eastAsia="宋体"/>
                      <w:b/>
                      <w:bCs/>
                      <w:lang w:eastAsia="zh-CN"/>
                    </w:rPr>
                  </w:pPr>
                  <w:r>
                    <w:rPr>
                      <w:rFonts w:hint="eastAsia"/>
                      <w:b/>
                      <w:bCs/>
                    </w:rPr>
                    <w:t>面源高度</w:t>
                  </w:r>
                  <w:r>
                    <w:rPr>
                      <w:rFonts w:hint="eastAsia"/>
                      <w:b/>
                      <w:bCs/>
                      <w:lang w:eastAsia="zh-CN"/>
                    </w:rPr>
                    <w:t>（</w:t>
                  </w:r>
                  <w:r>
                    <w:rPr>
                      <w:rFonts w:hint="eastAsia"/>
                      <w:b/>
                      <w:bCs/>
                    </w:rPr>
                    <w:t>m</w:t>
                  </w:r>
                  <w:r>
                    <w:rPr>
                      <w:rFonts w:hint="eastAsia"/>
                      <w:b/>
                      <w:bCs/>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929" w:type="dxa"/>
                  <w:vMerge w:val="restart"/>
                  <w:vAlign w:val="center"/>
                </w:tcPr>
                <w:p>
                  <w:pPr>
                    <w:keepNext w:val="0"/>
                    <w:keepLines w:val="0"/>
                    <w:suppressLineNumbers w:val="0"/>
                    <w:spacing w:before="0" w:beforeAutospacing="0" w:after="0" w:afterAutospacing="0"/>
                    <w:ind w:left="0" w:right="0"/>
                    <w:jc w:val="center"/>
                  </w:pPr>
                  <w:r>
                    <w:rPr>
                      <w:rFonts w:hint="eastAsia"/>
                    </w:rPr>
                    <w:t>涂</w:t>
                  </w:r>
                  <w:r>
                    <w:rPr>
                      <w:rFonts w:hint="eastAsia"/>
                      <w:lang w:eastAsia="zh-CN"/>
                    </w:rPr>
                    <w:t>敷</w:t>
                  </w:r>
                  <w:r>
                    <w:rPr>
                      <w:rFonts w:hint="eastAsia"/>
                    </w:rPr>
                    <w:t>注塑车间</w:t>
                  </w:r>
                </w:p>
              </w:tc>
              <w:tc>
                <w:tcPr>
                  <w:tcW w:w="939" w:type="dxa"/>
                  <w:vAlign w:val="center"/>
                </w:tcPr>
                <w:p>
                  <w:pPr>
                    <w:keepNext w:val="0"/>
                    <w:keepLines w:val="0"/>
                    <w:suppressLineNumbers w:val="0"/>
                    <w:spacing w:before="0" w:beforeAutospacing="0" w:after="0" w:afterAutospacing="0"/>
                    <w:ind w:left="0" w:right="0"/>
                    <w:jc w:val="center"/>
                  </w:pPr>
                  <w:r>
                    <w:rPr>
                      <w:rFonts w:hint="eastAsia"/>
                      <w:szCs w:val="21"/>
                    </w:rPr>
                    <w:t>涂敷</w:t>
                  </w:r>
                </w:p>
              </w:tc>
              <w:tc>
                <w:tcPr>
                  <w:tcW w:w="821" w:type="dxa"/>
                  <w:vMerge w:val="restart"/>
                  <w:vAlign w:val="center"/>
                </w:tcPr>
                <w:p>
                  <w:pPr>
                    <w:keepNext w:val="0"/>
                    <w:keepLines w:val="0"/>
                    <w:suppressLineNumbers w:val="0"/>
                    <w:spacing w:before="0" w:beforeAutospacing="0" w:after="0" w:afterAutospacing="0"/>
                    <w:ind w:left="0" w:right="0"/>
                    <w:jc w:val="center"/>
                  </w:pPr>
                  <w:r>
                    <w:rPr>
                      <w:rFonts w:hint="eastAsia"/>
                    </w:rPr>
                    <w:t>3</w:t>
                  </w:r>
                  <w:r>
                    <w:rPr>
                      <w:rFonts w:hint="eastAsia"/>
                      <w:lang w:val="en-US" w:eastAsia="zh-CN"/>
                    </w:rPr>
                    <w:t>0</w:t>
                  </w:r>
                  <w:r>
                    <w:rPr>
                      <w:rFonts w:hint="eastAsia"/>
                    </w:rPr>
                    <w:t>00</w:t>
                  </w:r>
                </w:p>
              </w:tc>
              <w:tc>
                <w:tcPr>
                  <w:tcW w:w="1264" w:type="dxa"/>
                  <w:vAlign w:val="center"/>
                </w:tcPr>
                <w:p>
                  <w:pPr>
                    <w:keepNext w:val="0"/>
                    <w:keepLines w:val="0"/>
                    <w:suppressLineNumbers w:val="0"/>
                    <w:spacing w:before="0" w:beforeAutospacing="0" w:after="0" w:afterAutospacing="0"/>
                    <w:ind w:left="0" w:right="0"/>
                    <w:jc w:val="center"/>
                  </w:pPr>
                  <w:r>
                    <w:rPr>
                      <w:rFonts w:hint="eastAsia"/>
                    </w:rPr>
                    <w:t>颗粒物</w:t>
                  </w:r>
                </w:p>
              </w:tc>
              <w:tc>
                <w:tcPr>
                  <w:tcW w:w="1094" w:type="dxa"/>
                  <w:vAlign w:val="center"/>
                </w:tcPr>
                <w:p>
                  <w:pPr>
                    <w:keepNext w:val="0"/>
                    <w:keepLines w:val="0"/>
                    <w:widowControl w:val="0"/>
                    <w:suppressLineNumbers w:val="0"/>
                    <w:adjustRightInd w:val="0"/>
                    <w:snapToGrid w:val="0"/>
                    <w:spacing w:before="0" w:beforeAutospacing="0" w:after="0" w:afterAutospacing="0"/>
                    <w:ind w:left="0" w:leftChars="0" w:right="0" w:rightChars="0"/>
                    <w:jc w:val="center"/>
                    <w:rPr>
                      <w:szCs w:val="21"/>
                    </w:rPr>
                  </w:pPr>
                  <w:r>
                    <w:rPr>
                      <w:rFonts w:hint="default" w:ascii="Times New Roman" w:hAnsi="Times New Roman" w:eastAsia="宋体" w:cs="Times New Roman"/>
                      <w:kern w:val="2"/>
                      <w:sz w:val="21"/>
                      <w:szCs w:val="21"/>
                      <w:lang w:val="en-US" w:eastAsia="zh-CN" w:bidi="ar"/>
                    </w:rPr>
                    <w:t>0.1</w:t>
                  </w:r>
                </w:p>
              </w:tc>
              <w:tc>
                <w:tcPr>
                  <w:tcW w:w="1045" w:type="dxa"/>
                  <w:vAlign w:val="center"/>
                </w:tcPr>
                <w:p>
                  <w:pPr>
                    <w:keepNext w:val="0"/>
                    <w:keepLines w:val="0"/>
                    <w:widowControl w:val="0"/>
                    <w:suppressLineNumbers w:val="0"/>
                    <w:spacing w:before="0" w:beforeAutospacing="0" w:after="0" w:afterAutospacing="0"/>
                    <w:ind w:left="0" w:leftChars="0" w:right="0" w:rightChars="0"/>
                    <w:jc w:val="center"/>
                    <w:rPr>
                      <w:szCs w:val="21"/>
                    </w:rPr>
                  </w:pPr>
                  <w:r>
                    <w:rPr>
                      <w:rFonts w:hint="default" w:ascii="Times New Roman" w:hAnsi="Times New Roman" w:eastAsia="宋体" w:cs="Times New Roman"/>
                      <w:kern w:val="2"/>
                      <w:sz w:val="21"/>
                      <w:szCs w:val="21"/>
                      <w:lang w:val="en-US" w:eastAsia="zh-CN" w:bidi="ar"/>
                    </w:rPr>
                    <w:t>0.033</w:t>
                  </w:r>
                </w:p>
              </w:tc>
              <w:tc>
                <w:tcPr>
                  <w:tcW w:w="1142" w:type="dxa"/>
                  <w:vMerge w:val="restart"/>
                  <w:vAlign w:val="center"/>
                </w:tcPr>
                <w:p>
                  <w:pPr>
                    <w:keepNext w:val="0"/>
                    <w:keepLines w:val="0"/>
                    <w:suppressLineNumbers w:val="0"/>
                    <w:spacing w:before="0" w:beforeAutospacing="0" w:after="0" w:afterAutospacing="0"/>
                    <w:ind w:left="0" w:right="0"/>
                    <w:jc w:val="center"/>
                  </w:pPr>
                  <w:r>
                    <w:rPr>
                      <w:rFonts w:hint="eastAsia"/>
                      <w:lang w:val="en-US" w:eastAsia="zh-CN"/>
                    </w:rPr>
                    <w:t>9</w:t>
                  </w:r>
                  <w:r>
                    <w:rPr>
                      <w:rFonts w:hint="eastAsia"/>
                    </w:rPr>
                    <w:t>00</w:t>
                  </w:r>
                </w:p>
              </w:tc>
              <w:tc>
                <w:tcPr>
                  <w:tcW w:w="963" w:type="dxa"/>
                  <w:vMerge w:val="restart"/>
                  <w:vAlign w:val="center"/>
                </w:tcPr>
                <w:p>
                  <w:pPr>
                    <w:keepNext w:val="0"/>
                    <w:keepLines w:val="0"/>
                    <w:suppressLineNumbers w:val="0"/>
                    <w:spacing w:before="0" w:beforeAutospacing="0" w:after="0" w:afterAutospacing="0"/>
                    <w:ind w:left="0" w:right="0"/>
                    <w:jc w:val="center"/>
                  </w:pPr>
                  <w:r>
                    <w:rPr>
                      <w:rFonts w:hint="eastAsia"/>
                    </w:rPr>
                    <w:t>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929" w:type="dxa"/>
                  <w:vMerge w:val="continue"/>
                  <w:vAlign w:val="center"/>
                </w:tcPr>
                <w:p>
                  <w:pPr>
                    <w:keepNext w:val="0"/>
                    <w:keepLines w:val="0"/>
                    <w:suppressLineNumbers w:val="0"/>
                    <w:spacing w:before="0" w:beforeAutospacing="0" w:after="0" w:afterAutospacing="0"/>
                    <w:ind w:left="0" w:right="0"/>
                    <w:jc w:val="center"/>
                  </w:pPr>
                </w:p>
              </w:tc>
              <w:tc>
                <w:tcPr>
                  <w:tcW w:w="939" w:type="dxa"/>
                  <w:vAlign w:val="center"/>
                </w:tcPr>
                <w:p>
                  <w:pPr>
                    <w:keepNext w:val="0"/>
                    <w:keepLines w:val="0"/>
                    <w:suppressLineNumbers w:val="0"/>
                    <w:spacing w:before="0" w:beforeAutospacing="0" w:after="0" w:afterAutospacing="0"/>
                    <w:ind w:left="0" w:right="0"/>
                    <w:jc w:val="center"/>
                  </w:pPr>
                  <w:r>
                    <w:rPr>
                      <w:rFonts w:hint="eastAsia"/>
                      <w:szCs w:val="21"/>
                    </w:rPr>
                    <w:t>固化</w:t>
                  </w:r>
                </w:p>
              </w:tc>
              <w:tc>
                <w:tcPr>
                  <w:tcW w:w="821" w:type="dxa"/>
                  <w:vMerge w:val="continue"/>
                  <w:vAlign w:val="center"/>
                </w:tcPr>
                <w:p>
                  <w:pPr>
                    <w:keepNext w:val="0"/>
                    <w:keepLines w:val="0"/>
                    <w:suppressLineNumbers w:val="0"/>
                    <w:spacing w:before="0" w:beforeAutospacing="0" w:after="0" w:afterAutospacing="0"/>
                    <w:ind w:left="0" w:right="0"/>
                    <w:jc w:val="center"/>
                  </w:pPr>
                </w:p>
              </w:tc>
              <w:tc>
                <w:tcPr>
                  <w:tcW w:w="1264" w:type="dxa"/>
                  <w:vAlign w:val="center"/>
                </w:tcPr>
                <w:p>
                  <w:pPr>
                    <w:keepNext w:val="0"/>
                    <w:keepLines w:val="0"/>
                    <w:suppressLineNumbers w:val="0"/>
                    <w:spacing w:before="0" w:beforeAutospacing="0" w:after="0" w:afterAutospacing="0"/>
                    <w:ind w:left="0" w:right="0"/>
                    <w:jc w:val="center"/>
                  </w:pPr>
                  <w:r>
                    <w:rPr>
                      <w:rFonts w:hint="eastAsia"/>
                    </w:rPr>
                    <w:t>非甲烷总烃</w:t>
                  </w:r>
                </w:p>
              </w:tc>
              <w:tc>
                <w:tcPr>
                  <w:tcW w:w="1094" w:type="dxa"/>
                  <w:vAlign w:val="center"/>
                </w:tcPr>
                <w:p>
                  <w:pPr>
                    <w:keepNext w:val="0"/>
                    <w:keepLines w:val="0"/>
                    <w:suppressLineNumbers w:val="0"/>
                    <w:adjustRightInd w:val="0"/>
                    <w:snapToGrid w:val="0"/>
                    <w:spacing w:before="0" w:beforeAutospacing="0" w:after="0" w:afterAutospacing="0"/>
                    <w:ind w:left="0" w:leftChars="0" w:right="0" w:rightChars="0"/>
                    <w:jc w:val="center"/>
                    <w:rPr>
                      <w:szCs w:val="21"/>
                    </w:rPr>
                  </w:pPr>
                  <w:r>
                    <w:rPr>
                      <w:rFonts w:hint="eastAsia"/>
                      <w:szCs w:val="21"/>
                    </w:rPr>
                    <w:t>0.0</w:t>
                  </w:r>
                  <w:r>
                    <w:rPr>
                      <w:rFonts w:hint="eastAsia"/>
                      <w:szCs w:val="21"/>
                      <w:lang w:val="en-US" w:eastAsia="zh-CN"/>
                    </w:rPr>
                    <w:t>6</w:t>
                  </w:r>
                </w:p>
              </w:tc>
              <w:tc>
                <w:tcPr>
                  <w:tcW w:w="1045" w:type="dxa"/>
                  <w:vAlign w:val="center"/>
                </w:tcPr>
                <w:p>
                  <w:pPr>
                    <w:keepNext w:val="0"/>
                    <w:keepLines w:val="0"/>
                    <w:suppressLineNumbers w:val="0"/>
                    <w:spacing w:before="0" w:beforeAutospacing="0" w:after="0" w:afterAutospacing="0"/>
                    <w:ind w:left="0" w:leftChars="0" w:right="0" w:rightChars="0"/>
                    <w:jc w:val="center"/>
                    <w:rPr>
                      <w:szCs w:val="21"/>
                    </w:rPr>
                  </w:pPr>
                  <w:r>
                    <w:rPr>
                      <w:rFonts w:hint="eastAsia"/>
                      <w:szCs w:val="21"/>
                    </w:rPr>
                    <w:t>0.0</w:t>
                  </w:r>
                  <w:r>
                    <w:rPr>
                      <w:rFonts w:hint="eastAsia"/>
                      <w:szCs w:val="21"/>
                      <w:lang w:val="en-US" w:eastAsia="zh-CN"/>
                    </w:rPr>
                    <w:t>2</w:t>
                  </w:r>
                </w:p>
              </w:tc>
              <w:tc>
                <w:tcPr>
                  <w:tcW w:w="1142" w:type="dxa"/>
                  <w:vMerge w:val="continue"/>
                  <w:vAlign w:val="center"/>
                </w:tcPr>
                <w:p>
                  <w:pPr>
                    <w:keepNext w:val="0"/>
                    <w:keepLines w:val="0"/>
                    <w:suppressLineNumbers w:val="0"/>
                    <w:spacing w:before="0" w:beforeAutospacing="0" w:after="0" w:afterAutospacing="0"/>
                    <w:ind w:left="0" w:right="0"/>
                    <w:jc w:val="center"/>
                  </w:pPr>
                </w:p>
              </w:tc>
              <w:tc>
                <w:tcPr>
                  <w:tcW w:w="963" w:type="dxa"/>
                  <w:vMerge w:val="continue"/>
                  <w:vAlign w:val="center"/>
                </w:tcPr>
                <w:p>
                  <w:pPr>
                    <w:keepNext w:val="0"/>
                    <w:keepLines w:val="0"/>
                    <w:suppressLineNumbers w:val="0"/>
                    <w:spacing w:before="0" w:beforeAutospacing="0" w:after="0" w:afterAutospacing="0"/>
                    <w:ind w:left="0" w:right="0"/>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929" w:type="dxa"/>
                  <w:vMerge w:val="continue"/>
                  <w:vAlign w:val="center"/>
                </w:tcPr>
                <w:p>
                  <w:pPr>
                    <w:keepNext w:val="0"/>
                    <w:keepLines w:val="0"/>
                    <w:suppressLineNumbers w:val="0"/>
                    <w:spacing w:before="0" w:beforeAutospacing="0" w:after="0" w:afterAutospacing="0"/>
                    <w:ind w:left="0" w:right="0"/>
                    <w:jc w:val="center"/>
                  </w:pPr>
                </w:p>
              </w:tc>
              <w:tc>
                <w:tcPr>
                  <w:tcW w:w="939" w:type="dxa"/>
                  <w:vAlign w:val="center"/>
                </w:tcPr>
                <w:p>
                  <w:pPr>
                    <w:keepNext w:val="0"/>
                    <w:keepLines w:val="0"/>
                    <w:suppressLineNumbers w:val="0"/>
                    <w:spacing w:before="0" w:beforeAutospacing="0" w:after="0" w:afterAutospacing="0"/>
                    <w:ind w:left="0" w:right="0"/>
                    <w:jc w:val="center"/>
                  </w:pPr>
                  <w:r>
                    <w:rPr>
                      <w:rFonts w:hint="eastAsia"/>
                      <w:szCs w:val="21"/>
                    </w:rPr>
                    <w:t>注塑成型</w:t>
                  </w:r>
                </w:p>
              </w:tc>
              <w:tc>
                <w:tcPr>
                  <w:tcW w:w="821" w:type="dxa"/>
                  <w:vMerge w:val="continue"/>
                  <w:vAlign w:val="center"/>
                </w:tcPr>
                <w:p>
                  <w:pPr>
                    <w:keepNext w:val="0"/>
                    <w:keepLines w:val="0"/>
                    <w:suppressLineNumbers w:val="0"/>
                    <w:spacing w:before="0" w:beforeAutospacing="0" w:after="0" w:afterAutospacing="0"/>
                    <w:ind w:left="0" w:right="0"/>
                    <w:jc w:val="center"/>
                  </w:pPr>
                </w:p>
              </w:tc>
              <w:tc>
                <w:tcPr>
                  <w:tcW w:w="1264" w:type="dxa"/>
                  <w:vAlign w:val="center"/>
                </w:tcPr>
                <w:p>
                  <w:pPr>
                    <w:keepNext w:val="0"/>
                    <w:keepLines w:val="0"/>
                    <w:suppressLineNumbers w:val="0"/>
                    <w:spacing w:before="0" w:beforeAutospacing="0" w:after="0" w:afterAutospacing="0"/>
                    <w:ind w:left="0" w:right="0"/>
                    <w:jc w:val="center"/>
                  </w:pPr>
                  <w:r>
                    <w:rPr>
                      <w:rFonts w:hint="eastAsia"/>
                    </w:rPr>
                    <w:t>非甲烷总烃</w:t>
                  </w:r>
                </w:p>
              </w:tc>
              <w:tc>
                <w:tcPr>
                  <w:tcW w:w="1094" w:type="dxa"/>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szCs w:val="21"/>
                      <w:lang w:val="en-US"/>
                    </w:rPr>
                  </w:pPr>
                  <w:r>
                    <w:rPr>
                      <w:rFonts w:hint="eastAsia"/>
                      <w:szCs w:val="21"/>
                    </w:rPr>
                    <w:t>0.00</w:t>
                  </w:r>
                  <w:r>
                    <w:rPr>
                      <w:rFonts w:hint="eastAsia"/>
                      <w:szCs w:val="21"/>
                      <w:lang w:val="en-US" w:eastAsia="zh-CN"/>
                    </w:rPr>
                    <w:t>18</w:t>
                  </w:r>
                </w:p>
              </w:tc>
              <w:tc>
                <w:tcPr>
                  <w:tcW w:w="1045" w:type="dxa"/>
                  <w:vAlign w:val="center"/>
                </w:tcPr>
                <w:p>
                  <w:pPr>
                    <w:keepNext w:val="0"/>
                    <w:keepLines w:val="0"/>
                    <w:suppressLineNumbers w:val="0"/>
                    <w:spacing w:before="0" w:beforeAutospacing="0" w:after="0" w:afterAutospacing="0"/>
                    <w:ind w:left="0" w:leftChars="0" w:right="0" w:rightChars="0"/>
                    <w:jc w:val="center"/>
                    <w:rPr>
                      <w:szCs w:val="21"/>
                    </w:rPr>
                  </w:pPr>
                  <w:r>
                    <w:rPr>
                      <w:rFonts w:hint="eastAsia"/>
                      <w:szCs w:val="21"/>
                    </w:rPr>
                    <w:t>0.000</w:t>
                  </w:r>
                  <w:r>
                    <w:rPr>
                      <w:rFonts w:hint="eastAsia"/>
                      <w:szCs w:val="21"/>
                      <w:lang w:val="en-US" w:eastAsia="zh-CN"/>
                    </w:rPr>
                    <w:t>6</w:t>
                  </w:r>
                </w:p>
              </w:tc>
              <w:tc>
                <w:tcPr>
                  <w:tcW w:w="1142" w:type="dxa"/>
                  <w:vMerge w:val="continue"/>
                  <w:vAlign w:val="center"/>
                </w:tcPr>
                <w:p>
                  <w:pPr>
                    <w:keepNext w:val="0"/>
                    <w:keepLines w:val="0"/>
                    <w:suppressLineNumbers w:val="0"/>
                    <w:spacing w:before="0" w:beforeAutospacing="0" w:after="0" w:afterAutospacing="0"/>
                    <w:ind w:left="0" w:right="0"/>
                    <w:jc w:val="center"/>
                  </w:pPr>
                </w:p>
              </w:tc>
              <w:tc>
                <w:tcPr>
                  <w:tcW w:w="963" w:type="dxa"/>
                  <w:vMerge w:val="continue"/>
                  <w:vAlign w:val="center"/>
                </w:tcPr>
                <w:p>
                  <w:pPr>
                    <w:keepNext w:val="0"/>
                    <w:keepLines w:val="0"/>
                    <w:suppressLineNumbers w:val="0"/>
                    <w:spacing w:before="0" w:beforeAutospacing="0" w:after="0" w:afterAutospacing="0"/>
                    <w:ind w:left="0" w:right="0"/>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37" w:hRule="atLeast"/>
                <w:jc w:val="center"/>
              </w:trPr>
              <w:tc>
                <w:tcPr>
                  <w:tcW w:w="929" w:type="dxa"/>
                  <w:vMerge w:val="continue"/>
                  <w:vAlign w:val="center"/>
                </w:tcPr>
                <w:p>
                  <w:pPr>
                    <w:keepNext w:val="0"/>
                    <w:keepLines w:val="0"/>
                    <w:suppressLineNumbers w:val="0"/>
                    <w:spacing w:before="0" w:beforeAutospacing="0" w:after="0" w:afterAutospacing="0"/>
                    <w:ind w:left="0" w:right="0"/>
                    <w:jc w:val="center"/>
                  </w:pPr>
                </w:p>
              </w:tc>
              <w:tc>
                <w:tcPr>
                  <w:tcW w:w="939" w:type="dxa"/>
                  <w:vAlign w:val="center"/>
                </w:tcPr>
                <w:p>
                  <w:pPr>
                    <w:keepNext w:val="0"/>
                    <w:keepLines w:val="0"/>
                    <w:suppressLineNumbers w:val="0"/>
                    <w:spacing w:before="0" w:beforeAutospacing="0" w:after="0" w:afterAutospacing="0"/>
                    <w:ind w:left="0" w:right="0"/>
                    <w:jc w:val="center"/>
                    <w:rPr>
                      <w:szCs w:val="21"/>
                    </w:rPr>
                  </w:pPr>
                  <w:r>
                    <w:rPr>
                      <w:rFonts w:hint="eastAsia"/>
                      <w:szCs w:val="21"/>
                    </w:rPr>
                    <w:t>焊接</w:t>
                  </w:r>
                </w:p>
              </w:tc>
              <w:tc>
                <w:tcPr>
                  <w:tcW w:w="821" w:type="dxa"/>
                  <w:vMerge w:val="continue"/>
                  <w:vAlign w:val="center"/>
                </w:tcPr>
                <w:p>
                  <w:pPr>
                    <w:keepNext w:val="0"/>
                    <w:keepLines w:val="0"/>
                    <w:suppressLineNumbers w:val="0"/>
                    <w:spacing w:before="0" w:beforeAutospacing="0" w:after="0" w:afterAutospacing="0"/>
                    <w:ind w:left="0" w:right="0"/>
                    <w:jc w:val="center"/>
                  </w:pPr>
                </w:p>
              </w:tc>
              <w:tc>
                <w:tcPr>
                  <w:tcW w:w="1264" w:type="dxa"/>
                  <w:vAlign w:val="center"/>
                </w:tcPr>
                <w:p>
                  <w:pPr>
                    <w:keepNext w:val="0"/>
                    <w:keepLines w:val="0"/>
                    <w:suppressLineNumbers w:val="0"/>
                    <w:spacing w:before="0" w:beforeAutospacing="0" w:after="0" w:afterAutospacing="0"/>
                    <w:ind w:left="0" w:right="0"/>
                    <w:jc w:val="center"/>
                  </w:pPr>
                  <w:r>
                    <w:rPr>
                      <w:rFonts w:hint="eastAsia"/>
                    </w:rPr>
                    <w:t>颗粒物</w:t>
                  </w:r>
                </w:p>
              </w:tc>
              <w:tc>
                <w:tcPr>
                  <w:tcW w:w="1094" w:type="dxa"/>
                  <w:vAlign w:val="center"/>
                </w:tcPr>
                <w:p>
                  <w:pPr>
                    <w:keepNext w:val="0"/>
                    <w:keepLines w:val="0"/>
                    <w:widowControl w:val="0"/>
                    <w:suppressLineNumbers w:val="0"/>
                    <w:adjustRightInd w:val="0"/>
                    <w:snapToGrid w:val="0"/>
                    <w:spacing w:before="0" w:beforeAutospacing="0" w:after="0" w:afterAutospacing="0"/>
                    <w:ind w:left="0" w:leftChars="0" w:right="0" w:rightChars="0"/>
                    <w:jc w:val="center"/>
                    <w:rPr>
                      <w:szCs w:val="21"/>
                    </w:rPr>
                  </w:pPr>
                  <w:r>
                    <w:rPr>
                      <w:rFonts w:hint="default" w:ascii="Times New Roman" w:hAnsi="Times New Roman" w:eastAsia="宋体" w:cs="Times New Roman"/>
                      <w:kern w:val="2"/>
                      <w:sz w:val="21"/>
                      <w:szCs w:val="21"/>
                      <w:lang w:val="en-US" w:eastAsia="zh-CN" w:bidi="ar"/>
                    </w:rPr>
                    <w:t>0.00156</w:t>
                  </w:r>
                </w:p>
              </w:tc>
              <w:tc>
                <w:tcPr>
                  <w:tcW w:w="1045" w:type="dxa"/>
                  <w:vAlign w:val="center"/>
                </w:tcPr>
                <w:p>
                  <w:pPr>
                    <w:keepNext w:val="0"/>
                    <w:keepLines w:val="0"/>
                    <w:widowControl w:val="0"/>
                    <w:suppressLineNumbers w:val="0"/>
                    <w:spacing w:before="0" w:beforeAutospacing="0" w:after="0" w:afterAutospacing="0"/>
                    <w:ind w:left="0" w:leftChars="0" w:right="0" w:rightChars="0"/>
                    <w:jc w:val="center"/>
                    <w:rPr>
                      <w:szCs w:val="21"/>
                    </w:rPr>
                  </w:pPr>
                  <w:r>
                    <w:rPr>
                      <w:rFonts w:hint="default" w:ascii="Times New Roman" w:hAnsi="Times New Roman" w:eastAsia="宋体" w:cs="Times New Roman"/>
                      <w:kern w:val="2"/>
                      <w:sz w:val="21"/>
                      <w:szCs w:val="21"/>
                      <w:lang w:val="en-US" w:eastAsia="zh-CN" w:bidi="ar"/>
                    </w:rPr>
                    <w:t>0.00052</w:t>
                  </w:r>
                </w:p>
              </w:tc>
              <w:tc>
                <w:tcPr>
                  <w:tcW w:w="1142" w:type="dxa"/>
                  <w:vMerge w:val="continue"/>
                  <w:vAlign w:val="center"/>
                </w:tcPr>
                <w:p>
                  <w:pPr>
                    <w:keepNext w:val="0"/>
                    <w:keepLines w:val="0"/>
                    <w:suppressLineNumbers w:val="0"/>
                    <w:spacing w:before="0" w:beforeAutospacing="0" w:after="0" w:afterAutospacing="0"/>
                    <w:ind w:left="0" w:right="0"/>
                    <w:jc w:val="center"/>
                  </w:pPr>
                </w:p>
              </w:tc>
              <w:tc>
                <w:tcPr>
                  <w:tcW w:w="963" w:type="dxa"/>
                  <w:vMerge w:val="continue"/>
                  <w:vAlign w:val="center"/>
                </w:tcPr>
                <w:p>
                  <w:pPr>
                    <w:keepNext w:val="0"/>
                    <w:keepLines w:val="0"/>
                    <w:suppressLineNumbers w:val="0"/>
                    <w:spacing w:before="0" w:beforeAutospacing="0" w:after="0" w:afterAutospacing="0"/>
                    <w:ind w:left="0" w:right="0"/>
                    <w:jc w:val="center"/>
                  </w:pPr>
                </w:p>
              </w:tc>
            </w:tr>
          </w:tbl>
          <w:p>
            <w:pPr>
              <w:keepNext w:val="0"/>
              <w:keepLines w:val="0"/>
              <w:suppressLineNumbers w:val="0"/>
              <w:snapToGrid w:val="0"/>
              <w:spacing w:before="0" w:beforeAutospacing="0" w:after="0" w:afterAutospacing="0" w:line="360" w:lineRule="auto"/>
              <w:ind w:left="0" w:right="0" w:firstLine="420"/>
              <w:rPr>
                <w:rFonts w:ascii="宋体" w:hAnsi="宋体"/>
                <w:b/>
                <w:bCs/>
                <w:kern w:val="0"/>
                <w:sz w:val="24"/>
              </w:rPr>
            </w:pPr>
            <w:r>
              <w:rPr>
                <w:rFonts w:hint="eastAsia"/>
                <w:b/>
                <w:bCs/>
                <w:kern w:val="0"/>
                <w:sz w:val="24"/>
              </w:rPr>
              <w:t>6</w:t>
            </w:r>
            <w:r>
              <w:rPr>
                <w:b/>
                <w:bCs/>
                <w:kern w:val="0"/>
                <w:sz w:val="24"/>
              </w:rPr>
              <w:t>）排放口</w:t>
            </w:r>
            <w:r>
              <w:rPr>
                <w:rFonts w:hint="eastAsia" w:ascii="宋体" w:hAnsi="宋体"/>
                <w:b/>
                <w:bCs/>
                <w:kern w:val="0"/>
                <w:sz w:val="24"/>
              </w:rPr>
              <w:t>基本情况</w:t>
            </w:r>
          </w:p>
          <w:p>
            <w:pPr>
              <w:keepNext w:val="0"/>
              <w:keepLines w:val="0"/>
              <w:suppressLineNumbers w:val="0"/>
              <w:autoSpaceDE w:val="0"/>
              <w:snapToGrid w:val="0"/>
              <w:spacing w:before="0" w:beforeAutospacing="0" w:after="0" w:afterAutospacing="0"/>
              <w:ind w:left="0" w:right="0"/>
              <w:jc w:val="center"/>
              <w:rPr>
                <w:rFonts w:ascii="宋体" w:hAnsi="宋体"/>
                <w:b/>
                <w:sz w:val="24"/>
              </w:rPr>
            </w:pPr>
            <w:r>
              <w:rPr>
                <w:b/>
                <w:sz w:val="24"/>
              </w:rPr>
              <w:t>表4-</w:t>
            </w:r>
            <w:r>
              <w:rPr>
                <w:rFonts w:hint="eastAsia"/>
                <w:b/>
                <w:sz w:val="24"/>
              </w:rPr>
              <w:t>7</w:t>
            </w:r>
            <w:r>
              <w:rPr>
                <w:b/>
                <w:sz w:val="24"/>
              </w:rPr>
              <w:t xml:space="preserve"> 排放口基本</w:t>
            </w:r>
            <w:r>
              <w:rPr>
                <w:rFonts w:hint="eastAsia" w:ascii="宋体" w:hAnsi="宋体"/>
                <w:b/>
                <w:sz w:val="24"/>
              </w:rPr>
              <w:t>情况表</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95"/>
              <w:gridCol w:w="605"/>
              <w:gridCol w:w="725"/>
              <w:gridCol w:w="632"/>
              <w:gridCol w:w="398"/>
              <w:gridCol w:w="743"/>
              <w:gridCol w:w="743"/>
              <w:gridCol w:w="398"/>
              <w:gridCol w:w="398"/>
              <w:gridCol w:w="2070"/>
              <w:gridCol w:w="107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1" w:type="pct"/>
                  <w:vMerge w:val="restart"/>
                  <w:tcBorders>
                    <w:top w:val="single" w:color="auto" w:sz="12"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b/>
                      <w:szCs w:val="21"/>
                    </w:rPr>
                  </w:pPr>
                  <w:r>
                    <w:rPr>
                      <w:b/>
                    </w:rPr>
                    <w:t>序号</w:t>
                  </w:r>
                </w:p>
              </w:tc>
              <w:tc>
                <w:tcPr>
                  <w:tcW w:w="2836" w:type="pct"/>
                  <w:gridSpan w:val="8"/>
                  <w:tcBorders>
                    <w:top w:val="single" w:color="auto" w:sz="12"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b/>
                      <w:szCs w:val="21"/>
                    </w:rPr>
                  </w:pPr>
                  <w:r>
                    <w:rPr>
                      <w:b/>
                    </w:rPr>
                    <w:t>排放口基本情况</w:t>
                  </w:r>
                </w:p>
              </w:tc>
              <w:tc>
                <w:tcPr>
                  <w:tcW w:w="1921" w:type="pct"/>
                  <w:gridSpan w:val="2"/>
                  <w:tcBorders>
                    <w:top w:val="single" w:color="auto" w:sz="12" w:space="0"/>
                    <w:left w:val="single" w:color="auto" w:sz="4" w:space="0"/>
                    <w:bottom w:val="single" w:color="auto" w:sz="4" w:space="0"/>
                    <w:right w:val="nil"/>
                  </w:tcBorders>
                  <w:vAlign w:val="center"/>
                </w:tcPr>
                <w:p>
                  <w:pPr>
                    <w:keepNext w:val="0"/>
                    <w:keepLines w:val="0"/>
                    <w:suppressLineNumbers w:val="0"/>
                    <w:spacing w:before="0" w:beforeAutospacing="0" w:after="0" w:afterAutospacing="0"/>
                    <w:ind w:left="0" w:right="0"/>
                    <w:jc w:val="center"/>
                    <w:rPr>
                      <w:b/>
                      <w:szCs w:val="21"/>
                    </w:rPr>
                  </w:pPr>
                  <w:r>
                    <w:rPr>
                      <w:b/>
                    </w:rPr>
                    <w:t>排放标准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1" w:type="pct"/>
                  <w:vMerge w:val="continue"/>
                  <w:tcBorders>
                    <w:top w:val="single" w:color="auto" w:sz="12"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b/>
                      <w:szCs w:val="21"/>
                    </w:rPr>
                  </w:pPr>
                </w:p>
              </w:tc>
              <w:tc>
                <w:tcPr>
                  <w:tcW w:w="369"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b/>
                      <w:szCs w:val="21"/>
                    </w:rPr>
                  </w:pPr>
                  <w:r>
                    <w:rPr>
                      <w:b/>
                    </w:rPr>
                    <w:t>编号及名称</w:t>
                  </w:r>
                </w:p>
              </w:tc>
              <w:tc>
                <w:tcPr>
                  <w:tcW w:w="443" w:type="pc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b/>
                    </w:rPr>
                  </w:pPr>
                  <w:r>
                    <w:rPr>
                      <w:rFonts w:hint="eastAsia"/>
                      <w:b/>
                    </w:rPr>
                    <w:t>经度</w:t>
                  </w:r>
                </w:p>
              </w:tc>
              <w:tc>
                <w:tcPr>
                  <w:tcW w:w="386" w:type="pc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b/>
                    </w:rPr>
                  </w:pPr>
                  <w:r>
                    <w:rPr>
                      <w:rFonts w:hint="eastAsia"/>
                      <w:b/>
                    </w:rPr>
                    <w:t>纬度</w:t>
                  </w:r>
                </w:p>
              </w:tc>
              <w:tc>
                <w:tcPr>
                  <w:tcW w:w="243" w:type="pc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b/>
                      <w:szCs w:val="21"/>
                    </w:rPr>
                  </w:pPr>
                  <w:r>
                    <w:rPr>
                      <w:b/>
                    </w:rPr>
                    <w:t>类型</w:t>
                  </w:r>
                </w:p>
              </w:tc>
              <w:tc>
                <w:tcPr>
                  <w:tcW w:w="454"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b/>
                      <w:szCs w:val="21"/>
                    </w:rPr>
                  </w:pPr>
                  <w:r>
                    <w:rPr>
                      <w:b/>
                    </w:rPr>
                    <w:t>排气筒高度（m）</w:t>
                  </w:r>
                </w:p>
              </w:tc>
              <w:tc>
                <w:tcPr>
                  <w:tcW w:w="454"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b/>
                      <w:szCs w:val="21"/>
                    </w:rPr>
                  </w:pPr>
                  <w:r>
                    <w:rPr>
                      <w:b/>
                    </w:rPr>
                    <w:t>出口内径（m）</w:t>
                  </w:r>
                </w:p>
              </w:tc>
              <w:tc>
                <w:tcPr>
                  <w:tcW w:w="243"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b/>
                      <w:szCs w:val="21"/>
                    </w:rPr>
                  </w:pPr>
                  <w:r>
                    <w:rPr>
                      <w:b/>
                    </w:rPr>
                    <w:t>排气温度</w:t>
                  </w:r>
                  <w:r>
                    <w:rPr>
                      <w:rFonts w:hint="eastAsia"/>
                      <w:b/>
                    </w:rPr>
                    <w:t>/</w:t>
                  </w:r>
                  <w:r>
                    <w:rPr>
                      <w:rFonts w:hint="eastAsia" w:ascii="宋体" w:hAnsi="宋体" w:cs="宋体"/>
                      <w:b/>
                    </w:rPr>
                    <w:t>℃</w:t>
                  </w:r>
                </w:p>
              </w:tc>
              <w:tc>
                <w:tcPr>
                  <w:tcW w:w="243"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b/>
                      <w:szCs w:val="21"/>
                    </w:rPr>
                  </w:pPr>
                  <w:r>
                    <w:rPr>
                      <w:b/>
                    </w:rPr>
                    <w:t>污染物类</w:t>
                  </w:r>
                </w:p>
              </w:tc>
              <w:tc>
                <w:tcPr>
                  <w:tcW w:w="1264"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b/>
                      <w:szCs w:val="21"/>
                    </w:rPr>
                  </w:pPr>
                  <w:r>
                    <w:rPr>
                      <w:b/>
                    </w:rPr>
                    <w:t>标准名称</w:t>
                  </w:r>
                </w:p>
              </w:tc>
              <w:tc>
                <w:tcPr>
                  <w:tcW w:w="656" w:type="pct"/>
                  <w:tcBorders>
                    <w:top w:val="single" w:color="auto" w:sz="4" w:space="0"/>
                    <w:left w:val="single" w:color="auto" w:sz="4" w:space="0"/>
                    <w:bottom w:val="single" w:color="auto" w:sz="4" w:space="0"/>
                    <w:right w:val="nil"/>
                  </w:tcBorders>
                  <w:vAlign w:val="center"/>
                </w:tcPr>
                <w:p>
                  <w:pPr>
                    <w:keepNext w:val="0"/>
                    <w:keepLines w:val="0"/>
                    <w:suppressLineNumbers w:val="0"/>
                    <w:spacing w:before="0" w:beforeAutospacing="0" w:after="0" w:afterAutospacing="0"/>
                    <w:ind w:left="0" w:right="0"/>
                    <w:jc w:val="center"/>
                    <w:rPr>
                      <w:b/>
                      <w:szCs w:val="21"/>
                    </w:rPr>
                  </w:pPr>
                  <w:r>
                    <w:rPr>
                      <w:b/>
                    </w:rPr>
                    <w:t>浓度限值（mg/Nm</w:t>
                  </w:r>
                  <w:r>
                    <w:rPr>
                      <w:b/>
                      <w:vertAlign w:val="superscript"/>
                    </w:rPr>
                    <w:t>3</w:t>
                  </w:r>
                  <w:r>
                    <w:rPr>
                      <w:b/>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1" w:type="pct"/>
                  <w:vMerge w:val="restart"/>
                  <w:tcBorders>
                    <w:top w:val="single" w:color="auto" w:sz="4" w:space="0"/>
                    <w:left w:val="nil"/>
                    <w:right w:val="single" w:color="auto" w:sz="4" w:space="0"/>
                  </w:tcBorders>
                  <w:vAlign w:val="center"/>
                </w:tcPr>
                <w:p>
                  <w:pPr>
                    <w:keepNext w:val="0"/>
                    <w:keepLines w:val="0"/>
                    <w:suppressLineNumbers w:val="0"/>
                    <w:spacing w:before="0" w:beforeAutospacing="0" w:after="0" w:afterAutospacing="0"/>
                    <w:ind w:left="0" w:right="0"/>
                    <w:jc w:val="center"/>
                    <w:rPr>
                      <w:szCs w:val="21"/>
                    </w:rPr>
                  </w:pPr>
                  <w:r>
                    <w:t>1</w:t>
                  </w:r>
                </w:p>
              </w:tc>
              <w:tc>
                <w:tcPr>
                  <w:tcW w:w="369" w:type="pct"/>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szCs w:val="21"/>
                    </w:rPr>
                  </w:pPr>
                  <w:r>
                    <w:t>FQ-</w:t>
                  </w:r>
                  <w:r>
                    <w:rPr>
                      <w:rFonts w:hint="eastAsia"/>
                    </w:rPr>
                    <w:t>1</w:t>
                  </w:r>
                  <w:r>
                    <w:t>排气筒</w:t>
                  </w:r>
                </w:p>
              </w:tc>
              <w:tc>
                <w:tcPr>
                  <w:tcW w:w="443" w:type="pct"/>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textAlignment w:val="center"/>
                    <w:rPr>
                      <w:szCs w:val="21"/>
                    </w:rPr>
                  </w:pPr>
                  <w:r>
                    <w:rPr>
                      <w:rFonts w:hint="eastAsia"/>
                      <w:kern w:val="0"/>
                      <w:szCs w:val="21"/>
                    </w:rPr>
                    <w:t>120.06°</w:t>
                  </w:r>
                </w:p>
              </w:tc>
              <w:tc>
                <w:tcPr>
                  <w:tcW w:w="386" w:type="pct"/>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textAlignment w:val="center"/>
                    <w:rPr>
                      <w:szCs w:val="21"/>
                    </w:rPr>
                  </w:pPr>
                  <w:r>
                    <w:rPr>
                      <w:rFonts w:hint="eastAsia"/>
                      <w:kern w:val="0"/>
                      <w:szCs w:val="21"/>
                    </w:rPr>
                    <w:t>31.65°</w:t>
                  </w:r>
                </w:p>
              </w:tc>
              <w:tc>
                <w:tcPr>
                  <w:tcW w:w="243" w:type="pct"/>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szCs w:val="21"/>
                    </w:rPr>
                  </w:pPr>
                  <w:r>
                    <w:t>一般排放口</w:t>
                  </w:r>
                </w:p>
              </w:tc>
              <w:tc>
                <w:tcPr>
                  <w:tcW w:w="454" w:type="pct"/>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szCs w:val="21"/>
                    </w:rPr>
                  </w:pPr>
                  <w:r>
                    <w:t>15</w:t>
                  </w:r>
                </w:p>
              </w:tc>
              <w:tc>
                <w:tcPr>
                  <w:tcW w:w="454" w:type="pct"/>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eastAsia="宋体"/>
                      <w:szCs w:val="21"/>
                      <w:lang w:eastAsia="zh-CN"/>
                    </w:rPr>
                  </w:pPr>
                  <w:r>
                    <w:rPr>
                      <w:rFonts w:hint="eastAsia"/>
                    </w:rPr>
                    <w:t>0.</w:t>
                  </w:r>
                  <w:r>
                    <w:rPr>
                      <w:rFonts w:hint="eastAsia"/>
                      <w:lang w:val="en-US" w:eastAsia="zh-CN"/>
                    </w:rPr>
                    <w:t>9</w:t>
                  </w:r>
                </w:p>
              </w:tc>
              <w:tc>
                <w:tcPr>
                  <w:tcW w:w="243" w:type="pct"/>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szCs w:val="21"/>
                    </w:rPr>
                  </w:pPr>
                  <w:r>
                    <w:t>25</w:t>
                  </w:r>
                </w:p>
              </w:tc>
              <w:tc>
                <w:tcPr>
                  <w:tcW w:w="243"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szCs w:val="21"/>
                    </w:rPr>
                  </w:pPr>
                  <w:r>
                    <w:t>非甲烷总烃</w:t>
                  </w:r>
                </w:p>
              </w:tc>
              <w:tc>
                <w:tcPr>
                  <w:tcW w:w="1264" w:type="pct"/>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szCs w:val="21"/>
                    </w:rPr>
                  </w:pPr>
                  <w:r>
                    <w:rPr>
                      <w:rFonts w:hint="eastAsia"/>
                    </w:rPr>
                    <w:t>《大气污染物综合排放标准》（DB32/4041-2021）</w:t>
                  </w:r>
                </w:p>
              </w:tc>
              <w:tc>
                <w:tcPr>
                  <w:tcW w:w="656" w:type="pct"/>
                  <w:tcBorders>
                    <w:top w:val="single" w:color="auto" w:sz="4" w:space="0"/>
                    <w:left w:val="single" w:color="auto" w:sz="4" w:space="0"/>
                    <w:bottom w:val="single" w:color="auto" w:sz="4" w:space="0"/>
                    <w:right w:val="nil"/>
                  </w:tcBorders>
                  <w:vAlign w:val="center"/>
                </w:tcPr>
                <w:p>
                  <w:pPr>
                    <w:keepNext w:val="0"/>
                    <w:keepLines w:val="0"/>
                    <w:suppressLineNumbers w:val="0"/>
                    <w:spacing w:before="0" w:beforeAutospacing="0" w:after="0" w:afterAutospacing="0"/>
                    <w:ind w:left="0" w:right="0"/>
                    <w:jc w:val="center"/>
                    <w:rPr>
                      <w:szCs w:val="21"/>
                    </w:rPr>
                  </w:pPr>
                  <w:r>
                    <w:t>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1" w:type="pct"/>
                  <w:vMerge w:val="continue"/>
                  <w:tcBorders>
                    <w:left w:val="nil"/>
                    <w:right w:val="single" w:color="auto" w:sz="4" w:space="0"/>
                  </w:tcBorders>
                  <w:vAlign w:val="center"/>
                </w:tcPr>
                <w:p>
                  <w:pPr>
                    <w:keepNext w:val="0"/>
                    <w:keepLines w:val="0"/>
                    <w:suppressLineNumbers w:val="0"/>
                    <w:spacing w:before="0" w:beforeAutospacing="0" w:after="0" w:afterAutospacing="0"/>
                    <w:ind w:left="0" w:right="0"/>
                    <w:jc w:val="center"/>
                  </w:pPr>
                </w:p>
              </w:tc>
              <w:tc>
                <w:tcPr>
                  <w:tcW w:w="369" w:type="pct"/>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pPr>
                </w:p>
              </w:tc>
              <w:tc>
                <w:tcPr>
                  <w:tcW w:w="443" w:type="pct"/>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textAlignment w:val="center"/>
                    <w:rPr>
                      <w:kern w:val="0"/>
                      <w:szCs w:val="21"/>
                    </w:rPr>
                  </w:pPr>
                </w:p>
              </w:tc>
              <w:tc>
                <w:tcPr>
                  <w:tcW w:w="386" w:type="pct"/>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textAlignment w:val="center"/>
                    <w:rPr>
                      <w:kern w:val="0"/>
                      <w:szCs w:val="21"/>
                    </w:rPr>
                  </w:pPr>
                </w:p>
              </w:tc>
              <w:tc>
                <w:tcPr>
                  <w:tcW w:w="243" w:type="pct"/>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pPr>
                </w:p>
              </w:tc>
              <w:tc>
                <w:tcPr>
                  <w:tcW w:w="454" w:type="pct"/>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pPr>
                </w:p>
              </w:tc>
              <w:tc>
                <w:tcPr>
                  <w:tcW w:w="454" w:type="pct"/>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pPr>
                </w:p>
              </w:tc>
              <w:tc>
                <w:tcPr>
                  <w:tcW w:w="243" w:type="pct"/>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pPr>
                </w:p>
              </w:tc>
              <w:tc>
                <w:tcPr>
                  <w:tcW w:w="243"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pPr>
                  <w:r>
                    <w:rPr>
                      <w:rFonts w:hint="eastAsia"/>
                    </w:rPr>
                    <w:t>颗粒物</w:t>
                  </w:r>
                </w:p>
              </w:tc>
              <w:tc>
                <w:tcPr>
                  <w:tcW w:w="1264" w:type="pct"/>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pPr>
                </w:p>
              </w:tc>
              <w:tc>
                <w:tcPr>
                  <w:tcW w:w="656" w:type="pct"/>
                  <w:tcBorders>
                    <w:top w:val="single" w:color="auto" w:sz="4" w:space="0"/>
                    <w:left w:val="single" w:color="auto" w:sz="4" w:space="0"/>
                    <w:bottom w:val="single" w:color="auto" w:sz="4" w:space="0"/>
                    <w:right w:val="nil"/>
                  </w:tcBorders>
                  <w:vAlign w:val="center"/>
                </w:tcPr>
                <w:p>
                  <w:pPr>
                    <w:keepNext w:val="0"/>
                    <w:keepLines w:val="0"/>
                    <w:suppressLineNumbers w:val="0"/>
                    <w:spacing w:before="0" w:beforeAutospacing="0" w:after="0" w:afterAutospacing="0"/>
                    <w:ind w:left="0" w:right="0"/>
                    <w:jc w:val="center"/>
                  </w:pPr>
                  <w:r>
                    <w:rPr>
                      <w:rFonts w:hint="eastAsia"/>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1" w:type="pct"/>
                  <w:tcBorders>
                    <w:left w:val="nil"/>
                    <w:bottom w:val="single" w:color="auto" w:sz="12" w:space="0"/>
                    <w:right w:val="single" w:color="auto" w:sz="4" w:space="0"/>
                  </w:tcBorders>
                  <w:vAlign w:val="center"/>
                </w:tcPr>
                <w:p>
                  <w:pPr>
                    <w:keepNext w:val="0"/>
                    <w:keepLines w:val="0"/>
                    <w:suppressLineNumbers w:val="0"/>
                    <w:spacing w:before="0" w:beforeAutospacing="0" w:after="0" w:afterAutospacing="0"/>
                    <w:ind w:left="0" w:right="0"/>
                    <w:jc w:val="center"/>
                  </w:pPr>
                  <w:r>
                    <w:rPr>
                      <w:rFonts w:hint="eastAsia"/>
                    </w:rPr>
                    <w:t>2</w:t>
                  </w:r>
                </w:p>
              </w:tc>
              <w:tc>
                <w:tcPr>
                  <w:tcW w:w="369" w:type="pct"/>
                  <w:tcBorders>
                    <w:left w:val="single" w:color="auto" w:sz="4" w:space="0"/>
                    <w:bottom w:val="single" w:color="auto" w:sz="12" w:space="0"/>
                    <w:right w:val="single" w:color="auto" w:sz="4" w:space="0"/>
                  </w:tcBorders>
                  <w:vAlign w:val="center"/>
                </w:tcPr>
                <w:p>
                  <w:pPr>
                    <w:keepNext w:val="0"/>
                    <w:keepLines w:val="0"/>
                    <w:suppressLineNumbers w:val="0"/>
                    <w:spacing w:before="0" w:beforeAutospacing="0" w:after="0" w:afterAutospacing="0"/>
                    <w:ind w:left="0" w:right="0"/>
                    <w:jc w:val="center"/>
                    <w:rPr>
                      <w:szCs w:val="21"/>
                    </w:rPr>
                  </w:pPr>
                  <w:r>
                    <w:t>FQ-</w:t>
                  </w:r>
                  <w:r>
                    <w:rPr>
                      <w:rFonts w:hint="eastAsia"/>
                    </w:rPr>
                    <w:t>2</w:t>
                  </w:r>
                  <w:r>
                    <w:t>排气筒</w:t>
                  </w:r>
                </w:p>
              </w:tc>
              <w:tc>
                <w:tcPr>
                  <w:tcW w:w="443" w:type="pct"/>
                  <w:tcBorders>
                    <w:left w:val="single" w:color="auto" w:sz="4" w:space="0"/>
                    <w:bottom w:val="single" w:color="auto" w:sz="12" w:space="0"/>
                    <w:right w:val="single" w:color="auto" w:sz="4" w:space="0"/>
                  </w:tcBorders>
                  <w:vAlign w:val="center"/>
                </w:tcPr>
                <w:p>
                  <w:pPr>
                    <w:keepNext w:val="0"/>
                    <w:keepLines w:val="0"/>
                    <w:suppressLineNumbers w:val="0"/>
                    <w:spacing w:before="0" w:beforeAutospacing="0" w:after="0" w:afterAutospacing="0"/>
                    <w:ind w:left="0" w:right="0"/>
                    <w:jc w:val="center"/>
                    <w:textAlignment w:val="center"/>
                    <w:rPr>
                      <w:szCs w:val="21"/>
                    </w:rPr>
                  </w:pPr>
                  <w:r>
                    <w:rPr>
                      <w:rFonts w:hint="eastAsia"/>
                      <w:kern w:val="0"/>
                      <w:szCs w:val="21"/>
                    </w:rPr>
                    <w:t>120.06°</w:t>
                  </w:r>
                </w:p>
              </w:tc>
              <w:tc>
                <w:tcPr>
                  <w:tcW w:w="386" w:type="pct"/>
                  <w:tcBorders>
                    <w:left w:val="single" w:color="auto" w:sz="4" w:space="0"/>
                    <w:bottom w:val="single" w:color="auto" w:sz="12" w:space="0"/>
                    <w:right w:val="single" w:color="auto" w:sz="4" w:space="0"/>
                  </w:tcBorders>
                  <w:vAlign w:val="center"/>
                </w:tcPr>
                <w:p>
                  <w:pPr>
                    <w:keepNext w:val="0"/>
                    <w:keepLines w:val="0"/>
                    <w:suppressLineNumbers w:val="0"/>
                    <w:spacing w:before="0" w:beforeAutospacing="0" w:after="0" w:afterAutospacing="0"/>
                    <w:ind w:left="0" w:right="0"/>
                    <w:jc w:val="center"/>
                    <w:textAlignment w:val="center"/>
                    <w:rPr>
                      <w:szCs w:val="21"/>
                    </w:rPr>
                  </w:pPr>
                  <w:r>
                    <w:rPr>
                      <w:rFonts w:hint="eastAsia"/>
                      <w:kern w:val="0"/>
                      <w:szCs w:val="21"/>
                    </w:rPr>
                    <w:t>31.65°</w:t>
                  </w:r>
                </w:p>
              </w:tc>
              <w:tc>
                <w:tcPr>
                  <w:tcW w:w="243" w:type="pct"/>
                  <w:tcBorders>
                    <w:left w:val="single" w:color="auto" w:sz="4" w:space="0"/>
                    <w:bottom w:val="single" w:color="auto" w:sz="12" w:space="0"/>
                    <w:right w:val="single" w:color="auto" w:sz="4" w:space="0"/>
                  </w:tcBorders>
                  <w:vAlign w:val="center"/>
                </w:tcPr>
                <w:p>
                  <w:pPr>
                    <w:keepNext w:val="0"/>
                    <w:keepLines w:val="0"/>
                    <w:suppressLineNumbers w:val="0"/>
                    <w:spacing w:before="0" w:beforeAutospacing="0" w:after="0" w:afterAutospacing="0"/>
                    <w:ind w:left="0" w:right="0"/>
                    <w:jc w:val="center"/>
                    <w:rPr>
                      <w:szCs w:val="21"/>
                    </w:rPr>
                  </w:pPr>
                  <w:r>
                    <w:t>一般排放口</w:t>
                  </w:r>
                </w:p>
              </w:tc>
              <w:tc>
                <w:tcPr>
                  <w:tcW w:w="454" w:type="pct"/>
                  <w:tcBorders>
                    <w:left w:val="single" w:color="auto" w:sz="4" w:space="0"/>
                    <w:bottom w:val="single" w:color="auto" w:sz="12" w:space="0"/>
                    <w:right w:val="single" w:color="auto" w:sz="4" w:space="0"/>
                  </w:tcBorders>
                  <w:vAlign w:val="center"/>
                </w:tcPr>
                <w:p>
                  <w:pPr>
                    <w:keepNext w:val="0"/>
                    <w:keepLines w:val="0"/>
                    <w:suppressLineNumbers w:val="0"/>
                    <w:spacing w:before="0" w:beforeAutospacing="0" w:after="0" w:afterAutospacing="0"/>
                    <w:ind w:left="0" w:right="0"/>
                    <w:jc w:val="center"/>
                    <w:rPr>
                      <w:szCs w:val="21"/>
                    </w:rPr>
                  </w:pPr>
                  <w:r>
                    <w:rPr>
                      <w:rFonts w:hint="eastAsia"/>
                    </w:rPr>
                    <w:t>8</w:t>
                  </w:r>
                </w:p>
              </w:tc>
              <w:tc>
                <w:tcPr>
                  <w:tcW w:w="454" w:type="pct"/>
                  <w:tcBorders>
                    <w:left w:val="single" w:color="auto" w:sz="4" w:space="0"/>
                    <w:bottom w:val="single" w:color="auto" w:sz="12" w:space="0"/>
                    <w:right w:val="single" w:color="auto" w:sz="4" w:space="0"/>
                  </w:tcBorders>
                  <w:vAlign w:val="center"/>
                </w:tcPr>
                <w:p>
                  <w:pPr>
                    <w:keepNext w:val="0"/>
                    <w:keepLines w:val="0"/>
                    <w:suppressLineNumbers w:val="0"/>
                    <w:spacing w:before="0" w:beforeAutospacing="0" w:after="0" w:afterAutospacing="0"/>
                    <w:ind w:left="0" w:right="0"/>
                    <w:jc w:val="center"/>
                    <w:rPr>
                      <w:szCs w:val="21"/>
                    </w:rPr>
                  </w:pPr>
                  <w:r>
                    <w:rPr>
                      <w:rFonts w:hint="eastAsia"/>
                    </w:rPr>
                    <w:t>0.4</w:t>
                  </w:r>
                </w:p>
              </w:tc>
              <w:tc>
                <w:tcPr>
                  <w:tcW w:w="243" w:type="pct"/>
                  <w:tcBorders>
                    <w:left w:val="single" w:color="auto" w:sz="4" w:space="0"/>
                    <w:bottom w:val="single" w:color="auto" w:sz="12" w:space="0"/>
                    <w:right w:val="single" w:color="auto" w:sz="4" w:space="0"/>
                  </w:tcBorders>
                  <w:vAlign w:val="center"/>
                </w:tcPr>
                <w:p>
                  <w:pPr>
                    <w:keepNext w:val="0"/>
                    <w:keepLines w:val="0"/>
                    <w:suppressLineNumbers w:val="0"/>
                    <w:spacing w:before="0" w:beforeAutospacing="0" w:after="0" w:afterAutospacing="0"/>
                    <w:ind w:left="0" w:right="0"/>
                    <w:jc w:val="center"/>
                    <w:rPr>
                      <w:szCs w:val="21"/>
                    </w:rPr>
                  </w:pPr>
                  <w:r>
                    <w:t>25</w:t>
                  </w:r>
                </w:p>
              </w:tc>
              <w:tc>
                <w:tcPr>
                  <w:tcW w:w="243" w:type="pct"/>
                  <w:tcBorders>
                    <w:top w:val="single" w:color="auto" w:sz="4" w:space="0"/>
                    <w:left w:val="single" w:color="auto" w:sz="4" w:space="0"/>
                    <w:bottom w:val="single" w:color="auto" w:sz="12" w:space="0"/>
                    <w:right w:val="single" w:color="auto" w:sz="4" w:space="0"/>
                  </w:tcBorders>
                  <w:vAlign w:val="center"/>
                </w:tcPr>
                <w:p>
                  <w:pPr>
                    <w:keepNext w:val="0"/>
                    <w:keepLines w:val="0"/>
                    <w:suppressLineNumbers w:val="0"/>
                    <w:spacing w:before="0" w:beforeAutospacing="0" w:after="0" w:afterAutospacing="0"/>
                    <w:ind w:left="0" w:right="0"/>
                    <w:jc w:val="center"/>
                  </w:pPr>
                  <w:r>
                    <w:rPr>
                      <w:rFonts w:hint="eastAsia"/>
                    </w:rPr>
                    <w:t>食堂油烟</w:t>
                  </w:r>
                </w:p>
              </w:tc>
              <w:tc>
                <w:tcPr>
                  <w:tcW w:w="1264" w:type="pct"/>
                  <w:tcBorders>
                    <w:left w:val="single" w:color="auto" w:sz="4" w:space="0"/>
                    <w:bottom w:val="single" w:color="auto" w:sz="12" w:space="0"/>
                    <w:right w:val="single" w:color="auto" w:sz="4" w:space="0"/>
                  </w:tcBorders>
                  <w:vAlign w:val="center"/>
                </w:tcPr>
                <w:p>
                  <w:pPr>
                    <w:keepNext w:val="0"/>
                    <w:keepLines w:val="0"/>
                    <w:suppressLineNumbers w:val="0"/>
                    <w:spacing w:before="0" w:beforeAutospacing="0" w:after="0" w:afterAutospacing="0"/>
                    <w:ind w:left="0" w:right="0"/>
                    <w:jc w:val="center"/>
                  </w:pPr>
                  <w:r>
                    <w:t>《饮食业油烟排放标准（试行）》（GB18483-2001）</w:t>
                  </w:r>
                </w:p>
              </w:tc>
              <w:tc>
                <w:tcPr>
                  <w:tcW w:w="656" w:type="pct"/>
                  <w:tcBorders>
                    <w:top w:val="single" w:color="auto" w:sz="4" w:space="0"/>
                    <w:left w:val="single" w:color="auto" w:sz="4" w:space="0"/>
                    <w:bottom w:val="single" w:color="auto" w:sz="12" w:space="0"/>
                    <w:right w:val="nil"/>
                  </w:tcBorders>
                  <w:vAlign w:val="center"/>
                </w:tcPr>
                <w:p>
                  <w:pPr>
                    <w:keepNext w:val="0"/>
                    <w:keepLines w:val="0"/>
                    <w:suppressLineNumbers w:val="0"/>
                    <w:spacing w:before="0" w:beforeAutospacing="0" w:after="0" w:afterAutospacing="0"/>
                    <w:ind w:left="0" w:right="0"/>
                    <w:jc w:val="center"/>
                  </w:pPr>
                  <w:r>
                    <w:rPr>
                      <w:rFonts w:hint="eastAsia"/>
                    </w:rPr>
                    <w:t>2</w:t>
                  </w:r>
                </w:p>
              </w:tc>
            </w:tr>
          </w:tbl>
          <w:p>
            <w:pPr>
              <w:keepNext w:val="0"/>
              <w:keepLines w:val="0"/>
              <w:suppressLineNumbers w:val="0"/>
              <w:spacing w:before="0" w:beforeAutospacing="0" w:after="0" w:afterAutospacing="0" w:line="360" w:lineRule="auto"/>
              <w:ind w:left="0" w:right="0" w:firstLine="482" w:firstLineChars="200"/>
              <w:rPr>
                <w:b/>
                <w:sz w:val="24"/>
              </w:rPr>
            </w:pPr>
            <w:r>
              <w:rPr>
                <w:rFonts w:hint="eastAsia"/>
                <w:b/>
                <w:sz w:val="24"/>
              </w:rPr>
              <w:t>（3）大气环境</w:t>
            </w:r>
            <w:r>
              <w:rPr>
                <w:b/>
                <w:sz w:val="24"/>
              </w:rPr>
              <w:t>影响分析</w:t>
            </w:r>
          </w:p>
          <w:p>
            <w:pPr>
              <w:keepNext w:val="0"/>
              <w:keepLines w:val="0"/>
              <w:suppressLineNumbers w:val="0"/>
              <w:adjustRightInd w:val="0"/>
              <w:snapToGrid w:val="0"/>
              <w:spacing w:before="0" w:beforeAutospacing="0" w:after="0" w:afterAutospacing="0" w:line="360" w:lineRule="auto"/>
              <w:ind w:left="0" w:right="0" w:firstLine="480" w:firstLineChars="200"/>
              <w:rPr>
                <w:bCs/>
                <w:sz w:val="24"/>
              </w:rPr>
            </w:pPr>
            <w:r>
              <w:rPr>
                <w:rFonts w:hint="eastAsia"/>
                <w:bCs/>
                <w:sz w:val="24"/>
              </w:rPr>
              <w:t>1）</w:t>
            </w:r>
            <w:r>
              <w:rPr>
                <w:rFonts w:ascii="宋体" w:hAnsi="宋体"/>
                <w:bCs/>
                <w:sz w:val="24"/>
              </w:rPr>
              <w:t>大气环境防护距离</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rFonts w:ascii="宋体" w:hAnsi="宋体"/>
                <w:bCs/>
                <w:sz w:val="24"/>
              </w:rPr>
              <w:t>大气环境防护距离是指为</w:t>
            </w:r>
            <w:r>
              <w:rPr>
                <w:rFonts w:ascii="宋体" w:hAnsi="宋体"/>
                <w:sz w:val="24"/>
              </w:rPr>
              <w:t>保护人群健康，减少正常排放条件下大气污染物对居住区的环境影响，在项目厂界以外设置的环境防护距离。计算的距离是以污染源中心点为起点的控制距离，并结合厂区平面布置图，确定控制距离范围，超出厂界以外的范围即为项目大气环境防护距离。</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rFonts w:ascii="宋体" w:hAnsi="宋体"/>
                <w:sz w:val="24"/>
              </w:rPr>
              <w:t>根据分析，本项目未捕集的非甲烷总烃</w:t>
            </w:r>
            <w:r>
              <w:rPr>
                <w:rFonts w:hint="eastAsia" w:ascii="宋体" w:hAnsi="宋体"/>
                <w:sz w:val="24"/>
              </w:rPr>
              <w:t>、颗粒物</w:t>
            </w:r>
            <w:r>
              <w:rPr>
                <w:rFonts w:ascii="宋体" w:hAnsi="宋体"/>
                <w:sz w:val="24"/>
              </w:rPr>
              <w:t>无组织排放，大气环境防护距离计算模式采用环境保护部环境工程评估中心环境质量模拟重点实验室软件，经计算，本项目无组织排放废气计算结果无超标点。本项目不需设定大气环境防护距离。</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rFonts w:hint="eastAsia"/>
                <w:bCs/>
                <w:sz w:val="24"/>
              </w:rPr>
              <w:t>2</w:t>
            </w:r>
            <w:r>
              <w:rPr>
                <w:sz w:val="24"/>
              </w:rPr>
              <w:t>）卫生防护距离</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sz w:val="24"/>
              </w:rPr>
              <w:t>计算公式</w:t>
            </w:r>
          </w:p>
          <w:p>
            <w:pPr>
              <w:keepNext w:val="0"/>
              <w:keepLines w:val="0"/>
              <w:suppressLineNumbers w:val="0"/>
              <w:adjustRightInd w:val="0"/>
              <w:snapToGrid w:val="0"/>
              <w:spacing w:before="0" w:beforeAutospacing="0" w:after="0" w:afterAutospacing="0" w:line="312" w:lineRule="auto"/>
              <w:ind w:left="0" w:right="0" w:firstLine="480" w:firstLineChars="200"/>
              <w:rPr>
                <w:sz w:val="24"/>
              </w:rPr>
            </w:pPr>
            <w:r>
              <w:rPr>
                <w:sz w:val="24"/>
              </w:rPr>
              <w:t>根据《制定地方大气污染物排放标准的技术方法》（GB/T13201-91）规定，无组织排入有害气体的生产单元（生产区、车间、工段）与居民区之间应设置卫生防护距离，计算公式如下：</w:t>
            </w:r>
          </w:p>
          <w:p>
            <w:pPr>
              <w:keepNext w:val="0"/>
              <w:keepLines w:val="0"/>
              <w:suppressLineNumbers w:val="0"/>
              <w:adjustRightInd w:val="0"/>
              <w:snapToGrid w:val="0"/>
              <w:spacing w:before="0" w:beforeAutospacing="0" w:after="0" w:afterAutospacing="0"/>
              <w:ind w:left="0" w:right="0"/>
              <w:jc w:val="center"/>
              <w:rPr>
                <w:sz w:val="24"/>
              </w:rPr>
            </w:pPr>
            <w:r>
              <w:rPr>
                <w:position w:val="-30"/>
                <w:sz w:val="24"/>
              </w:rPr>
              <w:object>
                <v:shape id="_x0000_i1025" o:spt="75" type="#_x0000_t75" style="height:38.2pt;width:154pt;" o:ole="t" filled="f" o:preferrelative="t" stroked="f" coordsize="21600,21600">
                  <v:path/>
                  <v:fill on="f" focussize="0,0"/>
                  <v:stroke on="f" joinstyle="miter"/>
                  <v:imagedata r:id="rId12" o:title=""/>
                  <o:lock v:ext="edit" aspectratio="t"/>
                  <w10:wrap type="none"/>
                  <w10:anchorlock/>
                </v:shape>
                <o:OLEObject Type="Embed" ProgID="Equation.3" ShapeID="_x0000_i1025" DrawAspect="Content" ObjectID="_1468075725" r:id="rId11">
                  <o:LockedField>false</o:LockedField>
                </o:OLEObject>
              </w:object>
            </w:r>
          </w:p>
          <w:p>
            <w:pPr>
              <w:keepNext w:val="0"/>
              <w:keepLines w:val="0"/>
              <w:suppressLineNumbers w:val="0"/>
              <w:adjustRightInd w:val="0"/>
              <w:snapToGrid w:val="0"/>
              <w:spacing w:before="0" w:beforeAutospacing="0" w:after="0" w:afterAutospacing="0" w:line="312" w:lineRule="auto"/>
              <w:ind w:left="0" w:right="0"/>
              <w:rPr>
                <w:sz w:val="24"/>
              </w:rPr>
            </w:pPr>
            <w:r>
              <w:rPr>
                <w:sz w:val="24"/>
              </w:rPr>
              <w:t>式中：</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sz w:val="24"/>
              </w:rPr>
              <w:t>C</w:t>
            </w:r>
            <w:r>
              <w:rPr>
                <w:sz w:val="24"/>
                <w:vertAlign w:val="subscript"/>
              </w:rPr>
              <w:t>m</w:t>
            </w:r>
            <w:r>
              <w:rPr>
                <w:sz w:val="24"/>
              </w:rPr>
              <w:t>——标准浓度限值（mg/Nm</w:t>
            </w:r>
            <w:r>
              <w:rPr>
                <w:sz w:val="24"/>
                <w:vertAlign w:val="superscript"/>
              </w:rPr>
              <w:t>3</w:t>
            </w:r>
            <w:r>
              <w:rPr>
                <w:sz w:val="24"/>
              </w:rPr>
              <w:t>）；</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sz w:val="24"/>
              </w:rPr>
              <w:t>Q</w:t>
            </w:r>
            <w:r>
              <w:rPr>
                <w:sz w:val="24"/>
                <w:vertAlign w:val="subscript"/>
              </w:rPr>
              <w:t>c</w:t>
            </w:r>
            <w:r>
              <w:rPr>
                <w:sz w:val="24"/>
              </w:rPr>
              <w:t>——有害气体无组织排放量可以达到的控制水平（kg/h）；</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sz w:val="24"/>
              </w:rPr>
              <w:t>r——有害气体无组织排放源所在生产单元的等效半径（m）；</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sz w:val="24"/>
              </w:rPr>
              <w:t>L——工业企业所需的卫生防护距离（m）；</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sz w:val="24"/>
              </w:rPr>
              <w:t>A、B、C、D——卫生防护距离计算系数，无因次，根据工业企业所在地近五年平均风速及工业企业大气污染源构成类别查取。</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sz w:val="24"/>
              </w:rPr>
              <w:t>该地区的平均</w:t>
            </w:r>
            <w:r>
              <w:rPr>
                <w:sz w:val="24"/>
                <w:szCs w:val="22"/>
              </w:rPr>
              <w:t>风速</w:t>
            </w:r>
            <w:r>
              <w:rPr>
                <w:sz w:val="24"/>
              </w:rPr>
              <w:t>为</w:t>
            </w:r>
            <w:r>
              <w:rPr>
                <w:rFonts w:hint="eastAsia"/>
                <w:sz w:val="24"/>
              </w:rPr>
              <w:t>2.9</w:t>
            </w:r>
            <w:r>
              <w:rPr>
                <w:sz w:val="24"/>
              </w:rPr>
              <w:t>m/s，A、B、C、D值的选取见下表。</w:t>
            </w:r>
          </w:p>
          <w:p>
            <w:pPr>
              <w:keepNext w:val="0"/>
              <w:keepLines w:val="0"/>
              <w:suppressLineNumbers w:val="0"/>
              <w:adjustRightInd w:val="0"/>
              <w:snapToGrid w:val="0"/>
              <w:spacing w:before="0" w:beforeAutospacing="0" w:after="0" w:afterAutospacing="0"/>
              <w:ind w:left="0" w:right="0"/>
              <w:jc w:val="center"/>
              <w:rPr>
                <w:b/>
                <w:sz w:val="24"/>
              </w:rPr>
            </w:pPr>
            <w:r>
              <w:rPr>
                <w:b/>
                <w:sz w:val="24"/>
              </w:rPr>
              <w:t>表</w:t>
            </w:r>
            <w:r>
              <w:rPr>
                <w:rFonts w:hint="eastAsia"/>
                <w:b/>
                <w:sz w:val="24"/>
              </w:rPr>
              <w:t>4-8</w:t>
            </w:r>
            <w:r>
              <w:rPr>
                <w:b/>
                <w:sz w:val="24"/>
              </w:rPr>
              <w:t xml:space="preserve"> 卫生防护距离计算系数</w:t>
            </w:r>
          </w:p>
          <w:tbl>
            <w:tblPr>
              <w:tblStyle w:val="22"/>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44"/>
              <w:gridCol w:w="744"/>
              <w:gridCol w:w="744"/>
              <w:gridCol w:w="744"/>
              <w:gridCol w:w="745"/>
              <w:gridCol w:w="745"/>
              <w:gridCol w:w="745"/>
              <w:gridCol w:w="745"/>
              <w:gridCol w:w="745"/>
              <w:gridCol w:w="745"/>
              <w:gridCol w:w="73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55" w:type="pct"/>
                  <w:vMerge w:val="restart"/>
                  <w:vAlign w:val="center"/>
                </w:tcPr>
                <w:p>
                  <w:pPr>
                    <w:keepNext w:val="0"/>
                    <w:keepLines w:val="0"/>
                    <w:suppressLineNumbers w:val="0"/>
                    <w:spacing w:before="0" w:beforeAutospacing="0" w:after="0" w:afterAutospacing="0"/>
                    <w:ind w:left="0" w:right="0"/>
                    <w:jc w:val="center"/>
                    <w:rPr>
                      <w:szCs w:val="21"/>
                    </w:rPr>
                  </w:pPr>
                  <w:r>
                    <w:rPr>
                      <w:szCs w:val="21"/>
                    </w:rPr>
                    <w:t>计</w:t>
                  </w:r>
                </w:p>
                <w:p>
                  <w:pPr>
                    <w:keepNext w:val="0"/>
                    <w:keepLines w:val="0"/>
                    <w:suppressLineNumbers w:val="0"/>
                    <w:spacing w:before="0" w:beforeAutospacing="0" w:after="0" w:afterAutospacing="0"/>
                    <w:ind w:left="0" w:right="0"/>
                    <w:jc w:val="center"/>
                    <w:rPr>
                      <w:szCs w:val="21"/>
                    </w:rPr>
                  </w:pPr>
                  <w:r>
                    <w:rPr>
                      <w:szCs w:val="21"/>
                    </w:rPr>
                    <w:t>算</w:t>
                  </w:r>
                </w:p>
                <w:p>
                  <w:pPr>
                    <w:keepNext w:val="0"/>
                    <w:keepLines w:val="0"/>
                    <w:suppressLineNumbers w:val="0"/>
                    <w:spacing w:before="0" w:beforeAutospacing="0" w:after="0" w:afterAutospacing="0"/>
                    <w:ind w:left="0" w:right="0"/>
                    <w:jc w:val="center"/>
                    <w:rPr>
                      <w:szCs w:val="21"/>
                    </w:rPr>
                  </w:pPr>
                  <w:r>
                    <w:rPr>
                      <w:szCs w:val="21"/>
                    </w:rPr>
                    <w:t>系</w:t>
                  </w:r>
                </w:p>
                <w:p>
                  <w:pPr>
                    <w:keepNext w:val="0"/>
                    <w:keepLines w:val="0"/>
                    <w:suppressLineNumbers w:val="0"/>
                    <w:spacing w:before="0" w:beforeAutospacing="0" w:after="0" w:afterAutospacing="0"/>
                    <w:ind w:left="0" w:right="0"/>
                    <w:jc w:val="center"/>
                    <w:rPr>
                      <w:szCs w:val="21"/>
                    </w:rPr>
                  </w:pPr>
                  <w:r>
                    <w:rPr>
                      <w:szCs w:val="21"/>
                    </w:rPr>
                    <w:t>数</w:t>
                  </w:r>
                </w:p>
              </w:tc>
              <w:tc>
                <w:tcPr>
                  <w:tcW w:w="455" w:type="pct"/>
                  <w:vMerge w:val="restart"/>
                  <w:vAlign w:val="center"/>
                </w:tcPr>
                <w:p>
                  <w:pPr>
                    <w:keepNext w:val="0"/>
                    <w:keepLines w:val="0"/>
                    <w:suppressLineNumbers w:val="0"/>
                    <w:spacing w:before="0" w:beforeAutospacing="0" w:after="0" w:afterAutospacing="0"/>
                    <w:ind w:left="0" w:right="0"/>
                    <w:jc w:val="center"/>
                    <w:rPr>
                      <w:szCs w:val="21"/>
                    </w:rPr>
                  </w:pPr>
                  <w:r>
                    <w:rPr>
                      <w:szCs w:val="21"/>
                    </w:rPr>
                    <w:t>5年平均风速</w:t>
                  </w:r>
                </w:p>
                <w:p>
                  <w:pPr>
                    <w:keepNext w:val="0"/>
                    <w:keepLines w:val="0"/>
                    <w:suppressLineNumbers w:val="0"/>
                    <w:spacing w:before="0" w:beforeAutospacing="0" w:after="0" w:afterAutospacing="0"/>
                    <w:ind w:left="0" w:right="0"/>
                    <w:jc w:val="center"/>
                    <w:rPr>
                      <w:szCs w:val="21"/>
                    </w:rPr>
                  </w:pPr>
                  <w:r>
                    <w:rPr>
                      <w:szCs w:val="21"/>
                    </w:rPr>
                    <w:t>m/s</w:t>
                  </w:r>
                </w:p>
              </w:tc>
              <w:tc>
                <w:tcPr>
                  <w:tcW w:w="4091" w:type="pct"/>
                  <w:gridSpan w:val="9"/>
                  <w:vAlign w:val="center"/>
                </w:tcPr>
                <w:p>
                  <w:pPr>
                    <w:keepNext w:val="0"/>
                    <w:keepLines w:val="0"/>
                    <w:suppressLineNumbers w:val="0"/>
                    <w:spacing w:before="0" w:beforeAutospacing="0" w:after="0" w:afterAutospacing="0"/>
                    <w:ind w:left="0" w:right="0"/>
                    <w:jc w:val="center"/>
                    <w:rPr>
                      <w:szCs w:val="21"/>
                    </w:rPr>
                  </w:pPr>
                  <w:r>
                    <w:rPr>
                      <w:szCs w:val="21"/>
                    </w:rPr>
                    <w:t>卫生防护距离L，m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55" w:type="pct"/>
                  <w:vMerge w:val="continue"/>
                  <w:vAlign w:val="center"/>
                </w:tcPr>
                <w:p>
                  <w:pPr>
                    <w:keepNext w:val="0"/>
                    <w:keepLines w:val="0"/>
                    <w:suppressLineNumbers w:val="0"/>
                    <w:spacing w:before="0" w:beforeAutospacing="0" w:after="0" w:afterAutospacing="0"/>
                    <w:ind w:left="0" w:right="0"/>
                    <w:jc w:val="center"/>
                    <w:rPr>
                      <w:sz w:val="24"/>
                    </w:rPr>
                  </w:pPr>
                </w:p>
              </w:tc>
              <w:tc>
                <w:tcPr>
                  <w:tcW w:w="455" w:type="pct"/>
                  <w:vMerge w:val="continue"/>
                  <w:vAlign w:val="center"/>
                </w:tcPr>
                <w:p>
                  <w:pPr>
                    <w:keepNext w:val="0"/>
                    <w:keepLines w:val="0"/>
                    <w:suppressLineNumbers w:val="0"/>
                    <w:spacing w:before="0" w:beforeAutospacing="0" w:after="0" w:afterAutospacing="0"/>
                    <w:ind w:left="0" w:right="0"/>
                    <w:jc w:val="center"/>
                    <w:rPr>
                      <w:sz w:val="24"/>
                    </w:rPr>
                  </w:pPr>
                </w:p>
              </w:tc>
              <w:tc>
                <w:tcPr>
                  <w:tcW w:w="1364" w:type="pct"/>
                  <w:gridSpan w:val="3"/>
                  <w:vAlign w:val="center"/>
                </w:tcPr>
                <w:p>
                  <w:pPr>
                    <w:keepNext w:val="0"/>
                    <w:keepLines w:val="0"/>
                    <w:suppressLineNumbers w:val="0"/>
                    <w:spacing w:before="0" w:beforeAutospacing="0" w:after="0" w:afterAutospacing="0"/>
                    <w:ind w:left="0" w:right="0"/>
                    <w:jc w:val="center"/>
                    <w:rPr>
                      <w:szCs w:val="21"/>
                    </w:rPr>
                  </w:pPr>
                  <w:r>
                    <w:rPr>
                      <w:szCs w:val="21"/>
                    </w:rPr>
                    <w:t>L≤1000</w:t>
                  </w:r>
                </w:p>
              </w:tc>
              <w:tc>
                <w:tcPr>
                  <w:tcW w:w="1364" w:type="pct"/>
                  <w:gridSpan w:val="3"/>
                  <w:vAlign w:val="center"/>
                </w:tcPr>
                <w:p>
                  <w:pPr>
                    <w:keepNext w:val="0"/>
                    <w:keepLines w:val="0"/>
                    <w:suppressLineNumbers w:val="0"/>
                    <w:spacing w:before="0" w:beforeAutospacing="0" w:after="0" w:afterAutospacing="0"/>
                    <w:ind w:left="0" w:right="0"/>
                    <w:jc w:val="center"/>
                    <w:rPr>
                      <w:szCs w:val="21"/>
                    </w:rPr>
                  </w:pPr>
                  <w:r>
                    <w:rPr>
                      <w:szCs w:val="21"/>
                    </w:rPr>
                    <w:t>L≤1000</w:t>
                  </w:r>
                </w:p>
              </w:tc>
              <w:tc>
                <w:tcPr>
                  <w:tcW w:w="1364" w:type="pct"/>
                  <w:gridSpan w:val="3"/>
                  <w:vAlign w:val="center"/>
                </w:tcPr>
                <w:p>
                  <w:pPr>
                    <w:keepNext w:val="0"/>
                    <w:keepLines w:val="0"/>
                    <w:suppressLineNumbers w:val="0"/>
                    <w:spacing w:before="0" w:beforeAutospacing="0" w:after="0" w:afterAutospacing="0"/>
                    <w:ind w:left="0" w:right="0"/>
                    <w:jc w:val="center"/>
                    <w:rPr>
                      <w:szCs w:val="21"/>
                    </w:rPr>
                  </w:pPr>
                  <w:r>
                    <w:rPr>
                      <w:szCs w:val="21"/>
                    </w:rPr>
                    <w:t>L≤1000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55" w:type="pct"/>
                  <w:vMerge w:val="continue"/>
                  <w:vAlign w:val="center"/>
                </w:tcPr>
                <w:p>
                  <w:pPr>
                    <w:keepNext w:val="0"/>
                    <w:keepLines w:val="0"/>
                    <w:suppressLineNumbers w:val="0"/>
                    <w:spacing w:before="0" w:beforeAutospacing="0" w:after="0" w:afterAutospacing="0"/>
                    <w:ind w:left="0" w:right="0"/>
                    <w:jc w:val="center"/>
                    <w:rPr>
                      <w:sz w:val="24"/>
                    </w:rPr>
                  </w:pPr>
                </w:p>
              </w:tc>
              <w:tc>
                <w:tcPr>
                  <w:tcW w:w="455" w:type="pct"/>
                  <w:vMerge w:val="continue"/>
                  <w:vAlign w:val="center"/>
                </w:tcPr>
                <w:p>
                  <w:pPr>
                    <w:keepNext w:val="0"/>
                    <w:keepLines w:val="0"/>
                    <w:suppressLineNumbers w:val="0"/>
                    <w:spacing w:before="0" w:beforeAutospacing="0" w:after="0" w:afterAutospacing="0"/>
                    <w:ind w:left="0" w:right="0"/>
                    <w:jc w:val="center"/>
                    <w:rPr>
                      <w:sz w:val="24"/>
                    </w:rPr>
                  </w:pPr>
                </w:p>
              </w:tc>
              <w:tc>
                <w:tcPr>
                  <w:tcW w:w="4091" w:type="pct"/>
                  <w:gridSpan w:val="9"/>
                  <w:vAlign w:val="center"/>
                </w:tcPr>
                <w:p>
                  <w:pPr>
                    <w:pStyle w:val="65"/>
                    <w:keepNext w:val="0"/>
                    <w:keepLines w:val="0"/>
                    <w:suppressLineNumbers w:val="0"/>
                    <w:spacing w:before="0" w:beforeAutospacing="0" w:after="0" w:afterAutospacing="0" w:line="240" w:lineRule="auto"/>
                    <w:ind w:left="0" w:right="0" w:firstLine="422"/>
                    <w:jc w:val="center"/>
                    <w:rPr>
                      <w:rFonts w:ascii="Times New Roman" w:hAnsi="Times New Roman" w:eastAsia="宋体"/>
                      <w:b w:val="0"/>
                      <w:sz w:val="21"/>
                      <w:szCs w:val="21"/>
                    </w:rPr>
                  </w:pPr>
                  <w:r>
                    <w:rPr>
                      <w:rFonts w:ascii="Times New Roman" w:hAnsi="Times New Roman" w:eastAsia="宋体"/>
                      <w:b w:val="0"/>
                      <w:sz w:val="21"/>
                      <w:szCs w:val="21"/>
                    </w:rPr>
                    <w:t>工业大气污染源构成类别</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55" w:type="pct"/>
                  <w:vMerge w:val="continue"/>
                  <w:vAlign w:val="center"/>
                </w:tcPr>
                <w:p>
                  <w:pPr>
                    <w:keepNext w:val="0"/>
                    <w:keepLines w:val="0"/>
                    <w:suppressLineNumbers w:val="0"/>
                    <w:spacing w:before="0" w:beforeAutospacing="0" w:after="0" w:afterAutospacing="0"/>
                    <w:ind w:left="0" w:right="0"/>
                    <w:jc w:val="center"/>
                    <w:rPr>
                      <w:sz w:val="24"/>
                    </w:rPr>
                  </w:pPr>
                </w:p>
              </w:tc>
              <w:tc>
                <w:tcPr>
                  <w:tcW w:w="455" w:type="pct"/>
                  <w:vMerge w:val="continue"/>
                  <w:vAlign w:val="center"/>
                </w:tcPr>
                <w:p>
                  <w:pPr>
                    <w:keepNext w:val="0"/>
                    <w:keepLines w:val="0"/>
                    <w:suppressLineNumbers w:val="0"/>
                    <w:spacing w:before="0" w:beforeAutospacing="0" w:after="0" w:afterAutospacing="0"/>
                    <w:ind w:left="0" w:right="0"/>
                    <w:jc w:val="center"/>
                    <w:rPr>
                      <w:sz w:val="24"/>
                    </w:rPr>
                  </w:pPr>
                </w:p>
              </w:tc>
              <w:tc>
                <w:tcPr>
                  <w:tcW w:w="455" w:type="pct"/>
                  <w:vAlign w:val="center"/>
                </w:tcPr>
                <w:p>
                  <w:pPr>
                    <w:keepNext w:val="0"/>
                    <w:keepLines w:val="0"/>
                    <w:suppressLineNumbers w:val="0"/>
                    <w:spacing w:before="0" w:beforeAutospacing="0" w:after="0" w:afterAutospacing="0"/>
                    <w:ind w:left="0" w:right="0"/>
                    <w:jc w:val="center"/>
                    <w:rPr>
                      <w:szCs w:val="21"/>
                    </w:rPr>
                  </w:pPr>
                  <w:r>
                    <w:rPr>
                      <w:rFonts w:hint="eastAsia" w:ascii="宋体" w:hAnsi="宋体" w:cs="宋体"/>
                      <w:szCs w:val="21"/>
                    </w:rPr>
                    <w:t>Ⅰ</w:t>
                  </w:r>
                </w:p>
              </w:tc>
              <w:tc>
                <w:tcPr>
                  <w:tcW w:w="455" w:type="pct"/>
                  <w:vAlign w:val="center"/>
                </w:tcPr>
                <w:p>
                  <w:pPr>
                    <w:keepNext w:val="0"/>
                    <w:keepLines w:val="0"/>
                    <w:suppressLineNumbers w:val="0"/>
                    <w:spacing w:before="0" w:beforeAutospacing="0" w:after="0" w:afterAutospacing="0"/>
                    <w:ind w:left="0" w:right="0"/>
                    <w:jc w:val="center"/>
                    <w:rPr>
                      <w:szCs w:val="21"/>
                    </w:rPr>
                  </w:pPr>
                  <w:r>
                    <w:rPr>
                      <w:rFonts w:hint="eastAsia" w:ascii="宋体" w:hAnsi="宋体" w:cs="宋体"/>
                      <w:szCs w:val="21"/>
                    </w:rPr>
                    <w:t>Ⅱ</w:t>
                  </w:r>
                </w:p>
              </w:tc>
              <w:tc>
                <w:tcPr>
                  <w:tcW w:w="455" w:type="pct"/>
                  <w:vAlign w:val="center"/>
                </w:tcPr>
                <w:p>
                  <w:pPr>
                    <w:keepNext w:val="0"/>
                    <w:keepLines w:val="0"/>
                    <w:suppressLineNumbers w:val="0"/>
                    <w:spacing w:before="0" w:beforeAutospacing="0" w:after="0" w:afterAutospacing="0"/>
                    <w:ind w:left="0" w:right="0"/>
                    <w:jc w:val="center"/>
                    <w:rPr>
                      <w:szCs w:val="21"/>
                    </w:rPr>
                  </w:pPr>
                  <w:r>
                    <w:rPr>
                      <w:rFonts w:hint="eastAsia" w:ascii="宋体" w:hAnsi="宋体" w:cs="宋体"/>
                      <w:szCs w:val="21"/>
                    </w:rPr>
                    <w:t>Ⅲ</w:t>
                  </w:r>
                </w:p>
              </w:tc>
              <w:tc>
                <w:tcPr>
                  <w:tcW w:w="455" w:type="pct"/>
                  <w:vAlign w:val="center"/>
                </w:tcPr>
                <w:p>
                  <w:pPr>
                    <w:keepNext w:val="0"/>
                    <w:keepLines w:val="0"/>
                    <w:suppressLineNumbers w:val="0"/>
                    <w:spacing w:before="0" w:beforeAutospacing="0" w:after="0" w:afterAutospacing="0"/>
                    <w:ind w:left="0" w:right="0"/>
                    <w:jc w:val="center"/>
                    <w:rPr>
                      <w:szCs w:val="21"/>
                    </w:rPr>
                  </w:pPr>
                  <w:r>
                    <w:rPr>
                      <w:rFonts w:hint="eastAsia" w:ascii="宋体" w:hAnsi="宋体" w:cs="宋体"/>
                      <w:szCs w:val="21"/>
                    </w:rPr>
                    <w:t>Ⅰ</w:t>
                  </w:r>
                </w:p>
              </w:tc>
              <w:tc>
                <w:tcPr>
                  <w:tcW w:w="455" w:type="pct"/>
                  <w:vAlign w:val="center"/>
                </w:tcPr>
                <w:p>
                  <w:pPr>
                    <w:keepNext w:val="0"/>
                    <w:keepLines w:val="0"/>
                    <w:suppressLineNumbers w:val="0"/>
                    <w:spacing w:before="0" w:beforeAutospacing="0" w:after="0" w:afterAutospacing="0"/>
                    <w:ind w:left="0" w:right="0"/>
                    <w:jc w:val="center"/>
                    <w:rPr>
                      <w:szCs w:val="21"/>
                    </w:rPr>
                  </w:pPr>
                  <w:r>
                    <w:rPr>
                      <w:rFonts w:hint="eastAsia" w:ascii="宋体" w:hAnsi="宋体" w:cs="宋体"/>
                      <w:szCs w:val="21"/>
                    </w:rPr>
                    <w:t>Ⅱ</w:t>
                  </w:r>
                </w:p>
              </w:tc>
              <w:tc>
                <w:tcPr>
                  <w:tcW w:w="455" w:type="pct"/>
                  <w:vAlign w:val="center"/>
                </w:tcPr>
                <w:p>
                  <w:pPr>
                    <w:keepNext w:val="0"/>
                    <w:keepLines w:val="0"/>
                    <w:suppressLineNumbers w:val="0"/>
                    <w:spacing w:before="0" w:beforeAutospacing="0" w:after="0" w:afterAutospacing="0"/>
                    <w:ind w:left="0" w:right="0"/>
                    <w:jc w:val="center"/>
                    <w:rPr>
                      <w:szCs w:val="21"/>
                    </w:rPr>
                  </w:pPr>
                  <w:r>
                    <w:rPr>
                      <w:rFonts w:hint="eastAsia" w:ascii="宋体" w:hAnsi="宋体" w:cs="宋体"/>
                      <w:szCs w:val="21"/>
                    </w:rPr>
                    <w:t>Ⅲ</w:t>
                  </w:r>
                </w:p>
              </w:tc>
              <w:tc>
                <w:tcPr>
                  <w:tcW w:w="455" w:type="pct"/>
                  <w:vAlign w:val="center"/>
                </w:tcPr>
                <w:p>
                  <w:pPr>
                    <w:keepNext w:val="0"/>
                    <w:keepLines w:val="0"/>
                    <w:suppressLineNumbers w:val="0"/>
                    <w:spacing w:before="0" w:beforeAutospacing="0" w:after="0" w:afterAutospacing="0"/>
                    <w:ind w:left="0" w:right="0"/>
                    <w:jc w:val="center"/>
                    <w:rPr>
                      <w:szCs w:val="21"/>
                    </w:rPr>
                  </w:pPr>
                  <w:r>
                    <w:rPr>
                      <w:rFonts w:hint="eastAsia" w:ascii="宋体" w:hAnsi="宋体" w:cs="宋体"/>
                      <w:szCs w:val="21"/>
                    </w:rPr>
                    <w:t>Ⅰ</w:t>
                  </w:r>
                </w:p>
              </w:tc>
              <w:tc>
                <w:tcPr>
                  <w:tcW w:w="455" w:type="pct"/>
                  <w:vAlign w:val="center"/>
                </w:tcPr>
                <w:p>
                  <w:pPr>
                    <w:keepNext w:val="0"/>
                    <w:keepLines w:val="0"/>
                    <w:suppressLineNumbers w:val="0"/>
                    <w:spacing w:before="0" w:beforeAutospacing="0" w:after="0" w:afterAutospacing="0"/>
                    <w:ind w:left="0" w:right="0"/>
                    <w:jc w:val="center"/>
                    <w:rPr>
                      <w:szCs w:val="21"/>
                    </w:rPr>
                  </w:pPr>
                  <w:r>
                    <w:rPr>
                      <w:rFonts w:hint="eastAsia" w:ascii="宋体" w:hAnsi="宋体" w:cs="宋体"/>
                      <w:szCs w:val="21"/>
                    </w:rPr>
                    <w:t>Ⅱ</w:t>
                  </w:r>
                </w:p>
              </w:tc>
              <w:tc>
                <w:tcPr>
                  <w:tcW w:w="455" w:type="pct"/>
                  <w:vAlign w:val="center"/>
                </w:tcPr>
                <w:p>
                  <w:pPr>
                    <w:keepNext w:val="0"/>
                    <w:keepLines w:val="0"/>
                    <w:suppressLineNumbers w:val="0"/>
                    <w:spacing w:before="0" w:beforeAutospacing="0" w:after="0" w:afterAutospacing="0"/>
                    <w:ind w:left="0" w:right="0"/>
                    <w:jc w:val="center"/>
                    <w:rPr>
                      <w:szCs w:val="21"/>
                    </w:rPr>
                  </w:pPr>
                  <w:r>
                    <w:rPr>
                      <w:rFonts w:hint="eastAsia" w:ascii="宋体" w:hAnsi="宋体" w:cs="宋体"/>
                      <w:szCs w:val="21"/>
                    </w:rPr>
                    <w:t>Ⅲ</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55" w:type="pct"/>
                  <w:vMerge w:val="restart"/>
                  <w:vAlign w:val="center"/>
                </w:tcPr>
                <w:p>
                  <w:pPr>
                    <w:keepNext w:val="0"/>
                    <w:keepLines w:val="0"/>
                    <w:suppressLineNumbers w:val="0"/>
                    <w:spacing w:before="0" w:beforeAutospacing="0" w:after="0" w:afterAutospacing="0"/>
                    <w:ind w:left="0" w:right="0"/>
                    <w:jc w:val="center"/>
                    <w:rPr>
                      <w:szCs w:val="21"/>
                    </w:rPr>
                  </w:pPr>
                  <w:r>
                    <w:rPr>
                      <w:szCs w:val="21"/>
                    </w:rPr>
                    <w:t>A</w:t>
                  </w:r>
                </w:p>
              </w:tc>
              <w:tc>
                <w:tcPr>
                  <w:tcW w:w="455" w:type="pct"/>
                  <w:vAlign w:val="center"/>
                </w:tcPr>
                <w:p>
                  <w:pPr>
                    <w:keepNext w:val="0"/>
                    <w:keepLines w:val="0"/>
                    <w:suppressLineNumbers w:val="0"/>
                    <w:spacing w:before="0" w:beforeAutospacing="0" w:after="0" w:afterAutospacing="0"/>
                    <w:ind w:left="0" w:right="0"/>
                    <w:jc w:val="center"/>
                    <w:rPr>
                      <w:szCs w:val="21"/>
                    </w:rPr>
                  </w:pPr>
                  <w:r>
                    <w:rPr>
                      <w:szCs w:val="21"/>
                    </w:rPr>
                    <w:t>＜2</w:t>
                  </w:r>
                </w:p>
              </w:tc>
              <w:tc>
                <w:tcPr>
                  <w:tcW w:w="455" w:type="pct"/>
                  <w:vAlign w:val="center"/>
                </w:tcPr>
                <w:p>
                  <w:pPr>
                    <w:keepNext w:val="0"/>
                    <w:keepLines w:val="0"/>
                    <w:suppressLineNumbers w:val="0"/>
                    <w:spacing w:before="0" w:beforeAutospacing="0" w:after="0" w:afterAutospacing="0"/>
                    <w:ind w:left="0" w:right="0"/>
                    <w:jc w:val="center"/>
                    <w:rPr>
                      <w:szCs w:val="21"/>
                    </w:rPr>
                  </w:pPr>
                  <w:r>
                    <w:rPr>
                      <w:szCs w:val="21"/>
                    </w:rPr>
                    <w:t>400</w:t>
                  </w:r>
                </w:p>
              </w:tc>
              <w:tc>
                <w:tcPr>
                  <w:tcW w:w="455" w:type="pct"/>
                  <w:vAlign w:val="center"/>
                </w:tcPr>
                <w:p>
                  <w:pPr>
                    <w:keepNext w:val="0"/>
                    <w:keepLines w:val="0"/>
                    <w:suppressLineNumbers w:val="0"/>
                    <w:spacing w:before="0" w:beforeAutospacing="0" w:after="0" w:afterAutospacing="0"/>
                    <w:ind w:left="0" w:right="0"/>
                    <w:jc w:val="center"/>
                    <w:rPr>
                      <w:szCs w:val="21"/>
                    </w:rPr>
                  </w:pPr>
                  <w:r>
                    <w:rPr>
                      <w:szCs w:val="21"/>
                    </w:rPr>
                    <w:t>400</w:t>
                  </w:r>
                </w:p>
              </w:tc>
              <w:tc>
                <w:tcPr>
                  <w:tcW w:w="455" w:type="pct"/>
                  <w:vAlign w:val="center"/>
                </w:tcPr>
                <w:p>
                  <w:pPr>
                    <w:keepNext w:val="0"/>
                    <w:keepLines w:val="0"/>
                    <w:suppressLineNumbers w:val="0"/>
                    <w:spacing w:before="0" w:beforeAutospacing="0" w:after="0" w:afterAutospacing="0"/>
                    <w:ind w:left="0" w:right="0"/>
                    <w:jc w:val="center"/>
                    <w:rPr>
                      <w:szCs w:val="21"/>
                    </w:rPr>
                  </w:pPr>
                  <w:r>
                    <w:rPr>
                      <w:szCs w:val="21"/>
                    </w:rPr>
                    <w:t>400</w:t>
                  </w:r>
                </w:p>
              </w:tc>
              <w:tc>
                <w:tcPr>
                  <w:tcW w:w="455" w:type="pct"/>
                  <w:vAlign w:val="center"/>
                </w:tcPr>
                <w:p>
                  <w:pPr>
                    <w:keepNext w:val="0"/>
                    <w:keepLines w:val="0"/>
                    <w:suppressLineNumbers w:val="0"/>
                    <w:spacing w:before="0" w:beforeAutospacing="0" w:after="0" w:afterAutospacing="0"/>
                    <w:ind w:left="0" w:right="0"/>
                    <w:jc w:val="center"/>
                    <w:rPr>
                      <w:szCs w:val="21"/>
                    </w:rPr>
                  </w:pPr>
                  <w:r>
                    <w:rPr>
                      <w:szCs w:val="21"/>
                    </w:rPr>
                    <w:t>400</w:t>
                  </w:r>
                </w:p>
              </w:tc>
              <w:tc>
                <w:tcPr>
                  <w:tcW w:w="455" w:type="pct"/>
                  <w:vAlign w:val="center"/>
                </w:tcPr>
                <w:p>
                  <w:pPr>
                    <w:keepNext w:val="0"/>
                    <w:keepLines w:val="0"/>
                    <w:suppressLineNumbers w:val="0"/>
                    <w:spacing w:before="0" w:beforeAutospacing="0" w:after="0" w:afterAutospacing="0"/>
                    <w:ind w:left="0" w:right="0"/>
                    <w:jc w:val="center"/>
                    <w:rPr>
                      <w:szCs w:val="21"/>
                    </w:rPr>
                  </w:pPr>
                  <w:r>
                    <w:rPr>
                      <w:szCs w:val="21"/>
                    </w:rPr>
                    <w:t>400</w:t>
                  </w:r>
                </w:p>
              </w:tc>
              <w:tc>
                <w:tcPr>
                  <w:tcW w:w="455" w:type="pct"/>
                  <w:vAlign w:val="center"/>
                </w:tcPr>
                <w:p>
                  <w:pPr>
                    <w:keepNext w:val="0"/>
                    <w:keepLines w:val="0"/>
                    <w:suppressLineNumbers w:val="0"/>
                    <w:spacing w:before="0" w:beforeAutospacing="0" w:after="0" w:afterAutospacing="0"/>
                    <w:ind w:left="0" w:right="0"/>
                    <w:jc w:val="center"/>
                    <w:rPr>
                      <w:szCs w:val="21"/>
                    </w:rPr>
                  </w:pPr>
                  <w:r>
                    <w:rPr>
                      <w:szCs w:val="21"/>
                    </w:rPr>
                    <w:t>400</w:t>
                  </w:r>
                </w:p>
              </w:tc>
              <w:tc>
                <w:tcPr>
                  <w:tcW w:w="455" w:type="pct"/>
                  <w:vAlign w:val="center"/>
                </w:tcPr>
                <w:p>
                  <w:pPr>
                    <w:keepNext w:val="0"/>
                    <w:keepLines w:val="0"/>
                    <w:suppressLineNumbers w:val="0"/>
                    <w:spacing w:before="0" w:beforeAutospacing="0" w:after="0" w:afterAutospacing="0"/>
                    <w:ind w:left="0" w:right="0"/>
                    <w:jc w:val="center"/>
                    <w:rPr>
                      <w:szCs w:val="21"/>
                    </w:rPr>
                  </w:pPr>
                  <w:r>
                    <w:rPr>
                      <w:szCs w:val="21"/>
                    </w:rPr>
                    <w:t>80</w:t>
                  </w:r>
                </w:p>
              </w:tc>
              <w:tc>
                <w:tcPr>
                  <w:tcW w:w="455" w:type="pct"/>
                  <w:vAlign w:val="center"/>
                </w:tcPr>
                <w:p>
                  <w:pPr>
                    <w:keepNext w:val="0"/>
                    <w:keepLines w:val="0"/>
                    <w:suppressLineNumbers w:val="0"/>
                    <w:spacing w:before="0" w:beforeAutospacing="0" w:after="0" w:afterAutospacing="0"/>
                    <w:ind w:left="0" w:right="0"/>
                    <w:jc w:val="center"/>
                    <w:rPr>
                      <w:szCs w:val="21"/>
                    </w:rPr>
                  </w:pPr>
                  <w:r>
                    <w:rPr>
                      <w:szCs w:val="21"/>
                    </w:rPr>
                    <w:t>80</w:t>
                  </w:r>
                </w:p>
              </w:tc>
              <w:tc>
                <w:tcPr>
                  <w:tcW w:w="455" w:type="pct"/>
                  <w:vAlign w:val="center"/>
                </w:tcPr>
                <w:p>
                  <w:pPr>
                    <w:keepNext w:val="0"/>
                    <w:keepLines w:val="0"/>
                    <w:suppressLineNumbers w:val="0"/>
                    <w:spacing w:before="0" w:beforeAutospacing="0" w:after="0" w:afterAutospacing="0"/>
                    <w:ind w:left="0" w:right="0"/>
                    <w:jc w:val="center"/>
                    <w:rPr>
                      <w:szCs w:val="21"/>
                    </w:rPr>
                  </w:pPr>
                  <w:r>
                    <w:rPr>
                      <w:szCs w:val="21"/>
                    </w:rPr>
                    <w:t>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55" w:type="pct"/>
                  <w:vMerge w:val="continue"/>
                  <w:vAlign w:val="center"/>
                </w:tcPr>
                <w:p>
                  <w:pPr>
                    <w:keepNext w:val="0"/>
                    <w:keepLines w:val="0"/>
                    <w:suppressLineNumbers w:val="0"/>
                    <w:spacing w:before="0" w:beforeAutospacing="0" w:after="0" w:afterAutospacing="0"/>
                    <w:ind w:left="0" w:right="0"/>
                    <w:jc w:val="center"/>
                    <w:rPr>
                      <w:sz w:val="24"/>
                    </w:rPr>
                  </w:pPr>
                </w:p>
              </w:tc>
              <w:tc>
                <w:tcPr>
                  <w:tcW w:w="455" w:type="pct"/>
                  <w:vAlign w:val="center"/>
                </w:tcPr>
                <w:p>
                  <w:pPr>
                    <w:keepNext w:val="0"/>
                    <w:keepLines w:val="0"/>
                    <w:suppressLineNumbers w:val="0"/>
                    <w:spacing w:before="0" w:beforeAutospacing="0" w:after="0" w:afterAutospacing="0"/>
                    <w:ind w:left="0" w:right="0"/>
                    <w:jc w:val="center"/>
                    <w:rPr>
                      <w:sz w:val="24"/>
                    </w:rPr>
                  </w:pPr>
                  <w:r>
                    <w:rPr>
                      <w:szCs w:val="21"/>
                    </w:rPr>
                    <w:t>2～4</w:t>
                  </w:r>
                </w:p>
              </w:tc>
              <w:tc>
                <w:tcPr>
                  <w:tcW w:w="455" w:type="pct"/>
                  <w:vAlign w:val="center"/>
                </w:tcPr>
                <w:p>
                  <w:pPr>
                    <w:keepNext w:val="0"/>
                    <w:keepLines w:val="0"/>
                    <w:suppressLineNumbers w:val="0"/>
                    <w:spacing w:before="0" w:beforeAutospacing="0" w:after="0" w:afterAutospacing="0"/>
                    <w:ind w:left="0" w:right="0"/>
                    <w:jc w:val="center"/>
                    <w:rPr>
                      <w:szCs w:val="21"/>
                    </w:rPr>
                  </w:pPr>
                  <w:r>
                    <w:rPr>
                      <w:szCs w:val="21"/>
                    </w:rPr>
                    <w:t>700</w:t>
                  </w:r>
                </w:p>
              </w:tc>
              <w:tc>
                <w:tcPr>
                  <w:tcW w:w="455" w:type="pct"/>
                  <w:vAlign w:val="center"/>
                </w:tcPr>
                <w:p>
                  <w:pPr>
                    <w:keepNext w:val="0"/>
                    <w:keepLines w:val="0"/>
                    <w:suppressLineNumbers w:val="0"/>
                    <w:spacing w:before="0" w:beforeAutospacing="0" w:after="0" w:afterAutospacing="0"/>
                    <w:ind w:left="0" w:right="0"/>
                    <w:jc w:val="center"/>
                    <w:rPr>
                      <w:szCs w:val="21"/>
                    </w:rPr>
                  </w:pPr>
                  <w:r>
                    <w:rPr>
                      <w:szCs w:val="21"/>
                    </w:rPr>
                    <w:t>470</w:t>
                  </w:r>
                </w:p>
              </w:tc>
              <w:tc>
                <w:tcPr>
                  <w:tcW w:w="455" w:type="pct"/>
                  <w:vAlign w:val="center"/>
                </w:tcPr>
                <w:p>
                  <w:pPr>
                    <w:keepNext w:val="0"/>
                    <w:keepLines w:val="0"/>
                    <w:suppressLineNumbers w:val="0"/>
                    <w:spacing w:before="0" w:beforeAutospacing="0" w:after="0" w:afterAutospacing="0"/>
                    <w:ind w:left="0" w:right="0"/>
                    <w:jc w:val="center"/>
                    <w:rPr>
                      <w:szCs w:val="21"/>
                    </w:rPr>
                  </w:pPr>
                  <w:r>
                    <w:rPr>
                      <w:szCs w:val="21"/>
                    </w:rPr>
                    <w:t>350</w:t>
                  </w:r>
                </w:p>
              </w:tc>
              <w:tc>
                <w:tcPr>
                  <w:tcW w:w="455" w:type="pct"/>
                  <w:vAlign w:val="center"/>
                </w:tcPr>
                <w:p>
                  <w:pPr>
                    <w:keepNext w:val="0"/>
                    <w:keepLines w:val="0"/>
                    <w:suppressLineNumbers w:val="0"/>
                    <w:spacing w:before="0" w:beforeAutospacing="0" w:after="0" w:afterAutospacing="0"/>
                    <w:ind w:left="0" w:right="0"/>
                    <w:jc w:val="center"/>
                    <w:rPr>
                      <w:szCs w:val="21"/>
                    </w:rPr>
                  </w:pPr>
                  <w:r>
                    <w:rPr>
                      <w:szCs w:val="21"/>
                    </w:rPr>
                    <w:t>700</w:t>
                  </w:r>
                </w:p>
              </w:tc>
              <w:tc>
                <w:tcPr>
                  <w:tcW w:w="455" w:type="pct"/>
                  <w:vAlign w:val="center"/>
                </w:tcPr>
                <w:p>
                  <w:pPr>
                    <w:keepNext w:val="0"/>
                    <w:keepLines w:val="0"/>
                    <w:suppressLineNumbers w:val="0"/>
                    <w:spacing w:before="0" w:beforeAutospacing="0" w:after="0" w:afterAutospacing="0"/>
                    <w:ind w:left="0" w:right="0"/>
                    <w:jc w:val="center"/>
                    <w:rPr>
                      <w:szCs w:val="21"/>
                    </w:rPr>
                  </w:pPr>
                  <w:r>
                    <w:rPr>
                      <w:szCs w:val="21"/>
                    </w:rPr>
                    <w:t>470</w:t>
                  </w:r>
                </w:p>
              </w:tc>
              <w:tc>
                <w:tcPr>
                  <w:tcW w:w="455" w:type="pct"/>
                  <w:vAlign w:val="center"/>
                </w:tcPr>
                <w:p>
                  <w:pPr>
                    <w:keepNext w:val="0"/>
                    <w:keepLines w:val="0"/>
                    <w:suppressLineNumbers w:val="0"/>
                    <w:spacing w:before="0" w:beforeAutospacing="0" w:after="0" w:afterAutospacing="0"/>
                    <w:ind w:left="0" w:right="0"/>
                    <w:jc w:val="center"/>
                    <w:rPr>
                      <w:szCs w:val="21"/>
                    </w:rPr>
                  </w:pPr>
                  <w:r>
                    <w:rPr>
                      <w:szCs w:val="21"/>
                    </w:rPr>
                    <w:t>350</w:t>
                  </w:r>
                </w:p>
              </w:tc>
              <w:tc>
                <w:tcPr>
                  <w:tcW w:w="455" w:type="pct"/>
                  <w:vAlign w:val="center"/>
                </w:tcPr>
                <w:p>
                  <w:pPr>
                    <w:keepNext w:val="0"/>
                    <w:keepLines w:val="0"/>
                    <w:suppressLineNumbers w:val="0"/>
                    <w:spacing w:before="0" w:beforeAutospacing="0" w:after="0" w:afterAutospacing="0"/>
                    <w:ind w:left="0" w:right="0"/>
                    <w:jc w:val="center"/>
                    <w:rPr>
                      <w:szCs w:val="21"/>
                    </w:rPr>
                  </w:pPr>
                  <w:r>
                    <w:rPr>
                      <w:szCs w:val="21"/>
                    </w:rPr>
                    <w:t>380</w:t>
                  </w:r>
                </w:p>
              </w:tc>
              <w:tc>
                <w:tcPr>
                  <w:tcW w:w="455" w:type="pct"/>
                  <w:vAlign w:val="center"/>
                </w:tcPr>
                <w:p>
                  <w:pPr>
                    <w:keepNext w:val="0"/>
                    <w:keepLines w:val="0"/>
                    <w:suppressLineNumbers w:val="0"/>
                    <w:spacing w:before="0" w:beforeAutospacing="0" w:after="0" w:afterAutospacing="0"/>
                    <w:ind w:left="0" w:right="0"/>
                    <w:jc w:val="center"/>
                    <w:rPr>
                      <w:szCs w:val="21"/>
                    </w:rPr>
                  </w:pPr>
                  <w:r>
                    <w:rPr>
                      <w:szCs w:val="21"/>
                    </w:rPr>
                    <w:t>250</w:t>
                  </w:r>
                </w:p>
              </w:tc>
              <w:tc>
                <w:tcPr>
                  <w:tcW w:w="455" w:type="pct"/>
                  <w:vAlign w:val="center"/>
                </w:tcPr>
                <w:p>
                  <w:pPr>
                    <w:keepNext w:val="0"/>
                    <w:keepLines w:val="0"/>
                    <w:suppressLineNumbers w:val="0"/>
                    <w:spacing w:before="0" w:beforeAutospacing="0" w:after="0" w:afterAutospacing="0"/>
                    <w:ind w:left="0" w:right="0"/>
                    <w:jc w:val="center"/>
                    <w:rPr>
                      <w:szCs w:val="21"/>
                    </w:rPr>
                  </w:pPr>
                  <w:r>
                    <w:rPr>
                      <w:szCs w:val="21"/>
                    </w:rPr>
                    <w:t>190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55" w:type="pct"/>
                  <w:vMerge w:val="continue"/>
                  <w:vAlign w:val="center"/>
                </w:tcPr>
                <w:p>
                  <w:pPr>
                    <w:keepNext w:val="0"/>
                    <w:keepLines w:val="0"/>
                    <w:suppressLineNumbers w:val="0"/>
                    <w:spacing w:before="0" w:beforeAutospacing="0" w:after="0" w:afterAutospacing="0"/>
                    <w:ind w:left="0" w:right="0"/>
                    <w:jc w:val="center"/>
                    <w:rPr>
                      <w:sz w:val="24"/>
                    </w:rPr>
                  </w:pPr>
                </w:p>
              </w:tc>
              <w:tc>
                <w:tcPr>
                  <w:tcW w:w="455" w:type="pct"/>
                  <w:vAlign w:val="center"/>
                </w:tcPr>
                <w:p>
                  <w:pPr>
                    <w:keepNext w:val="0"/>
                    <w:keepLines w:val="0"/>
                    <w:suppressLineNumbers w:val="0"/>
                    <w:spacing w:before="0" w:beforeAutospacing="0" w:after="0" w:afterAutospacing="0"/>
                    <w:ind w:left="0" w:right="0"/>
                    <w:jc w:val="center"/>
                    <w:rPr>
                      <w:sz w:val="24"/>
                    </w:rPr>
                  </w:pPr>
                  <w:r>
                    <w:rPr>
                      <w:szCs w:val="21"/>
                    </w:rPr>
                    <w:t>＞4</w:t>
                  </w:r>
                </w:p>
              </w:tc>
              <w:tc>
                <w:tcPr>
                  <w:tcW w:w="455" w:type="pct"/>
                  <w:vAlign w:val="center"/>
                </w:tcPr>
                <w:p>
                  <w:pPr>
                    <w:keepNext w:val="0"/>
                    <w:keepLines w:val="0"/>
                    <w:suppressLineNumbers w:val="0"/>
                    <w:spacing w:before="0" w:beforeAutospacing="0" w:after="0" w:afterAutospacing="0"/>
                    <w:ind w:left="0" w:right="0"/>
                    <w:jc w:val="center"/>
                    <w:rPr>
                      <w:szCs w:val="21"/>
                    </w:rPr>
                  </w:pPr>
                  <w:r>
                    <w:rPr>
                      <w:szCs w:val="21"/>
                    </w:rPr>
                    <w:t>530</w:t>
                  </w:r>
                </w:p>
              </w:tc>
              <w:tc>
                <w:tcPr>
                  <w:tcW w:w="455" w:type="pct"/>
                  <w:vAlign w:val="center"/>
                </w:tcPr>
                <w:p>
                  <w:pPr>
                    <w:keepNext w:val="0"/>
                    <w:keepLines w:val="0"/>
                    <w:suppressLineNumbers w:val="0"/>
                    <w:spacing w:before="0" w:beforeAutospacing="0" w:after="0" w:afterAutospacing="0"/>
                    <w:ind w:left="0" w:right="0"/>
                    <w:jc w:val="center"/>
                    <w:rPr>
                      <w:szCs w:val="21"/>
                    </w:rPr>
                  </w:pPr>
                  <w:r>
                    <w:rPr>
                      <w:szCs w:val="21"/>
                    </w:rPr>
                    <w:t>350</w:t>
                  </w:r>
                </w:p>
              </w:tc>
              <w:tc>
                <w:tcPr>
                  <w:tcW w:w="455" w:type="pct"/>
                  <w:vAlign w:val="center"/>
                </w:tcPr>
                <w:p>
                  <w:pPr>
                    <w:keepNext w:val="0"/>
                    <w:keepLines w:val="0"/>
                    <w:suppressLineNumbers w:val="0"/>
                    <w:spacing w:before="0" w:beforeAutospacing="0" w:after="0" w:afterAutospacing="0"/>
                    <w:ind w:left="0" w:right="0"/>
                    <w:jc w:val="center"/>
                    <w:rPr>
                      <w:szCs w:val="21"/>
                    </w:rPr>
                  </w:pPr>
                  <w:r>
                    <w:rPr>
                      <w:szCs w:val="21"/>
                    </w:rPr>
                    <w:t>260</w:t>
                  </w:r>
                </w:p>
              </w:tc>
              <w:tc>
                <w:tcPr>
                  <w:tcW w:w="455" w:type="pct"/>
                  <w:vAlign w:val="center"/>
                </w:tcPr>
                <w:p>
                  <w:pPr>
                    <w:keepNext w:val="0"/>
                    <w:keepLines w:val="0"/>
                    <w:suppressLineNumbers w:val="0"/>
                    <w:spacing w:before="0" w:beforeAutospacing="0" w:after="0" w:afterAutospacing="0"/>
                    <w:ind w:left="0" w:right="0"/>
                    <w:jc w:val="center"/>
                    <w:rPr>
                      <w:szCs w:val="21"/>
                    </w:rPr>
                  </w:pPr>
                  <w:r>
                    <w:rPr>
                      <w:szCs w:val="21"/>
                    </w:rPr>
                    <w:t>530</w:t>
                  </w:r>
                </w:p>
              </w:tc>
              <w:tc>
                <w:tcPr>
                  <w:tcW w:w="455" w:type="pct"/>
                  <w:vAlign w:val="center"/>
                </w:tcPr>
                <w:p>
                  <w:pPr>
                    <w:keepNext w:val="0"/>
                    <w:keepLines w:val="0"/>
                    <w:suppressLineNumbers w:val="0"/>
                    <w:spacing w:before="0" w:beforeAutospacing="0" w:after="0" w:afterAutospacing="0"/>
                    <w:ind w:left="0" w:right="0"/>
                    <w:jc w:val="center"/>
                    <w:rPr>
                      <w:szCs w:val="21"/>
                    </w:rPr>
                  </w:pPr>
                  <w:r>
                    <w:rPr>
                      <w:szCs w:val="21"/>
                    </w:rPr>
                    <w:t>350</w:t>
                  </w:r>
                </w:p>
              </w:tc>
              <w:tc>
                <w:tcPr>
                  <w:tcW w:w="455" w:type="pct"/>
                  <w:vAlign w:val="center"/>
                </w:tcPr>
                <w:p>
                  <w:pPr>
                    <w:keepNext w:val="0"/>
                    <w:keepLines w:val="0"/>
                    <w:suppressLineNumbers w:val="0"/>
                    <w:spacing w:before="0" w:beforeAutospacing="0" w:after="0" w:afterAutospacing="0"/>
                    <w:ind w:left="0" w:right="0"/>
                    <w:jc w:val="center"/>
                    <w:rPr>
                      <w:szCs w:val="21"/>
                    </w:rPr>
                  </w:pPr>
                  <w:r>
                    <w:rPr>
                      <w:szCs w:val="21"/>
                    </w:rPr>
                    <w:t>260</w:t>
                  </w:r>
                </w:p>
              </w:tc>
              <w:tc>
                <w:tcPr>
                  <w:tcW w:w="455" w:type="pct"/>
                  <w:vAlign w:val="center"/>
                </w:tcPr>
                <w:p>
                  <w:pPr>
                    <w:keepNext w:val="0"/>
                    <w:keepLines w:val="0"/>
                    <w:suppressLineNumbers w:val="0"/>
                    <w:spacing w:before="0" w:beforeAutospacing="0" w:after="0" w:afterAutospacing="0"/>
                    <w:ind w:left="0" w:right="0"/>
                    <w:jc w:val="center"/>
                    <w:rPr>
                      <w:szCs w:val="21"/>
                    </w:rPr>
                  </w:pPr>
                  <w:r>
                    <w:rPr>
                      <w:szCs w:val="21"/>
                    </w:rPr>
                    <w:t>290</w:t>
                  </w:r>
                </w:p>
              </w:tc>
              <w:tc>
                <w:tcPr>
                  <w:tcW w:w="455" w:type="pct"/>
                  <w:vAlign w:val="center"/>
                </w:tcPr>
                <w:p>
                  <w:pPr>
                    <w:keepNext w:val="0"/>
                    <w:keepLines w:val="0"/>
                    <w:suppressLineNumbers w:val="0"/>
                    <w:spacing w:before="0" w:beforeAutospacing="0" w:after="0" w:afterAutospacing="0"/>
                    <w:ind w:left="0" w:right="0"/>
                    <w:jc w:val="center"/>
                    <w:rPr>
                      <w:szCs w:val="21"/>
                    </w:rPr>
                  </w:pPr>
                  <w:r>
                    <w:rPr>
                      <w:szCs w:val="21"/>
                    </w:rPr>
                    <w:t>190</w:t>
                  </w:r>
                </w:p>
              </w:tc>
              <w:tc>
                <w:tcPr>
                  <w:tcW w:w="455" w:type="pct"/>
                  <w:vAlign w:val="center"/>
                </w:tcPr>
                <w:p>
                  <w:pPr>
                    <w:keepNext w:val="0"/>
                    <w:keepLines w:val="0"/>
                    <w:suppressLineNumbers w:val="0"/>
                    <w:spacing w:before="0" w:beforeAutospacing="0" w:after="0" w:afterAutospacing="0"/>
                    <w:ind w:left="0" w:right="0"/>
                    <w:jc w:val="center"/>
                    <w:rPr>
                      <w:szCs w:val="21"/>
                    </w:rPr>
                  </w:pPr>
                  <w:r>
                    <w:rPr>
                      <w:szCs w:val="21"/>
                    </w:rPr>
                    <w:t>140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55" w:type="pct"/>
                  <w:vMerge w:val="restart"/>
                  <w:vAlign w:val="center"/>
                </w:tcPr>
                <w:p>
                  <w:pPr>
                    <w:keepNext w:val="0"/>
                    <w:keepLines w:val="0"/>
                    <w:suppressLineNumbers w:val="0"/>
                    <w:spacing w:before="0" w:beforeAutospacing="0" w:after="0" w:afterAutospacing="0"/>
                    <w:ind w:left="0" w:right="0"/>
                    <w:jc w:val="center"/>
                    <w:rPr>
                      <w:szCs w:val="21"/>
                    </w:rPr>
                  </w:pPr>
                  <w:r>
                    <w:rPr>
                      <w:szCs w:val="21"/>
                    </w:rPr>
                    <w:t>B</w:t>
                  </w:r>
                </w:p>
              </w:tc>
              <w:tc>
                <w:tcPr>
                  <w:tcW w:w="455" w:type="pct"/>
                  <w:vAlign w:val="center"/>
                </w:tcPr>
                <w:p>
                  <w:pPr>
                    <w:keepNext w:val="0"/>
                    <w:keepLines w:val="0"/>
                    <w:suppressLineNumbers w:val="0"/>
                    <w:spacing w:before="0" w:beforeAutospacing="0" w:after="0" w:afterAutospacing="0"/>
                    <w:ind w:left="0" w:right="0"/>
                    <w:jc w:val="center"/>
                    <w:rPr>
                      <w:szCs w:val="21"/>
                    </w:rPr>
                  </w:pPr>
                  <w:r>
                    <w:rPr>
                      <w:szCs w:val="21"/>
                    </w:rPr>
                    <w:t>＜2</w:t>
                  </w:r>
                </w:p>
              </w:tc>
              <w:tc>
                <w:tcPr>
                  <w:tcW w:w="1364" w:type="pct"/>
                  <w:gridSpan w:val="3"/>
                  <w:vAlign w:val="center"/>
                </w:tcPr>
                <w:p>
                  <w:pPr>
                    <w:keepNext w:val="0"/>
                    <w:keepLines w:val="0"/>
                    <w:suppressLineNumbers w:val="0"/>
                    <w:spacing w:before="0" w:beforeAutospacing="0" w:after="0" w:afterAutospacing="0"/>
                    <w:ind w:left="0" w:right="0"/>
                    <w:jc w:val="center"/>
                    <w:rPr>
                      <w:szCs w:val="21"/>
                    </w:rPr>
                  </w:pPr>
                  <w:r>
                    <w:rPr>
                      <w:szCs w:val="21"/>
                    </w:rPr>
                    <w:t>0.01</w:t>
                  </w:r>
                </w:p>
              </w:tc>
              <w:tc>
                <w:tcPr>
                  <w:tcW w:w="1364" w:type="pct"/>
                  <w:gridSpan w:val="3"/>
                  <w:vAlign w:val="center"/>
                </w:tcPr>
                <w:p>
                  <w:pPr>
                    <w:keepNext w:val="0"/>
                    <w:keepLines w:val="0"/>
                    <w:suppressLineNumbers w:val="0"/>
                    <w:spacing w:before="0" w:beforeAutospacing="0" w:after="0" w:afterAutospacing="0"/>
                    <w:ind w:left="0" w:right="0"/>
                    <w:jc w:val="center"/>
                    <w:rPr>
                      <w:szCs w:val="21"/>
                    </w:rPr>
                  </w:pPr>
                  <w:r>
                    <w:rPr>
                      <w:szCs w:val="21"/>
                    </w:rPr>
                    <w:t>0.015</w:t>
                  </w:r>
                </w:p>
              </w:tc>
              <w:tc>
                <w:tcPr>
                  <w:tcW w:w="1364" w:type="pct"/>
                  <w:gridSpan w:val="3"/>
                  <w:vAlign w:val="center"/>
                </w:tcPr>
                <w:p>
                  <w:pPr>
                    <w:keepNext w:val="0"/>
                    <w:keepLines w:val="0"/>
                    <w:suppressLineNumbers w:val="0"/>
                    <w:spacing w:before="0" w:beforeAutospacing="0" w:after="0" w:afterAutospacing="0"/>
                    <w:ind w:left="0" w:right="0"/>
                    <w:jc w:val="center"/>
                    <w:rPr>
                      <w:szCs w:val="21"/>
                    </w:rPr>
                  </w:pPr>
                  <w:r>
                    <w:rPr>
                      <w:szCs w:val="21"/>
                    </w:rPr>
                    <w:t>0.015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55" w:type="pct"/>
                  <w:vMerge w:val="continue"/>
                  <w:vAlign w:val="center"/>
                </w:tcPr>
                <w:p>
                  <w:pPr>
                    <w:keepNext w:val="0"/>
                    <w:keepLines w:val="0"/>
                    <w:suppressLineNumbers w:val="0"/>
                    <w:spacing w:before="0" w:beforeAutospacing="0" w:after="0" w:afterAutospacing="0"/>
                    <w:ind w:left="0" w:right="0"/>
                    <w:jc w:val="center"/>
                    <w:rPr>
                      <w:sz w:val="24"/>
                    </w:rPr>
                  </w:pPr>
                </w:p>
              </w:tc>
              <w:tc>
                <w:tcPr>
                  <w:tcW w:w="455" w:type="pct"/>
                  <w:vAlign w:val="center"/>
                </w:tcPr>
                <w:p>
                  <w:pPr>
                    <w:keepNext w:val="0"/>
                    <w:keepLines w:val="0"/>
                    <w:suppressLineNumbers w:val="0"/>
                    <w:spacing w:before="0" w:beforeAutospacing="0" w:after="0" w:afterAutospacing="0"/>
                    <w:ind w:left="0" w:right="0"/>
                    <w:jc w:val="center"/>
                    <w:rPr>
                      <w:sz w:val="24"/>
                    </w:rPr>
                  </w:pPr>
                  <w:r>
                    <w:rPr>
                      <w:szCs w:val="21"/>
                    </w:rPr>
                    <w:t>＞2</w:t>
                  </w:r>
                </w:p>
              </w:tc>
              <w:tc>
                <w:tcPr>
                  <w:tcW w:w="1364" w:type="pct"/>
                  <w:gridSpan w:val="3"/>
                  <w:vAlign w:val="center"/>
                </w:tcPr>
                <w:p>
                  <w:pPr>
                    <w:keepNext w:val="0"/>
                    <w:keepLines w:val="0"/>
                    <w:suppressLineNumbers w:val="0"/>
                    <w:spacing w:before="0" w:beforeAutospacing="0" w:after="0" w:afterAutospacing="0"/>
                    <w:ind w:left="0" w:right="0"/>
                    <w:jc w:val="center"/>
                    <w:rPr>
                      <w:szCs w:val="21"/>
                    </w:rPr>
                  </w:pPr>
                  <w:r>
                    <w:rPr>
                      <w:szCs w:val="21"/>
                    </w:rPr>
                    <w:t>0.021</w:t>
                  </w:r>
                </w:p>
              </w:tc>
              <w:tc>
                <w:tcPr>
                  <w:tcW w:w="1364" w:type="pct"/>
                  <w:gridSpan w:val="3"/>
                  <w:vAlign w:val="center"/>
                </w:tcPr>
                <w:p>
                  <w:pPr>
                    <w:keepNext w:val="0"/>
                    <w:keepLines w:val="0"/>
                    <w:suppressLineNumbers w:val="0"/>
                    <w:spacing w:before="0" w:beforeAutospacing="0" w:after="0" w:afterAutospacing="0"/>
                    <w:ind w:left="0" w:right="0"/>
                    <w:jc w:val="center"/>
                    <w:rPr>
                      <w:szCs w:val="21"/>
                    </w:rPr>
                  </w:pPr>
                  <w:r>
                    <w:rPr>
                      <w:szCs w:val="21"/>
                    </w:rPr>
                    <w:t>0.036</w:t>
                  </w:r>
                </w:p>
              </w:tc>
              <w:tc>
                <w:tcPr>
                  <w:tcW w:w="1364" w:type="pct"/>
                  <w:gridSpan w:val="3"/>
                  <w:vAlign w:val="center"/>
                </w:tcPr>
                <w:p>
                  <w:pPr>
                    <w:keepNext w:val="0"/>
                    <w:keepLines w:val="0"/>
                    <w:suppressLineNumbers w:val="0"/>
                    <w:spacing w:before="0" w:beforeAutospacing="0" w:after="0" w:afterAutospacing="0"/>
                    <w:ind w:left="0" w:right="0"/>
                    <w:jc w:val="center"/>
                    <w:rPr>
                      <w:szCs w:val="21"/>
                    </w:rPr>
                  </w:pPr>
                  <w:r>
                    <w:rPr>
                      <w:szCs w:val="21"/>
                    </w:rPr>
                    <w:t>0.036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55" w:type="pct"/>
                  <w:vMerge w:val="restart"/>
                  <w:vAlign w:val="center"/>
                </w:tcPr>
                <w:p>
                  <w:pPr>
                    <w:keepNext w:val="0"/>
                    <w:keepLines w:val="0"/>
                    <w:suppressLineNumbers w:val="0"/>
                    <w:spacing w:before="0" w:beforeAutospacing="0" w:after="0" w:afterAutospacing="0"/>
                    <w:ind w:left="0" w:right="0"/>
                    <w:jc w:val="center"/>
                    <w:rPr>
                      <w:szCs w:val="21"/>
                    </w:rPr>
                  </w:pPr>
                  <w:r>
                    <w:rPr>
                      <w:szCs w:val="21"/>
                    </w:rPr>
                    <w:t>C</w:t>
                  </w:r>
                </w:p>
              </w:tc>
              <w:tc>
                <w:tcPr>
                  <w:tcW w:w="455" w:type="pct"/>
                  <w:vAlign w:val="center"/>
                </w:tcPr>
                <w:p>
                  <w:pPr>
                    <w:keepNext w:val="0"/>
                    <w:keepLines w:val="0"/>
                    <w:suppressLineNumbers w:val="0"/>
                    <w:spacing w:before="0" w:beforeAutospacing="0" w:after="0" w:afterAutospacing="0"/>
                    <w:ind w:left="0" w:right="0"/>
                    <w:jc w:val="center"/>
                    <w:rPr>
                      <w:szCs w:val="21"/>
                    </w:rPr>
                  </w:pPr>
                  <w:r>
                    <w:rPr>
                      <w:szCs w:val="21"/>
                    </w:rPr>
                    <w:t>＜2</w:t>
                  </w:r>
                </w:p>
              </w:tc>
              <w:tc>
                <w:tcPr>
                  <w:tcW w:w="1364" w:type="pct"/>
                  <w:gridSpan w:val="3"/>
                  <w:vAlign w:val="center"/>
                </w:tcPr>
                <w:p>
                  <w:pPr>
                    <w:keepNext w:val="0"/>
                    <w:keepLines w:val="0"/>
                    <w:suppressLineNumbers w:val="0"/>
                    <w:spacing w:before="0" w:beforeAutospacing="0" w:after="0" w:afterAutospacing="0"/>
                    <w:ind w:left="0" w:right="0"/>
                    <w:jc w:val="center"/>
                    <w:rPr>
                      <w:szCs w:val="21"/>
                    </w:rPr>
                  </w:pPr>
                  <w:r>
                    <w:rPr>
                      <w:szCs w:val="21"/>
                    </w:rPr>
                    <w:t>1.85</w:t>
                  </w:r>
                </w:p>
              </w:tc>
              <w:tc>
                <w:tcPr>
                  <w:tcW w:w="1364" w:type="pct"/>
                  <w:gridSpan w:val="3"/>
                  <w:vAlign w:val="center"/>
                </w:tcPr>
                <w:p>
                  <w:pPr>
                    <w:keepNext w:val="0"/>
                    <w:keepLines w:val="0"/>
                    <w:suppressLineNumbers w:val="0"/>
                    <w:spacing w:before="0" w:beforeAutospacing="0" w:after="0" w:afterAutospacing="0"/>
                    <w:ind w:left="0" w:right="0"/>
                    <w:jc w:val="center"/>
                    <w:rPr>
                      <w:szCs w:val="21"/>
                    </w:rPr>
                  </w:pPr>
                  <w:r>
                    <w:rPr>
                      <w:szCs w:val="21"/>
                    </w:rPr>
                    <w:t>1.79</w:t>
                  </w:r>
                </w:p>
              </w:tc>
              <w:tc>
                <w:tcPr>
                  <w:tcW w:w="1364" w:type="pct"/>
                  <w:gridSpan w:val="3"/>
                  <w:vAlign w:val="center"/>
                </w:tcPr>
                <w:p>
                  <w:pPr>
                    <w:keepNext w:val="0"/>
                    <w:keepLines w:val="0"/>
                    <w:suppressLineNumbers w:val="0"/>
                    <w:spacing w:before="0" w:beforeAutospacing="0" w:after="0" w:afterAutospacing="0"/>
                    <w:ind w:left="0" w:right="0"/>
                    <w:jc w:val="center"/>
                    <w:rPr>
                      <w:szCs w:val="21"/>
                    </w:rPr>
                  </w:pPr>
                  <w:r>
                    <w:rPr>
                      <w:szCs w:val="21"/>
                    </w:rPr>
                    <w:t>1.79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55" w:type="pct"/>
                  <w:vMerge w:val="continue"/>
                  <w:vAlign w:val="center"/>
                </w:tcPr>
                <w:p>
                  <w:pPr>
                    <w:keepNext w:val="0"/>
                    <w:keepLines w:val="0"/>
                    <w:suppressLineNumbers w:val="0"/>
                    <w:spacing w:before="0" w:beforeAutospacing="0" w:after="0" w:afterAutospacing="0"/>
                    <w:ind w:left="0" w:right="0"/>
                    <w:jc w:val="center"/>
                    <w:rPr>
                      <w:sz w:val="24"/>
                    </w:rPr>
                  </w:pPr>
                </w:p>
              </w:tc>
              <w:tc>
                <w:tcPr>
                  <w:tcW w:w="455" w:type="pct"/>
                  <w:vAlign w:val="center"/>
                </w:tcPr>
                <w:p>
                  <w:pPr>
                    <w:keepNext w:val="0"/>
                    <w:keepLines w:val="0"/>
                    <w:suppressLineNumbers w:val="0"/>
                    <w:spacing w:before="0" w:beforeAutospacing="0" w:after="0" w:afterAutospacing="0"/>
                    <w:ind w:left="0" w:right="0"/>
                    <w:jc w:val="center"/>
                    <w:rPr>
                      <w:sz w:val="24"/>
                    </w:rPr>
                  </w:pPr>
                  <w:r>
                    <w:rPr>
                      <w:szCs w:val="21"/>
                    </w:rPr>
                    <w:t>＞2</w:t>
                  </w:r>
                </w:p>
              </w:tc>
              <w:tc>
                <w:tcPr>
                  <w:tcW w:w="1364" w:type="pct"/>
                  <w:gridSpan w:val="3"/>
                  <w:vAlign w:val="center"/>
                </w:tcPr>
                <w:p>
                  <w:pPr>
                    <w:keepNext w:val="0"/>
                    <w:keepLines w:val="0"/>
                    <w:suppressLineNumbers w:val="0"/>
                    <w:spacing w:before="0" w:beforeAutospacing="0" w:after="0" w:afterAutospacing="0"/>
                    <w:ind w:left="0" w:right="0"/>
                    <w:jc w:val="center"/>
                    <w:rPr>
                      <w:szCs w:val="21"/>
                    </w:rPr>
                  </w:pPr>
                  <w:r>
                    <w:rPr>
                      <w:szCs w:val="21"/>
                    </w:rPr>
                    <w:t>1.85</w:t>
                  </w:r>
                </w:p>
              </w:tc>
              <w:tc>
                <w:tcPr>
                  <w:tcW w:w="1364" w:type="pct"/>
                  <w:gridSpan w:val="3"/>
                  <w:vAlign w:val="center"/>
                </w:tcPr>
                <w:p>
                  <w:pPr>
                    <w:keepNext w:val="0"/>
                    <w:keepLines w:val="0"/>
                    <w:suppressLineNumbers w:val="0"/>
                    <w:spacing w:before="0" w:beforeAutospacing="0" w:after="0" w:afterAutospacing="0"/>
                    <w:ind w:left="0" w:right="0"/>
                    <w:jc w:val="center"/>
                    <w:rPr>
                      <w:szCs w:val="21"/>
                    </w:rPr>
                  </w:pPr>
                  <w:r>
                    <w:rPr>
                      <w:szCs w:val="21"/>
                    </w:rPr>
                    <w:t>1.77</w:t>
                  </w:r>
                </w:p>
              </w:tc>
              <w:tc>
                <w:tcPr>
                  <w:tcW w:w="1364" w:type="pct"/>
                  <w:gridSpan w:val="3"/>
                  <w:vAlign w:val="center"/>
                </w:tcPr>
                <w:p>
                  <w:pPr>
                    <w:keepNext w:val="0"/>
                    <w:keepLines w:val="0"/>
                    <w:suppressLineNumbers w:val="0"/>
                    <w:spacing w:before="0" w:beforeAutospacing="0" w:after="0" w:afterAutospacing="0"/>
                    <w:ind w:left="0" w:right="0"/>
                    <w:jc w:val="center"/>
                    <w:rPr>
                      <w:szCs w:val="21"/>
                    </w:rPr>
                  </w:pPr>
                  <w:r>
                    <w:rPr>
                      <w:szCs w:val="21"/>
                    </w:rPr>
                    <w:t>1.77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55" w:type="pct"/>
                  <w:vMerge w:val="restart"/>
                  <w:vAlign w:val="center"/>
                </w:tcPr>
                <w:p>
                  <w:pPr>
                    <w:keepNext w:val="0"/>
                    <w:keepLines w:val="0"/>
                    <w:suppressLineNumbers w:val="0"/>
                    <w:spacing w:before="0" w:beforeAutospacing="0" w:after="0" w:afterAutospacing="0"/>
                    <w:ind w:left="0" w:right="0"/>
                    <w:jc w:val="center"/>
                    <w:rPr>
                      <w:szCs w:val="21"/>
                    </w:rPr>
                  </w:pPr>
                  <w:r>
                    <w:rPr>
                      <w:szCs w:val="21"/>
                    </w:rPr>
                    <w:t>D</w:t>
                  </w:r>
                </w:p>
              </w:tc>
              <w:tc>
                <w:tcPr>
                  <w:tcW w:w="455" w:type="pct"/>
                  <w:vAlign w:val="center"/>
                </w:tcPr>
                <w:p>
                  <w:pPr>
                    <w:keepNext w:val="0"/>
                    <w:keepLines w:val="0"/>
                    <w:suppressLineNumbers w:val="0"/>
                    <w:spacing w:before="0" w:beforeAutospacing="0" w:after="0" w:afterAutospacing="0"/>
                    <w:ind w:left="0" w:right="0"/>
                    <w:jc w:val="center"/>
                    <w:rPr>
                      <w:szCs w:val="21"/>
                    </w:rPr>
                  </w:pPr>
                  <w:r>
                    <w:rPr>
                      <w:szCs w:val="21"/>
                    </w:rPr>
                    <w:t>＜2</w:t>
                  </w:r>
                </w:p>
              </w:tc>
              <w:tc>
                <w:tcPr>
                  <w:tcW w:w="1364" w:type="pct"/>
                  <w:gridSpan w:val="3"/>
                  <w:vAlign w:val="center"/>
                </w:tcPr>
                <w:p>
                  <w:pPr>
                    <w:keepNext w:val="0"/>
                    <w:keepLines w:val="0"/>
                    <w:suppressLineNumbers w:val="0"/>
                    <w:spacing w:before="0" w:beforeAutospacing="0" w:after="0" w:afterAutospacing="0"/>
                    <w:ind w:left="0" w:right="0"/>
                    <w:jc w:val="center"/>
                    <w:rPr>
                      <w:szCs w:val="21"/>
                    </w:rPr>
                  </w:pPr>
                  <w:r>
                    <w:rPr>
                      <w:szCs w:val="21"/>
                    </w:rPr>
                    <w:t>0.78</w:t>
                  </w:r>
                </w:p>
              </w:tc>
              <w:tc>
                <w:tcPr>
                  <w:tcW w:w="1364" w:type="pct"/>
                  <w:gridSpan w:val="3"/>
                  <w:vAlign w:val="center"/>
                </w:tcPr>
                <w:p>
                  <w:pPr>
                    <w:keepNext w:val="0"/>
                    <w:keepLines w:val="0"/>
                    <w:suppressLineNumbers w:val="0"/>
                    <w:spacing w:before="0" w:beforeAutospacing="0" w:after="0" w:afterAutospacing="0"/>
                    <w:ind w:left="0" w:right="0"/>
                    <w:jc w:val="center"/>
                    <w:rPr>
                      <w:szCs w:val="21"/>
                    </w:rPr>
                  </w:pPr>
                  <w:r>
                    <w:rPr>
                      <w:szCs w:val="21"/>
                    </w:rPr>
                    <w:t>0.78</w:t>
                  </w:r>
                </w:p>
              </w:tc>
              <w:tc>
                <w:tcPr>
                  <w:tcW w:w="1364" w:type="pct"/>
                  <w:gridSpan w:val="3"/>
                  <w:vAlign w:val="center"/>
                </w:tcPr>
                <w:p>
                  <w:pPr>
                    <w:keepNext w:val="0"/>
                    <w:keepLines w:val="0"/>
                    <w:suppressLineNumbers w:val="0"/>
                    <w:spacing w:before="0" w:beforeAutospacing="0" w:after="0" w:afterAutospacing="0"/>
                    <w:ind w:left="0" w:right="0"/>
                    <w:jc w:val="center"/>
                    <w:rPr>
                      <w:szCs w:val="21"/>
                    </w:rPr>
                  </w:pPr>
                  <w:r>
                    <w:rPr>
                      <w:szCs w:val="21"/>
                    </w:rPr>
                    <w:t>0.57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55" w:type="pct"/>
                  <w:vMerge w:val="continue"/>
                  <w:vAlign w:val="center"/>
                </w:tcPr>
                <w:p>
                  <w:pPr>
                    <w:keepNext w:val="0"/>
                    <w:keepLines w:val="0"/>
                    <w:suppressLineNumbers w:val="0"/>
                    <w:spacing w:before="0" w:beforeAutospacing="0" w:after="0" w:afterAutospacing="0"/>
                    <w:ind w:left="0" w:right="0"/>
                    <w:jc w:val="center"/>
                    <w:rPr>
                      <w:sz w:val="24"/>
                    </w:rPr>
                  </w:pPr>
                </w:p>
              </w:tc>
              <w:tc>
                <w:tcPr>
                  <w:tcW w:w="455" w:type="pct"/>
                  <w:vAlign w:val="center"/>
                </w:tcPr>
                <w:p>
                  <w:pPr>
                    <w:keepNext w:val="0"/>
                    <w:keepLines w:val="0"/>
                    <w:suppressLineNumbers w:val="0"/>
                    <w:spacing w:before="0" w:beforeAutospacing="0" w:after="0" w:afterAutospacing="0"/>
                    <w:ind w:left="0" w:right="0"/>
                    <w:jc w:val="center"/>
                    <w:rPr>
                      <w:sz w:val="24"/>
                    </w:rPr>
                  </w:pPr>
                  <w:r>
                    <w:rPr>
                      <w:szCs w:val="21"/>
                    </w:rPr>
                    <w:t>＞2</w:t>
                  </w:r>
                </w:p>
              </w:tc>
              <w:tc>
                <w:tcPr>
                  <w:tcW w:w="1364" w:type="pct"/>
                  <w:gridSpan w:val="3"/>
                  <w:vAlign w:val="center"/>
                </w:tcPr>
                <w:p>
                  <w:pPr>
                    <w:keepNext w:val="0"/>
                    <w:keepLines w:val="0"/>
                    <w:suppressLineNumbers w:val="0"/>
                    <w:spacing w:before="0" w:beforeAutospacing="0" w:after="0" w:afterAutospacing="0"/>
                    <w:ind w:left="0" w:right="0"/>
                    <w:jc w:val="center"/>
                    <w:rPr>
                      <w:szCs w:val="21"/>
                    </w:rPr>
                  </w:pPr>
                  <w:r>
                    <w:rPr>
                      <w:szCs w:val="21"/>
                    </w:rPr>
                    <w:t>0.84</w:t>
                  </w:r>
                </w:p>
              </w:tc>
              <w:tc>
                <w:tcPr>
                  <w:tcW w:w="1364" w:type="pct"/>
                  <w:gridSpan w:val="3"/>
                  <w:vAlign w:val="center"/>
                </w:tcPr>
                <w:p>
                  <w:pPr>
                    <w:keepNext w:val="0"/>
                    <w:keepLines w:val="0"/>
                    <w:suppressLineNumbers w:val="0"/>
                    <w:spacing w:before="0" w:beforeAutospacing="0" w:after="0" w:afterAutospacing="0"/>
                    <w:ind w:left="0" w:right="0"/>
                    <w:jc w:val="center"/>
                    <w:rPr>
                      <w:szCs w:val="21"/>
                    </w:rPr>
                  </w:pPr>
                  <w:r>
                    <w:rPr>
                      <w:szCs w:val="21"/>
                    </w:rPr>
                    <w:t>0.84</w:t>
                  </w:r>
                </w:p>
              </w:tc>
              <w:tc>
                <w:tcPr>
                  <w:tcW w:w="1364" w:type="pct"/>
                  <w:gridSpan w:val="3"/>
                  <w:vAlign w:val="center"/>
                </w:tcPr>
                <w:p>
                  <w:pPr>
                    <w:keepNext w:val="0"/>
                    <w:keepLines w:val="0"/>
                    <w:suppressLineNumbers w:val="0"/>
                    <w:spacing w:before="0" w:beforeAutospacing="0" w:after="0" w:afterAutospacing="0"/>
                    <w:ind w:left="0" w:right="0"/>
                    <w:jc w:val="center"/>
                    <w:rPr>
                      <w:szCs w:val="21"/>
                    </w:rPr>
                  </w:pPr>
                  <w:r>
                    <w:rPr>
                      <w:szCs w:val="21"/>
                    </w:rPr>
                    <w:t>0.76</w:t>
                  </w:r>
                </w:p>
              </w:tc>
            </w:tr>
          </w:tbl>
          <w:p>
            <w:pPr>
              <w:keepNext w:val="0"/>
              <w:keepLines w:val="0"/>
              <w:suppressLineNumbers w:val="0"/>
              <w:spacing w:before="0" w:beforeAutospacing="0" w:after="0" w:afterAutospacing="0"/>
              <w:ind w:left="0" w:right="0" w:firstLine="422" w:firstLineChars="200"/>
              <w:jc w:val="left"/>
              <w:rPr>
                <w:rFonts w:ascii="宋体" w:hAnsi="宋体" w:cs="宋体"/>
                <w:b/>
                <w:bCs/>
                <w:szCs w:val="21"/>
              </w:rPr>
            </w:pPr>
            <w:r>
              <w:rPr>
                <w:rFonts w:ascii="宋体" w:hAnsi="宋体" w:cs="宋体"/>
                <w:b/>
                <w:bCs/>
                <w:szCs w:val="21"/>
              </w:rPr>
              <w:t>注</w:t>
            </w:r>
            <w:r>
              <w:rPr>
                <w:rFonts w:hint="eastAsia" w:ascii="宋体" w:hAnsi="宋体" w:cs="宋体"/>
                <w:b/>
                <w:bCs/>
                <w:szCs w:val="21"/>
              </w:rPr>
              <w:t>：</w:t>
            </w:r>
            <w:r>
              <w:rPr>
                <w:rFonts w:ascii="宋体" w:hAnsi="宋体" w:cs="宋体"/>
                <w:b/>
                <w:bCs/>
                <w:szCs w:val="21"/>
              </w:rPr>
              <w:t>工业企业大气污染源构成分为三类</w:t>
            </w:r>
            <w:r>
              <w:rPr>
                <w:rFonts w:hint="eastAsia" w:ascii="宋体" w:hAnsi="宋体" w:cs="宋体"/>
                <w:b/>
                <w:bCs/>
                <w:szCs w:val="21"/>
              </w:rPr>
              <w:t>：</w:t>
            </w:r>
          </w:p>
          <w:p>
            <w:pPr>
              <w:keepNext w:val="0"/>
              <w:keepLines w:val="0"/>
              <w:suppressLineNumbers w:val="0"/>
              <w:spacing w:before="0" w:beforeAutospacing="0" w:after="0" w:afterAutospacing="0"/>
              <w:ind w:left="0" w:right="0" w:firstLine="422" w:firstLineChars="200"/>
              <w:jc w:val="left"/>
              <w:rPr>
                <w:rFonts w:ascii="宋体" w:hAnsi="宋体" w:cs="宋体"/>
                <w:b/>
                <w:bCs/>
                <w:szCs w:val="21"/>
              </w:rPr>
            </w:pPr>
            <w:r>
              <w:rPr>
                <w:rFonts w:ascii="宋体" w:hAnsi="宋体" w:cs="宋体"/>
                <w:b/>
                <w:bCs/>
                <w:szCs w:val="21"/>
              </w:rPr>
              <w:t>I类</w:t>
            </w:r>
            <w:r>
              <w:rPr>
                <w:rFonts w:hint="eastAsia" w:ascii="宋体" w:hAnsi="宋体" w:cs="宋体"/>
                <w:b/>
                <w:bCs/>
                <w:szCs w:val="21"/>
              </w:rPr>
              <w:t>：</w:t>
            </w:r>
            <w:r>
              <w:rPr>
                <w:rFonts w:ascii="宋体" w:hAnsi="宋体" w:cs="宋体"/>
                <w:b/>
                <w:bCs/>
                <w:szCs w:val="21"/>
              </w:rPr>
              <w:t>与无组织排放源共存的排放同种有害气体的</w:t>
            </w:r>
            <w:r>
              <w:rPr>
                <w:rFonts w:hint="eastAsia" w:ascii="宋体" w:hAnsi="宋体" w:cs="宋体"/>
                <w:b/>
                <w:bCs/>
                <w:szCs w:val="21"/>
                <w:lang w:eastAsia="zh-CN"/>
              </w:rPr>
              <w:t>排气筒</w:t>
            </w:r>
            <w:r>
              <w:rPr>
                <w:rFonts w:ascii="宋体" w:hAnsi="宋体" w:cs="宋体"/>
                <w:b/>
                <w:bCs/>
                <w:szCs w:val="21"/>
              </w:rPr>
              <w:t>的排放时，大于标准规定的允许排放量的三分之一者。</w:t>
            </w:r>
          </w:p>
          <w:p>
            <w:pPr>
              <w:keepNext w:val="0"/>
              <w:keepLines w:val="0"/>
              <w:suppressLineNumbers w:val="0"/>
              <w:spacing w:before="0" w:beforeAutospacing="0" w:after="0" w:afterAutospacing="0"/>
              <w:ind w:left="0" w:right="0" w:firstLine="422" w:firstLineChars="200"/>
              <w:jc w:val="left"/>
              <w:rPr>
                <w:rFonts w:ascii="宋体" w:hAnsi="宋体" w:cs="宋体"/>
                <w:b/>
                <w:bCs/>
                <w:szCs w:val="21"/>
              </w:rPr>
            </w:pPr>
            <w:r>
              <w:rPr>
                <w:rFonts w:ascii="宋体" w:hAnsi="宋体" w:cs="宋体"/>
                <w:b/>
                <w:bCs/>
                <w:szCs w:val="21"/>
              </w:rPr>
              <w:t>II类</w:t>
            </w:r>
            <w:r>
              <w:rPr>
                <w:rFonts w:hint="eastAsia" w:ascii="宋体" w:hAnsi="宋体" w:cs="宋体"/>
                <w:b/>
                <w:bCs/>
                <w:szCs w:val="21"/>
              </w:rPr>
              <w:t>：</w:t>
            </w:r>
            <w:r>
              <w:rPr>
                <w:rFonts w:ascii="宋体" w:hAnsi="宋体" w:cs="宋体"/>
                <w:b/>
                <w:bCs/>
                <w:szCs w:val="21"/>
              </w:rPr>
              <w:t>与无组织排放源共存的排放同种有害气体的</w:t>
            </w:r>
            <w:r>
              <w:rPr>
                <w:rFonts w:hint="eastAsia" w:ascii="宋体" w:hAnsi="宋体" w:cs="宋体"/>
                <w:b/>
                <w:bCs/>
                <w:szCs w:val="21"/>
                <w:lang w:eastAsia="zh-CN"/>
              </w:rPr>
              <w:t>排气筒</w:t>
            </w:r>
            <w:r>
              <w:rPr>
                <w:rFonts w:ascii="宋体" w:hAnsi="宋体" w:cs="宋体"/>
                <w:b/>
                <w:bCs/>
                <w:szCs w:val="21"/>
              </w:rPr>
              <w:t>的排放量，小于标准规定的允许排放量的三分之一，或虽无排放同种大气污染物之</w:t>
            </w:r>
            <w:r>
              <w:rPr>
                <w:rFonts w:hint="eastAsia" w:ascii="宋体" w:hAnsi="宋体" w:cs="宋体"/>
                <w:b/>
                <w:bCs/>
                <w:szCs w:val="21"/>
                <w:lang w:eastAsia="zh-CN"/>
              </w:rPr>
              <w:t>排气筒</w:t>
            </w:r>
            <w:r>
              <w:rPr>
                <w:rFonts w:ascii="宋体" w:hAnsi="宋体" w:cs="宋体"/>
                <w:b/>
                <w:bCs/>
                <w:szCs w:val="21"/>
              </w:rPr>
              <w:t>共存，但无组织排放的有害物质的容许浓度指标是按急性反应指标确定者。</w:t>
            </w:r>
          </w:p>
          <w:p>
            <w:pPr>
              <w:keepNext w:val="0"/>
              <w:keepLines w:val="0"/>
              <w:suppressLineNumbers w:val="0"/>
              <w:spacing w:before="0" w:beforeAutospacing="0" w:after="0" w:afterAutospacing="0"/>
              <w:ind w:left="0" w:right="0" w:firstLine="422" w:firstLineChars="200"/>
              <w:jc w:val="left"/>
              <w:rPr>
                <w:rFonts w:ascii="宋体" w:hAnsi="宋体" w:cs="宋体"/>
                <w:b/>
                <w:bCs/>
                <w:szCs w:val="21"/>
              </w:rPr>
            </w:pPr>
            <w:r>
              <w:rPr>
                <w:rFonts w:hint="eastAsia" w:ascii="宋体" w:hAnsi="宋体" w:cs="宋体"/>
                <w:b/>
                <w:bCs/>
                <w:szCs w:val="21"/>
              </w:rPr>
              <w:t>Ⅲ</w:t>
            </w:r>
            <w:r>
              <w:rPr>
                <w:rFonts w:ascii="宋体" w:hAnsi="宋体" w:cs="宋体"/>
                <w:b/>
                <w:bCs/>
                <w:szCs w:val="21"/>
              </w:rPr>
              <w:t>类</w:t>
            </w:r>
            <w:r>
              <w:rPr>
                <w:rFonts w:hint="eastAsia" w:ascii="宋体" w:hAnsi="宋体" w:cs="宋体"/>
                <w:b/>
                <w:bCs/>
                <w:szCs w:val="21"/>
              </w:rPr>
              <w:t>：</w:t>
            </w:r>
            <w:r>
              <w:rPr>
                <w:rFonts w:ascii="宋体" w:hAnsi="宋体" w:cs="宋体"/>
                <w:b/>
                <w:bCs/>
                <w:szCs w:val="21"/>
              </w:rPr>
              <w:t>无排放同种有害物质的</w:t>
            </w:r>
            <w:r>
              <w:rPr>
                <w:rFonts w:hint="eastAsia" w:ascii="宋体" w:hAnsi="宋体" w:cs="宋体"/>
                <w:b/>
                <w:bCs/>
                <w:szCs w:val="21"/>
                <w:lang w:eastAsia="zh-CN"/>
              </w:rPr>
              <w:t>排气筒</w:t>
            </w:r>
            <w:r>
              <w:rPr>
                <w:rFonts w:ascii="宋体" w:hAnsi="宋体" w:cs="宋体"/>
                <w:b/>
                <w:bCs/>
                <w:szCs w:val="21"/>
              </w:rPr>
              <w:t>与无组织排放源共存，且无组织排放的有害物质的容许浓度是按慢性反应指标确定者。</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sz w:val="24"/>
              </w:rPr>
              <w:t>计算结果见下表</w:t>
            </w:r>
            <w:r>
              <w:rPr>
                <w:rFonts w:hint="eastAsia"/>
                <w:sz w:val="24"/>
              </w:rPr>
              <w:t>：</w:t>
            </w:r>
          </w:p>
          <w:p>
            <w:pPr>
              <w:keepNext w:val="0"/>
              <w:keepLines w:val="0"/>
              <w:suppressLineNumbers w:val="0"/>
              <w:adjustRightInd w:val="0"/>
              <w:snapToGrid w:val="0"/>
              <w:spacing w:before="0" w:beforeAutospacing="0" w:after="0" w:afterAutospacing="0"/>
              <w:ind w:left="0" w:right="0"/>
              <w:jc w:val="center"/>
              <w:rPr>
                <w:b/>
                <w:color w:val="FF0000"/>
                <w:sz w:val="24"/>
              </w:rPr>
            </w:pPr>
            <w:r>
              <w:rPr>
                <w:b/>
                <w:sz w:val="24"/>
              </w:rPr>
              <w:t>表</w:t>
            </w:r>
            <w:r>
              <w:rPr>
                <w:rFonts w:hint="eastAsia"/>
                <w:b/>
                <w:sz w:val="24"/>
              </w:rPr>
              <w:t>4-9</w:t>
            </w:r>
            <w:r>
              <w:rPr>
                <w:b/>
                <w:sz w:val="24"/>
              </w:rPr>
              <w:t xml:space="preserve"> 污染物卫生防护距离计算表</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75"/>
              <w:gridCol w:w="1101"/>
              <w:gridCol w:w="925"/>
              <w:gridCol w:w="681"/>
              <w:gridCol w:w="525"/>
              <w:gridCol w:w="761"/>
              <w:gridCol w:w="658"/>
              <w:gridCol w:w="637"/>
              <w:gridCol w:w="761"/>
              <w:gridCol w:w="802"/>
              <w:gridCol w:w="55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4" w:type="pct"/>
                  <w:tcBorders>
                    <w:top w:val="single" w:color="auto" w:sz="12" w:space="0"/>
                    <w:left w:val="nil"/>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rPr>
                    <w:t>车间</w:t>
                  </w:r>
                </w:p>
              </w:tc>
              <w:tc>
                <w:tcPr>
                  <w:tcW w:w="673" w:type="pct"/>
                  <w:tcBorders>
                    <w:top w:val="single" w:color="auto" w:sz="12"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rPr>
                    <w:t>影响因子</w:t>
                  </w:r>
                </w:p>
              </w:tc>
              <w:tc>
                <w:tcPr>
                  <w:tcW w:w="565" w:type="pct"/>
                  <w:tcBorders>
                    <w:top w:val="single" w:color="auto" w:sz="12" w:space="0"/>
                    <w:left w:val="single" w:color="auto" w:sz="4" w:space="0"/>
                    <w:bottom w:val="single" w:color="auto" w:sz="2" w:space="0"/>
                    <w:right w:val="single" w:color="auto" w:sz="4" w:space="0"/>
                  </w:tcBorders>
                  <w:vAlign w:val="center"/>
                </w:tcPr>
                <w:p>
                  <w:pPr>
                    <w:pStyle w:val="45"/>
                    <w:keepNext w:val="0"/>
                    <w:keepLines w:val="0"/>
                    <w:suppressLineNumbers w:val="0"/>
                    <w:adjustRightInd w:val="0"/>
                    <w:spacing w:before="0" w:beforeAutospacing="0" w:after="0" w:afterAutospacing="0"/>
                    <w:ind w:left="0" w:right="0"/>
                    <w:rPr>
                      <w:rFonts w:ascii="Times New Roman" w:hAnsi="Times New Roman" w:eastAsia="宋体" w:cs="Times New Roman"/>
                      <w:b/>
                      <w:bCs/>
                      <w:sz w:val="21"/>
                      <w:szCs w:val="21"/>
                    </w:rPr>
                  </w:pPr>
                  <w:r>
                    <w:rPr>
                      <w:rFonts w:ascii="Times New Roman" w:hAnsi="Times New Roman" w:eastAsia="宋体" w:cs="Times New Roman"/>
                      <w:b/>
                      <w:bCs/>
                      <w:sz w:val="21"/>
                      <w:szCs w:val="21"/>
                    </w:rPr>
                    <w:t>Qc</w:t>
                  </w:r>
                </w:p>
                <w:p>
                  <w:pPr>
                    <w:pStyle w:val="45"/>
                    <w:keepNext w:val="0"/>
                    <w:keepLines w:val="0"/>
                    <w:suppressLineNumbers w:val="0"/>
                    <w:adjustRightInd w:val="0"/>
                    <w:spacing w:before="0" w:beforeAutospacing="0" w:after="0" w:afterAutospacing="0"/>
                    <w:ind w:left="0" w:right="0"/>
                    <w:rPr>
                      <w:rFonts w:ascii="Times New Roman" w:hAnsi="Times New Roman" w:eastAsia="宋体" w:cs="Times New Roman"/>
                      <w:b/>
                      <w:bCs/>
                      <w:sz w:val="21"/>
                      <w:szCs w:val="21"/>
                    </w:rPr>
                  </w:pPr>
                  <w:r>
                    <w:rPr>
                      <w:rFonts w:ascii="Times New Roman" w:hAnsi="Times New Roman" w:eastAsia="宋体" w:cs="Times New Roman"/>
                      <w:b/>
                      <w:bCs/>
                      <w:sz w:val="21"/>
                      <w:szCs w:val="21"/>
                    </w:rPr>
                    <w:t>kg/h</w:t>
                  </w:r>
                </w:p>
              </w:tc>
              <w:tc>
                <w:tcPr>
                  <w:tcW w:w="416" w:type="pct"/>
                  <w:tcBorders>
                    <w:top w:val="single" w:color="auto" w:sz="12" w:space="0"/>
                    <w:left w:val="single" w:color="auto" w:sz="4" w:space="0"/>
                    <w:bottom w:val="single" w:color="auto" w:sz="2" w:space="0"/>
                    <w:right w:val="single" w:color="auto" w:sz="4" w:space="0"/>
                  </w:tcBorders>
                  <w:vAlign w:val="center"/>
                </w:tcPr>
                <w:p>
                  <w:pPr>
                    <w:pStyle w:val="45"/>
                    <w:keepNext w:val="0"/>
                    <w:keepLines w:val="0"/>
                    <w:suppressLineNumbers w:val="0"/>
                    <w:adjustRightInd w:val="0"/>
                    <w:spacing w:before="0" w:beforeAutospacing="0" w:after="0" w:afterAutospacing="0"/>
                    <w:ind w:left="0" w:right="0"/>
                    <w:rPr>
                      <w:rFonts w:ascii="Times New Roman" w:hAnsi="Times New Roman" w:eastAsia="宋体" w:cs="Times New Roman"/>
                      <w:b/>
                      <w:bCs/>
                      <w:sz w:val="21"/>
                      <w:szCs w:val="21"/>
                    </w:rPr>
                  </w:pPr>
                  <w:r>
                    <w:rPr>
                      <w:rFonts w:ascii="Times New Roman" w:hAnsi="Times New Roman" w:eastAsia="宋体" w:cs="Times New Roman"/>
                      <w:b/>
                      <w:bCs/>
                      <w:sz w:val="21"/>
                      <w:szCs w:val="21"/>
                    </w:rPr>
                    <w:t>r</w:t>
                  </w:r>
                </w:p>
                <w:p>
                  <w:pPr>
                    <w:pStyle w:val="45"/>
                    <w:keepNext w:val="0"/>
                    <w:keepLines w:val="0"/>
                    <w:suppressLineNumbers w:val="0"/>
                    <w:adjustRightInd w:val="0"/>
                    <w:spacing w:before="0" w:beforeAutospacing="0" w:after="0" w:afterAutospacing="0"/>
                    <w:ind w:left="0" w:right="0"/>
                    <w:rPr>
                      <w:rFonts w:ascii="Times New Roman" w:hAnsi="Times New Roman" w:eastAsia="宋体" w:cs="Times New Roman"/>
                      <w:b/>
                      <w:bCs/>
                      <w:sz w:val="21"/>
                      <w:szCs w:val="21"/>
                    </w:rPr>
                  </w:pPr>
                  <w:r>
                    <w:rPr>
                      <w:rFonts w:ascii="Times New Roman" w:hAnsi="Times New Roman" w:eastAsia="宋体" w:cs="Times New Roman"/>
                      <w:b/>
                      <w:bCs/>
                      <w:sz w:val="21"/>
                      <w:szCs w:val="21"/>
                    </w:rPr>
                    <w:t>m</w:t>
                  </w:r>
                </w:p>
              </w:tc>
              <w:tc>
                <w:tcPr>
                  <w:tcW w:w="321" w:type="pct"/>
                  <w:tcBorders>
                    <w:top w:val="single" w:color="auto" w:sz="12" w:space="0"/>
                    <w:left w:val="single" w:color="auto" w:sz="4" w:space="0"/>
                    <w:bottom w:val="single" w:color="auto" w:sz="2" w:space="0"/>
                    <w:right w:val="single" w:color="auto" w:sz="4" w:space="0"/>
                  </w:tcBorders>
                  <w:vAlign w:val="center"/>
                </w:tcPr>
                <w:p>
                  <w:pPr>
                    <w:pStyle w:val="45"/>
                    <w:keepNext w:val="0"/>
                    <w:keepLines w:val="0"/>
                    <w:suppressLineNumbers w:val="0"/>
                    <w:adjustRightInd w:val="0"/>
                    <w:spacing w:before="0" w:beforeAutospacing="0" w:after="0" w:afterAutospacing="0"/>
                    <w:ind w:left="0" w:right="0"/>
                    <w:rPr>
                      <w:rFonts w:ascii="Times New Roman" w:hAnsi="Times New Roman" w:eastAsia="宋体" w:cs="Times New Roman"/>
                      <w:b/>
                      <w:bCs/>
                      <w:sz w:val="21"/>
                      <w:szCs w:val="21"/>
                    </w:rPr>
                  </w:pPr>
                  <w:r>
                    <w:rPr>
                      <w:rFonts w:ascii="Times New Roman" w:hAnsi="Times New Roman" w:eastAsia="宋体" w:cs="Times New Roman"/>
                      <w:b/>
                      <w:bCs/>
                      <w:sz w:val="21"/>
                      <w:szCs w:val="21"/>
                    </w:rPr>
                    <w:t>A</w:t>
                  </w:r>
                </w:p>
              </w:tc>
              <w:tc>
                <w:tcPr>
                  <w:tcW w:w="465" w:type="pct"/>
                  <w:tcBorders>
                    <w:top w:val="single" w:color="auto" w:sz="12" w:space="0"/>
                    <w:left w:val="single" w:color="auto" w:sz="4" w:space="0"/>
                    <w:bottom w:val="single" w:color="auto" w:sz="4" w:space="0"/>
                    <w:right w:val="single" w:color="auto" w:sz="4" w:space="0"/>
                  </w:tcBorders>
                  <w:vAlign w:val="center"/>
                </w:tcPr>
                <w:p>
                  <w:pPr>
                    <w:pStyle w:val="45"/>
                    <w:keepNext w:val="0"/>
                    <w:keepLines w:val="0"/>
                    <w:suppressLineNumbers w:val="0"/>
                    <w:adjustRightInd w:val="0"/>
                    <w:spacing w:before="0" w:beforeAutospacing="0" w:after="0" w:afterAutospacing="0"/>
                    <w:ind w:left="0" w:right="0"/>
                    <w:rPr>
                      <w:rFonts w:ascii="Times New Roman" w:hAnsi="Times New Roman" w:eastAsia="宋体" w:cs="Times New Roman"/>
                      <w:b/>
                      <w:bCs/>
                      <w:sz w:val="21"/>
                      <w:szCs w:val="21"/>
                    </w:rPr>
                  </w:pPr>
                  <w:r>
                    <w:rPr>
                      <w:rFonts w:ascii="Times New Roman" w:hAnsi="Times New Roman" w:eastAsia="宋体" w:cs="Times New Roman"/>
                      <w:b/>
                      <w:bCs/>
                      <w:sz w:val="21"/>
                      <w:szCs w:val="21"/>
                    </w:rPr>
                    <w:t>B</w:t>
                  </w:r>
                </w:p>
              </w:tc>
              <w:tc>
                <w:tcPr>
                  <w:tcW w:w="402" w:type="pct"/>
                  <w:tcBorders>
                    <w:top w:val="single" w:color="auto" w:sz="12" w:space="0"/>
                    <w:left w:val="single" w:color="auto" w:sz="4" w:space="0"/>
                    <w:bottom w:val="single" w:color="auto" w:sz="4" w:space="0"/>
                    <w:right w:val="single" w:color="auto" w:sz="4" w:space="0"/>
                  </w:tcBorders>
                  <w:vAlign w:val="center"/>
                </w:tcPr>
                <w:p>
                  <w:pPr>
                    <w:pStyle w:val="45"/>
                    <w:keepNext w:val="0"/>
                    <w:keepLines w:val="0"/>
                    <w:suppressLineNumbers w:val="0"/>
                    <w:adjustRightInd w:val="0"/>
                    <w:spacing w:before="0" w:beforeAutospacing="0" w:after="0" w:afterAutospacing="0"/>
                    <w:ind w:left="0" w:right="0"/>
                    <w:rPr>
                      <w:rFonts w:ascii="Times New Roman" w:hAnsi="Times New Roman" w:eastAsia="宋体" w:cs="Times New Roman"/>
                      <w:b/>
                      <w:bCs/>
                      <w:sz w:val="21"/>
                      <w:szCs w:val="21"/>
                    </w:rPr>
                  </w:pPr>
                  <w:r>
                    <w:rPr>
                      <w:rFonts w:ascii="Times New Roman" w:hAnsi="Times New Roman" w:eastAsia="宋体" w:cs="Times New Roman"/>
                      <w:b/>
                      <w:bCs/>
                      <w:sz w:val="21"/>
                      <w:szCs w:val="21"/>
                    </w:rPr>
                    <w:t>C</w:t>
                  </w:r>
                </w:p>
              </w:tc>
              <w:tc>
                <w:tcPr>
                  <w:tcW w:w="389" w:type="pct"/>
                  <w:tcBorders>
                    <w:top w:val="single" w:color="auto" w:sz="12" w:space="0"/>
                    <w:left w:val="single" w:color="auto" w:sz="4" w:space="0"/>
                    <w:bottom w:val="single" w:color="auto" w:sz="4" w:space="0"/>
                    <w:right w:val="single" w:color="auto" w:sz="4" w:space="0"/>
                  </w:tcBorders>
                  <w:vAlign w:val="center"/>
                </w:tcPr>
                <w:p>
                  <w:pPr>
                    <w:pStyle w:val="45"/>
                    <w:keepNext w:val="0"/>
                    <w:keepLines w:val="0"/>
                    <w:suppressLineNumbers w:val="0"/>
                    <w:adjustRightInd w:val="0"/>
                    <w:spacing w:before="0" w:beforeAutospacing="0" w:after="0" w:afterAutospacing="0"/>
                    <w:ind w:left="0" w:right="0"/>
                    <w:rPr>
                      <w:rFonts w:ascii="Times New Roman" w:hAnsi="Times New Roman" w:eastAsia="宋体" w:cs="Times New Roman"/>
                      <w:b/>
                      <w:bCs/>
                      <w:sz w:val="21"/>
                      <w:szCs w:val="21"/>
                    </w:rPr>
                  </w:pPr>
                  <w:r>
                    <w:rPr>
                      <w:rFonts w:ascii="Times New Roman" w:hAnsi="Times New Roman" w:eastAsia="宋体" w:cs="Times New Roman"/>
                      <w:b/>
                      <w:bCs/>
                      <w:sz w:val="21"/>
                      <w:szCs w:val="21"/>
                    </w:rPr>
                    <w:t>D</w:t>
                  </w:r>
                </w:p>
              </w:tc>
              <w:tc>
                <w:tcPr>
                  <w:tcW w:w="465" w:type="pct"/>
                  <w:tcBorders>
                    <w:top w:val="single" w:color="auto" w:sz="12" w:space="0"/>
                    <w:left w:val="single" w:color="auto" w:sz="4" w:space="0"/>
                    <w:bottom w:val="single" w:color="auto" w:sz="4" w:space="0"/>
                    <w:right w:val="single" w:color="auto" w:sz="4" w:space="0"/>
                  </w:tcBorders>
                  <w:vAlign w:val="center"/>
                </w:tcPr>
                <w:p>
                  <w:pPr>
                    <w:pStyle w:val="45"/>
                    <w:keepNext w:val="0"/>
                    <w:keepLines w:val="0"/>
                    <w:suppressLineNumbers w:val="0"/>
                    <w:adjustRightInd w:val="0"/>
                    <w:spacing w:before="0" w:beforeAutospacing="0" w:after="0" w:afterAutospacing="0"/>
                    <w:ind w:left="0" w:right="0"/>
                    <w:rPr>
                      <w:rFonts w:ascii="Times New Roman" w:hAnsi="Times New Roman" w:eastAsia="宋体" w:cs="Times New Roman"/>
                      <w:b/>
                      <w:bCs/>
                      <w:sz w:val="21"/>
                      <w:szCs w:val="21"/>
                    </w:rPr>
                  </w:pPr>
                  <w:r>
                    <w:rPr>
                      <w:rFonts w:ascii="Times New Roman" w:hAnsi="Times New Roman" w:eastAsia="宋体" w:cs="Times New Roman"/>
                      <w:b/>
                      <w:bCs/>
                      <w:sz w:val="21"/>
                      <w:szCs w:val="21"/>
                    </w:rPr>
                    <w:t>C</w:t>
                  </w:r>
                  <w:r>
                    <w:rPr>
                      <w:rFonts w:ascii="Times New Roman" w:hAnsi="Times New Roman" w:eastAsia="宋体" w:cs="Times New Roman"/>
                      <w:b/>
                      <w:bCs/>
                      <w:sz w:val="21"/>
                      <w:szCs w:val="21"/>
                      <w:vertAlign w:val="subscript"/>
                    </w:rPr>
                    <w:t>m</w:t>
                  </w:r>
                </w:p>
                <w:p>
                  <w:pPr>
                    <w:pStyle w:val="45"/>
                    <w:keepNext w:val="0"/>
                    <w:keepLines w:val="0"/>
                    <w:suppressLineNumbers w:val="0"/>
                    <w:adjustRightInd w:val="0"/>
                    <w:spacing w:before="0" w:beforeAutospacing="0" w:after="0" w:afterAutospacing="0"/>
                    <w:ind w:left="0" w:right="0"/>
                    <w:rPr>
                      <w:rFonts w:ascii="Times New Roman" w:hAnsi="Times New Roman" w:eastAsia="宋体" w:cs="Times New Roman"/>
                      <w:b/>
                      <w:bCs/>
                      <w:sz w:val="21"/>
                      <w:szCs w:val="21"/>
                    </w:rPr>
                  </w:pPr>
                  <w:r>
                    <w:rPr>
                      <w:rFonts w:ascii="Times New Roman" w:hAnsi="Times New Roman" w:eastAsia="宋体" w:cs="Times New Roman"/>
                      <w:b/>
                      <w:bCs/>
                      <w:sz w:val="21"/>
                      <w:szCs w:val="21"/>
                    </w:rPr>
                    <w:t>mg/m</w:t>
                  </w:r>
                  <w:r>
                    <w:rPr>
                      <w:rFonts w:ascii="Times New Roman" w:hAnsi="Times New Roman" w:eastAsia="宋体" w:cs="Times New Roman"/>
                      <w:b/>
                      <w:bCs/>
                      <w:sz w:val="21"/>
                      <w:szCs w:val="21"/>
                      <w:vertAlign w:val="superscript"/>
                    </w:rPr>
                    <w:t>3</w:t>
                  </w:r>
                </w:p>
              </w:tc>
              <w:tc>
                <w:tcPr>
                  <w:tcW w:w="490" w:type="pct"/>
                  <w:tcBorders>
                    <w:top w:val="single" w:color="auto" w:sz="12" w:space="0"/>
                    <w:left w:val="single" w:color="auto" w:sz="4" w:space="0"/>
                    <w:bottom w:val="single" w:color="auto" w:sz="4" w:space="0"/>
                    <w:right w:val="single" w:color="auto" w:sz="4" w:space="0"/>
                  </w:tcBorders>
                  <w:vAlign w:val="center"/>
                </w:tcPr>
                <w:p>
                  <w:pPr>
                    <w:pStyle w:val="45"/>
                    <w:keepNext w:val="0"/>
                    <w:keepLines w:val="0"/>
                    <w:suppressLineNumbers w:val="0"/>
                    <w:adjustRightInd w:val="0"/>
                    <w:spacing w:before="0" w:beforeAutospacing="0" w:after="0" w:afterAutospacing="0"/>
                    <w:ind w:left="0" w:right="0"/>
                    <w:rPr>
                      <w:rFonts w:ascii="Times New Roman" w:hAnsi="Times New Roman" w:eastAsia="宋体" w:cs="Times New Roman"/>
                      <w:b/>
                      <w:bCs/>
                      <w:sz w:val="21"/>
                      <w:szCs w:val="21"/>
                    </w:rPr>
                  </w:pPr>
                  <w:r>
                    <w:rPr>
                      <w:rFonts w:ascii="Times New Roman" w:hAnsi="Times New Roman" w:eastAsia="宋体" w:cs="Times New Roman"/>
                      <w:b/>
                      <w:bCs/>
                      <w:sz w:val="21"/>
                      <w:szCs w:val="21"/>
                    </w:rPr>
                    <w:t>L</w:t>
                  </w:r>
                  <w:r>
                    <w:rPr>
                      <w:rFonts w:ascii="Times New Roman" w:hAnsi="Times New Roman" w:eastAsia="宋体" w:cs="Times New Roman"/>
                      <w:b/>
                      <w:bCs/>
                      <w:sz w:val="21"/>
                      <w:szCs w:val="21"/>
                      <w:vertAlign w:val="subscript"/>
                    </w:rPr>
                    <w:t>计算</w:t>
                  </w:r>
                </w:p>
                <w:p>
                  <w:pPr>
                    <w:pStyle w:val="45"/>
                    <w:keepNext w:val="0"/>
                    <w:keepLines w:val="0"/>
                    <w:suppressLineNumbers w:val="0"/>
                    <w:adjustRightInd w:val="0"/>
                    <w:spacing w:before="0" w:beforeAutospacing="0" w:after="0" w:afterAutospacing="0"/>
                    <w:ind w:left="0" w:right="0"/>
                    <w:rPr>
                      <w:rFonts w:ascii="Times New Roman" w:hAnsi="Times New Roman" w:eastAsia="宋体" w:cs="Times New Roman"/>
                      <w:b/>
                      <w:bCs/>
                      <w:sz w:val="21"/>
                      <w:szCs w:val="21"/>
                    </w:rPr>
                  </w:pPr>
                  <w:r>
                    <w:rPr>
                      <w:rFonts w:ascii="Times New Roman" w:hAnsi="Times New Roman" w:eastAsia="宋体" w:cs="Times New Roman"/>
                      <w:b/>
                      <w:bCs/>
                      <w:sz w:val="21"/>
                      <w:szCs w:val="21"/>
                    </w:rPr>
                    <w:t>m</w:t>
                  </w:r>
                </w:p>
              </w:tc>
              <w:tc>
                <w:tcPr>
                  <w:tcW w:w="340" w:type="pct"/>
                  <w:tcBorders>
                    <w:top w:val="single" w:color="auto" w:sz="12" w:space="0"/>
                    <w:left w:val="single" w:color="auto" w:sz="4" w:space="0"/>
                    <w:bottom w:val="single" w:color="auto" w:sz="4" w:space="0"/>
                    <w:right w:val="nil"/>
                  </w:tcBorders>
                  <w:vAlign w:val="center"/>
                </w:tcPr>
                <w:p>
                  <w:pPr>
                    <w:pStyle w:val="45"/>
                    <w:keepNext w:val="0"/>
                    <w:keepLines w:val="0"/>
                    <w:suppressLineNumbers w:val="0"/>
                    <w:adjustRightInd w:val="0"/>
                    <w:spacing w:before="0" w:beforeAutospacing="0" w:after="0" w:afterAutospacing="0"/>
                    <w:ind w:left="0" w:right="0"/>
                    <w:rPr>
                      <w:rFonts w:ascii="Times New Roman" w:hAnsi="Times New Roman" w:eastAsia="宋体" w:cs="Times New Roman"/>
                      <w:b/>
                      <w:bCs/>
                      <w:sz w:val="21"/>
                      <w:szCs w:val="21"/>
                    </w:rPr>
                  </w:pPr>
                  <w:r>
                    <w:rPr>
                      <w:rFonts w:ascii="Times New Roman" w:hAnsi="Times New Roman" w:eastAsia="宋体" w:cs="Times New Roman"/>
                      <w:b/>
                      <w:bCs/>
                      <w:sz w:val="21"/>
                      <w:szCs w:val="21"/>
                    </w:rPr>
                    <w:t>L</w:t>
                  </w:r>
                </w:p>
                <w:p>
                  <w:pPr>
                    <w:keepNext w:val="0"/>
                    <w:keepLines w:val="0"/>
                    <w:suppressLineNumbers w:val="0"/>
                    <w:adjustRightInd w:val="0"/>
                    <w:snapToGrid w:val="0"/>
                    <w:spacing w:before="0" w:beforeAutospacing="0" w:after="0" w:afterAutospacing="0"/>
                    <w:ind w:left="0" w:right="0"/>
                    <w:jc w:val="center"/>
                    <w:rPr>
                      <w:b/>
                      <w:bCs/>
                      <w:szCs w:val="21"/>
                    </w:rPr>
                  </w:pPr>
                  <w:r>
                    <w:rPr>
                      <w:b/>
                      <w:bCs/>
                    </w:rPr>
                    <w:t>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74" w:type="pct"/>
                  <w:vMerge w:val="restart"/>
                  <w:tcBorders>
                    <w:top w:val="single" w:color="auto" w:sz="4" w:space="0"/>
                    <w:left w:val="nil"/>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rPr>
                    <w:t>涂</w:t>
                  </w:r>
                  <w:r>
                    <w:rPr>
                      <w:rFonts w:hint="eastAsia"/>
                      <w:lang w:eastAsia="zh-CN"/>
                    </w:rPr>
                    <w:t>敷</w:t>
                  </w:r>
                  <w:r>
                    <w:rPr>
                      <w:rFonts w:hint="eastAsia"/>
                    </w:rPr>
                    <w:t>注塑车间</w:t>
                  </w:r>
                </w:p>
              </w:tc>
              <w:tc>
                <w:tcPr>
                  <w:tcW w:w="673"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非甲烷总烃</w:t>
                  </w:r>
                </w:p>
              </w:tc>
              <w:tc>
                <w:tcPr>
                  <w:tcW w:w="565" w:type="pct"/>
                  <w:tcBorders>
                    <w:top w:val="single" w:color="auto" w:sz="2" w:space="0"/>
                    <w:left w:val="single" w:color="auto" w:sz="4" w:space="0"/>
                    <w:bottom w:val="single" w:color="auto" w:sz="2"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rFonts w:hint="eastAsia"/>
                      <w:szCs w:val="21"/>
                    </w:rPr>
                    <w:t>0.0</w:t>
                  </w:r>
                  <w:r>
                    <w:rPr>
                      <w:rFonts w:hint="eastAsia"/>
                      <w:szCs w:val="21"/>
                      <w:lang w:val="en-US" w:eastAsia="zh-CN"/>
                    </w:rPr>
                    <w:t>206</w:t>
                  </w:r>
                </w:p>
              </w:tc>
              <w:tc>
                <w:tcPr>
                  <w:tcW w:w="416" w:type="pct"/>
                  <w:vMerge w:val="restart"/>
                  <w:tcBorders>
                    <w:top w:val="nil"/>
                    <w:left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hint="default" w:ascii="Times New Roman" w:hAnsi="Times New Roman" w:eastAsia="宋体"/>
                      <w:lang w:val="en-US" w:eastAsia="zh-CN"/>
                    </w:rPr>
                  </w:pPr>
                  <w:r>
                    <w:rPr>
                      <w:rFonts w:hint="eastAsia" w:ascii="Times New Roman" w:hAnsi="Times New Roman"/>
                      <w:lang w:val="en-US" w:eastAsia="zh-CN"/>
                    </w:rPr>
                    <w:t>16.9</w:t>
                  </w:r>
                </w:p>
              </w:tc>
              <w:tc>
                <w:tcPr>
                  <w:tcW w:w="321" w:type="pct"/>
                  <w:tcBorders>
                    <w:top w:val="single" w:color="auto" w:sz="2" w:space="0"/>
                    <w:left w:val="single" w:color="auto" w:sz="4" w:space="0"/>
                    <w:bottom w:val="single" w:color="auto" w:sz="2"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r>
                    <w:rPr>
                      <w:rFonts w:ascii="Times New Roman" w:hAnsi="Times New Roman"/>
                    </w:rPr>
                    <w:t>470</w:t>
                  </w:r>
                </w:p>
              </w:tc>
              <w:tc>
                <w:tcPr>
                  <w:tcW w:w="465" w:type="pct"/>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r>
                    <w:rPr>
                      <w:rFonts w:ascii="Times New Roman" w:hAnsi="Times New Roman"/>
                    </w:rPr>
                    <w:t>0.021</w:t>
                  </w:r>
                </w:p>
              </w:tc>
              <w:tc>
                <w:tcPr>
                  <w:tcW w:w="402" w:type="pct"/>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r>
                    <w:rPr>
                      <w:rFonts w:ascii="Times New Roman" w:hAnsi="Times New Roman"/>
                    </w:rPr>
                    <w:t>1.85</w:t>
                  </w:r>
                </w:p>
              </w:tc>
              <w:tc>
                <w:tcPr>
                  <w:tcW w:w="389" w:type="pct"/>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r>
                    <w:rPr>
                      <w:rFonts w:ascii="Times New Roman" w:hAnsi="Times New Roman"/>
                    </w:rPr>
                    <w:t>0.84</w:t>
                  </w:r>
                </w:p>
              </w:tc>
              <w:tc>
                <w:tcPr>
                  <w:tcW w:w="465" w:type="pct"/>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color w:val="000000"/>
                    </w:rPr>
                  </w:pPr>
                  <w:r>
                    <w:rPr>
                      <w:rFonts w:ascii="Times New Roman" w:hAnsi="Times New Roman"/>
                      <w:color w:val="000000"/>
                    </w:rPr>
                    <w:t>2.0</w:t>
                  </w:r>
                </w:p>
              </w:tc>
              <w:tc>
                <w:tcPr>
                  <w:tcW w:w="490"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eastAsia="宋体"/>
                      <w:color w:val="000000"/>
                      <w:szCs w:val="21"/>
                      <w:lang w:val="en-US" w:eastAsia="zh-CN"/>
                    </w:rPr>
                  </w:pPr>
                  <w:r>
                    <w:rPr>
                      <w:rFonts w:hint="eastAsia"/>
                      <w:color w:val="000000"/>
                      <w:szCs w:val="21"/>
                    </w:rPr>
                    <w:t>0.</w:t>
                  </w:r>
                  <w:r>
                    <w:rPr>
                      <w:rFonts w:hint="eastAsia"/>
                      <w:color w:val="000000"/>
                      <w:szCs w:val="21"/>
                      <w:lang w:val="en-US" w:eastAsia="zh-CN"/>
                    </w:rPr>
                    <w:t>826</w:t>
                  </w:r>
                </w:p>
              </w:tc>
              <w:tc>
                <w:tcPr>
                  <w:tcW w:w="340" w:type="pct"/>
                  <w:vMerge w:val="restart"/>
                  <w:tcBorders>
                    <w:top w:val="single" w:color="auto" w:sz="4" w:space="0"/>
                    <w:left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74" w:type="pct"/>
                  <w:vMerge w:val="continue"/>
                  <w:tcBorders>
                    <w:left w:val="nil"/>
                    <w:bottom w:val="single" w:color="auto" w:sz="12"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p>
              </w:tc>
              <w:tc>
                <w:tcPr>
                  <w:tcW w:w="673" w:type="pct"/>
                  <w:tcBorders>
                    <w:top w:val="single" w:color="auto" w:sz="4" w:space="0"/>
                    <w:left w:val="single" w:color="auto" w:sz="4" w:space="0"/>
                    <w:bottom w:val="single" w:color="auto" w:sz="12"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颗粒物</w:t>
                  </w:r>
                </w:p>
              </w:tc>
              <w:tc>
                <w:tcPr>
                  <w:tcW w:w="565" w:type="pct"/>
                  <w:tcBorders>
                    <w:top w:val="single" w:color="auto" w:sz="2" w:space="0"/>
                    <w:left w:val="single" w:color="auto" w:sz="4" w:space="0"/>
                    <w:bottom w:val="single" w:color="auto" w:sz="12"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eastAsia="宋体"/>
                      <w:lang w:val="en-US" w:eastAsia="zh-CN"/>
                    </w:rPr>
                  </w:pPr>
                  <w:r>
                    <w:rPr>
                      <w:rFonts w:hint="eastAsia"/>
                      <w:szCs w:val="21"/>
                    </w:rPr>
                    <w:t>0.0</w:t>
                  </w:r>
                  <w:r>
                    <w:rPr>
                      <w:rFonts w:hint="eastAsia"/>
                      <w:szCs w:val="21"/>
                      <w:lang w:val="en-US" w:eastAsia="zh-CN"/>
                    </w:rPr>
                    <w:t>3352</w:t>
                  </w:r>
                </w:p>
              </w:tc>
              <w:tc>
                <w:tcPr>
                  <w:tcW w:w="416" w:type="pct"/>
                  <w:vMerge w:val="continue"/>
                  <w:tcBorders>
                    <w:left w:val="single" w:color="auto" w:sz="4" w:space="0"/>
                    <w:bottom w:val="single" w:color="auto" w:sz="12"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rPr>
                      <w:rFonts w:ascii="Times New Roman" w:hAnsi="Times New Roman"/>
                    </w:rPr>
                  </w:pPr>
                </w:p>
              </w:tc>
              <w:tc>
                <w:tcPr>
                  <w:tcW w:w="321" w:type="pct"/>
                  <w:tcBorders>
                    <w:top w:val="single" w:color="auto" w:sz="2" w:space="0"/>
                    <w:left w:val="single" w:color="auto" w:sz="4" w:space="0"/>
                    <w:bottom w:val="single" w:color="auto" w:sz="12"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r>
                    <w:rPr>
                      <w:rFonts w:ascii="Times New Roman" w:hAnsi="Times New Roman"/>
                    </w:rPr>
                    <w:t>470</w:t>
                  </w:r>
                </w:p>
              </w:tc>
              <w:tc>
                <w:tcPr>
                  <w:tcW w:w="465" w:type="pct"/>
                  <w:tcBorders>
                    <w:top w:val="single" w:color="auto" w:sz="4" w:space="0"/>
                    <w:left w:val="single" w:color="auto" w:sz="4" w:space="0"/>
                    <w:bottom w:val="single" w:color="auto" w:sz="12"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r>
                    <w:rPr>
                      <w:rFonts w:ascii="Times New Roman" w:hAnsi="Times New Roman"/>
                    </w:rPr>
                    <w:t>0.021</w:t>
                  </w:r>
                </w:p>
              </w:tc>
              <w:tc>
                <w:tcPr>
                  <w:tcW w:w="402" w:type="pct"/>
                  <w:tcBorders>
                    <w:top w:val="single" w:color="auto" w:sz="4" w:space="0"/>
                    <w:left w:val="single" w:color="auto" w:sz="4" w:space="0"/>
                    <w:bottom w:val="single" w:color="auto" w:sz="12"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r>
                    <w:rPr>
                      <w:rFonts w:ascii="Times New Roman" w:hAnsi="Times New Roman"/>
                    </w:rPr>
                    <w:t>1.85</w:t>
                  </w:r>
                </w:p>
              </w:tc>
              <w:tc>
                <w:tcPr>
                  <w:tcW w:w="389" w:type="pct"/>
                  <w:tcBorders>
                    <w:top w:val="single" w:color="auto" w:sz="4" w:space="0"/>
                    <w:left w:val="single" w:color="auto" w:sz="4" w:space="0"/>
                    <w:bottom w:val="single" w:color="auto" w:sz="12"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r>
                    <w:rPr>
                      <w:rFonts w:ascii="Times New Roman" w:hAnsi="Times New Roman"/>
                    </w:rPr>
                    <w:t>0.84</w:t>
                  </w:r>
                </w:p>
              </w:tc>
              <w:tc>
                <w:tcPr>
                  <w:tcW w:w="465" w:type="pct"/>
                  <w:tcBorders>
                    <w:top w:val="single" w:color="auto" w:sz="4" w:space="0"/>
                    <w:left w:val="single" w:color="auto" w:sz="4" w:space="0"/>
                    <w:bottom w:val="single" w:color="auto" w:sz="12"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color w:val="000000"/>
                    </w:rPr>
                  </w:pPr>
                  <w:r>
                    <w:rPr>
                      <w:rFonts w:hint="eastAsia" w:ascii="Times New Roman" w:hAnsi="Times New Roman"/>
                      <w:color w:val="000000"/>
                    </w:rPr>
                    <w:t>0.9</w:t>
                  </w:r>
                </w:p>
              </w:tc>
              <w:tc>
                <w:tcPr>
                  <w:tcW w:w="490" w:type="pct"/>
                  <w:tcBorders>
                    <w:top w:val="single" w:color="auto" w:sz="4" w:space="0"/>
                    <w:left w:val="single" w:color="auto" w:sz="4" w:space="0"/>
                    <w:bottom w:val="single" w:color="auto" w:sz="12"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eastAsia="宋体"/>
                      <w:color w:val="000000"/>
                      <w:szCs w:val="21"/>
                      <w:lang w:val="en-US" w:eastAsia="zh-CN"/>
                    </w:rPr>
                  </w:pPr>
                  <w:r>
                    <w:rPr>
                      <w:rFonts w:hint="eastAsia"/>
                      <w:color w:val="000000"/>
                      <w:szCs w:val="21"/>
                      <w:lang w:val="en-US" w:eastAsia="zh-CN"/>
                    </w:rPr>
                    <w:t>3.809</w:t>
                  </w:r>
                </w:p>
              </w:tc>
              <w:tc>
                <w:tcPr>
                  <w:tcW w:w="340" w:type="pct"/>
                  <w:vMerge w:val="continue"/>
                  <w:tcBorders>
                    <w:left w:val="single" w:color="auto" w:sz="4" w:space="0"/>
                    <w:bottom w:val="single" w:color="auto" w:sz="12" w:space="0"/>
                    <w:right w:val="nil"/>
                  </w:tcBorders>
                  <w:vAlign w:val="center"/>
                </w:tcPr>
                <w:p>
                  <w:pPr>
                    <w:keepNext w:val="0"/>
                    <w:keepLines w:val="0"/>
                    <w:suppressLineNumbers w:val="0"/>
                    <w:adjustRightInd w:val="0"/>
                    <w:snapToGrid w:val="0"/>
                    <w:spacing w:before="0" w:beforeAutospacing="0" w:after="0" w:afterAutospacing="0"/>
                    <w:ind w:left="0" w:right="0"/>
                    <w:jc w:val="center"/>
                  </w:pPr>
                </w:p>
              </w:tc>
            </w:tr>
          </w:tbl>
          <w:p>
            <w:pPr>
              <w:keepNext w:val="0"/>
              <w:keepLines w:val="0"/>
              <w:suppressLineNumbers w:val="0"/>
              <w:snapToGrid w:val="0"/>
              <w:spacing w:before="0" w:beforeAutospacing="0" w:after="0" w:afterAutospacing="0" w:line="360" w:lineRule="auto"/>
              <w:ind w:left="0" w:right="0" w:firstLine="480" w:firstLineChars="200"/>
              <w:rPr>
                <w:rFonts w:hAnsi="宋体"/>
                <w:sz w:val="24"/>
              </w:rPr>
            </w:pPr>
            <w:r>
              <w:rPr>
                <w:sz w:val="24"/>
              </w:rPr>
              <w:t>由上表可知，本项目生产车间产生的各种污染物的卫生防护距离计算结果均小于50米。</w:t>
            </w:r>
            <w:r>
              <w:rPr>
                <w:rFonts w:hAnsi="宋体"/>
                <w:sz w:val="24"/>
              </w:rPr>
              <w:t>《大气有害物质无组织排放卫生防护距离推导技术导则》</w:t>
            </w:r>
            <w:r>
              <w:rPr>
                <w:sz w:val="24"/>
              </w:rPr>
              <w:t>(GB/T39499-2020)6.1</w:t>
            </w:r>
            <w:r>
              <w:rPr>
                <w:rFonts w:hAnsi="宋体"/>
                <w:sz w:val="24"/>
              </w:rPr>
              <w:t>规定：卫生防护距离初值小于</w:t>
            </w:r>
            <w:r>
              <w:rPr>
                <w:sz w:val="24"/>
              </w:rPr>
              <w:t>50m</w:t>
            </w:r>
            <w:r>
              <w:rPr>
                <w:rFonts w:hAnsi="宋体"/>
                <w:sz w:val="24"/>
              </w:rPr>
              <w:t>时，级差为</w:t>
            </w:r>
            <w:r>
              <w:rPr>
                <w:sz w:val="24"/>
              </w:rPr>
              <w:t>50m</w:t>
            </w:r>
            <w:r>
              <w:rPr>
                <w:rFonts w:hAnsi="宋体"/>
                <w:sz w:val="24"/>
              </w:rPr>
              <w:t>。</w:t>
            </w:r>
            <w:r>
              <w:rPr>
                <w:sz w:val="24"/>
              </w:rPr>
              <w:t>6.2</w:t>
            </w:r>
            <w:r>
              <w:rPr>
                <w:rFonts w:hAnsi="宋体"/>
                <w:sz w:val="24"/>
              </w:rPr>
              <w:t>规定：当企业某生产单元的无组织排放存在多种特征大气有害物质时，如果分别推导出的卫生防护距离初值在同一级别时，则该企业的卫生防护距离终值应提高一级；卫生防护距离初值不在同一级别的，以卫生防护距离终值较大者为准。</w:t>
            </w:r>
          </w:p>
          <w:p>
            <w:pPr>
              <w:keepNext w:val="0"/>
              <w:keepLines w:val="0"/>
              <w:suppressLineNumbers w:val="0"/>
              <w:snapToGrid w:val="0"/>
              <w:spacing w:before="0" w:beforeAutospacing="0" w:after="0" w:afterAutospacing="0" w:line="360" w:lineRule="auto"/>
              <w:ind w:left="0" w:right="0" w:firstLine="480" w:firstLineChars="200"/>
              <w:rPr>
                <w:rFonts w:hAnsi="宋体"/>
                <w:bCs/>
                <w:sz w:val="24"/>
              </w:rPr>
            </w:pPr>
            <w:r>
              <w:rPr>
                <w:rFonts w:hAnsi="宋体"/>
                <w:bCs/>
                <w:sz w:val="24"/>
              </w:rPr>
              <w:t>故本项目以</w:t>
            </w:r>
            <w:r>
              <w:rPr>
                <w:rFonts w:hint="eastAsia"/>
                <w:sz w:val="24"/>
              </w:rPr>
              <w:t>涂</w:t>
            </w:r>
            <w:r>
              <w:rPr>
                <w:rFonts w:hint="eastAsia"/>
                <w:sz w:val="24"/>
                <w:lang w:eastAsia="zh-CN"/>
              </w:rPr>
              <w:t>敷</w:t>
            </w:r>
            <w:r>
              <w:rPr>
                <w:rFonts w:hint="eastAsia"/>
                <w:sz w:val="24"/>
              </w:rPr>
              <w:t>注塑车间</w:t>
            </w:r>
            <w:r>
              <w:rPr>
                <w:rFonts w:hAnsi="宋体"/>
                <w:bCs/>
                <w:sz w:val="24"/>
              </w:rPr>
              <w:t>为边界设置</w:t>
            </w:r>
            <w:r>
              <w:rPr>
                <w:rFonts w:hint="eastAsia"/>
                <w:bCs/>
                <w:sz w:val="24"/>
              </w:rPr>
              <w:t>100</w:t>
            </w:r>
            <w:r>
              <w:rPr>
                <w:rFonts w:hAnsi="宋体"/>
                <w:bCs/>
                <w:sz w:val="24"/>
              </w:rPr>
              <w:t>米的卫生防护距离</w:t>
            </w:r>
            <w:r>
              <w:rPr>
                <w:rFonts w:hint="eastAsia" w:hAnsi="宋体"/>
                <w:bCs/>
                <w:sz w:val="24"/>
              </w:rPr>
              <w:t>。</w:t>
            </w:r>
            <w:r>
              <w:rPr>
                <w:rFonts w:hint="eastAsia"/>
                <w:sz w:val="24"/>
              </w:rPr>
              <w:t>本项目涂</w:t>
            </w:r>
            <w:r>
              <w:rPr>
                <w:rFonts w:hint="eastAsia"/>
                <w:sz w:val="24"/>
                <w:lang w:eastAsia="zh-CN"/>
              </w:rPr>
              <w:t>敷</w:t>
            </w:r>
            <w:r>
              <w:rPr>
                <w:rFonts w:hint="eastAsia"/>
                <w:sz w:val="24"/>
              </w:rPr>
              <w:t>注塑车间距离</w:t>
            </w:r>
            <w:r>
              <w:rPr>
                <w:sz w:val="24"/>
              </w:rPr>
              <w:t>最近的敏感点（</w:t>
            </w:r>
            <w:r>
              <w:rPr>
                <w:rFonts w:hint="eastAsia"/>
                <w:sz w:val="24"/>
              </w:rPr>
              <w:t>支家头</w:t>
            </w:r>
            <w:r>
              <w:rPr>
                <w:sz w:val="24"/>
              </w:rPr>
              <w:t>）</w:t>
            </w:r>
            <w:r>
              <w:rPr>
                <w:rFonts w:hint="eastAsia"/>
                <w:sz w:val="24"/>
              </w:rPr>
              <w:t>的距离为</w:t>
            </w:r>
            <w:r>
              <w:rPr>
                <w:sz w:val="24"/>
              </w:rPr>
              <w:t>1</w:t>
            </w:r>
            <w:r>
              <w:rPr>
                <w:rFonts w:hint="eastAsia"/>
                <w:sz w:val="24"/>
              </w:rPr>
              <w:t>08</w:t>
            </w:r>
            <w:r>
              <w:rPr>
                <w:sz w:val="24"/>
              </w:rPr>
              <w:t>米，因此，本项目卫生防护距离内无居民等敏感点，满足卫生防护距离设置的要求，且卫生防护距离内不</w:t>
            </w:r>
            <w:r>
              <w:rPr>
                <w:rFonts w:hint="eastAsia"/>
                <w:sz w:val="24"/>
              </w:rPr>
              <w:t>再</w:t>
            </w:r>
            <w:r>
              <w:rPr>
                <w:sz w:val="24"/>
              </w:rPr>
              <w:t>建设敏感点。</w:t>
            </w:r>
          </w:p>
          <w:p>
            <w:pPr>
              <w:keepNext w:val="0"/>
              <w:keepLines w:val="0"/>
              <w:suppressLineNumbers w:val="0"/>
              <w:adjustRightInd w:val="0"/>
              <w:snapToGrid w:val="0"/>
              <w:spacing w:before="0" w:beforeAutospacing="0" w:after="0" w:afterAutospacing="0" w:line="360" w:lineRule="auto"/>
              <w:ind w:left="0" w:right="0" w:firstLine="482" w:firstLineChars="200"/>
              <w:rPr>
                <w:b/>
                <w:bCs/>
                <w:sz w:val="24"/>
              </w:rPr>
            </w:pPr>
            <w:r>
              <w:rPr>
                <w:rFonts w:hint="eastAsia"/>
                <w:b/>
                <w:bCs/>
                <w:sz w:val="24"/>
              </w:rPr>
              <w:t>（4）非正常工况废气污染物源强分析</w:t>
            </w:r>
          </w:p>
          <w:p>
            <w:pPr>
              <w:keepNext w:val="0"/>
              <w:keepLines w:val="0"/>
              <w:suppressLineNumbers w:val="0"/>
              <w:spacing w:before="0" w:beforeAutospacing="0" w:after="0" w:afterAutospacing="0" w:line="360" w:lineRule="auto"/>
              <w:ind w:left="0" w:right="0" w:firstLine="480" w:firstLineChars="200"/>
              <w:rPr>
                <w:rFonts w:ascii="宋体" w:hAnsi="宋体"/>
                <w:sz w:val="24"/>
              </w:rPr>
            </w:pPr>
            <w:r>
              <w:rPr>
                <w:rFonts w:hint="eastAsia" w:ascii="宋体" w:hAnsi="宋体"/>
                <w:sz w:val="24"/>
              </w:rPr>
              <w:t>在分析本项目生产工艺的基础上可知，本项目非正常工况主要有以</w:t>
            </w:r>
            <w:r>
              <w:rPr>
                <w:sz w:val="24"/>
              </w:rPr>
              <w:t>下2类：</w:t>
            </w:r>
          </w:p>
          <w:p>
            <w:pPr>
              <w:keepNext w:val="0"/>
              <w:keepLines w:val="0"/>
              <w:suppressLineNumbers w:val="0"/>
              <w:adjustRightInd w:val="0"/>
              <w:snapToGrid w:val="0"/>
              <w:spacing w:before="0" w:beforeAutospacing="0" w:after="0" w:afterAutospacing="0" w:line="360" w:lineRule="auto"/>
              <w:ind w:left="0" w:right="0" w:firstLine="480" w:firstLineChars="200"/>
              <w:rPr>
                <w:rFonts w:ascii="宋体" w:hAnsi="宋体"/>
                <w:sz w:val="24"/>
              </w:rPr>
            </w:pPr>
            <w:r>
              <w:rPr>
                <w:sz w:val="24"/>
              </w:rPr>
              <w:t>1）</w:t>
            </w:r>
            <w:r>
              <w:rPr>
                <w:rFonts w:hint="eastAsia" w:ascii="宋体" w:hAnsi="宋体"/>
                <w:sz w:val="24"/>
              </w:rPr>
              <w:t>污染防治措施及装置出现故障</w:t>
            </w:r>
          </w:p>
          <w:p>
            <w:pPr>
              <w:keepNext w:val="0"/>
              <w:keepLines w:val="0"/>
              <w:suppressLineNumbers w:val="0"/>
              <w:snapToGrid w:val="0"/>
              <w:spacing w:before="0" w:beforeAutospacing="0" w:after="0" w:afterAutospacing="0" w:line="360" w:lineRule="auto"/>
              <w:ind w:left="0" w:right="0" w:firstLine="480" w:firstLineChars="200"/>
              <w:rPr>
                <w:bCs/>
                <w:sz w:val="24"/>
              </w:rPr>
            </w:pPr>
            <w:r>
              <w:rPr>
                <w:bCs/>
                <w:sz w:val="24"/>
              </w:rPr>
              <w:t>本项目涉及的大气污染物非正常排放工况主要为废气处理装置出现故障，处理效率下降，导致出现非正常排放。本项目非正常工况考虑最不利情况，即去除率为0，事故持续时间在1小时之内，非正常工况下大气污染物源强及排放情况见下表。</w:t>
            </w:r>
          </w:p>
          <w:p>
            <w:pPr>
              <w:pStyle w:val="5"/>
              <w:keepNext w:val="0"/>
              <w:keepLines w:val="0"/>
              <w:suppressLineNumbers w:val="0"/>
              <w:adjustRightInd w:val="0"/>
              <w:snapToGrid w:val="0"/>
              <w:spacing w:before="0" w:beforeAutospacing="0" w:after="0" w:afterAutospacing="0"/>
              <w:ind w:left="0" w:right="0" w:firstLine="0"/>
              <w:jc w:val="center"/>
              <w:rPr>
                <w:rFonts w:ascii="宋体" w:hAnsi="宋体"/>
                <w:b/>
                <w:bCs/>
                <w:sz w:val="24"/>
                <w:szCs w:val="24"/>
              </w:rPr>
            </w:pPr>
            <w:r>
              <w:rPr>
                <w:rFonts w:ascii="宋体" w:hAnsi="宋体"/>
                <w:b/>
                <w:bCs/>
                <w:sz w:val="24"/>
                <w:szCs w:val="24"/>
              </w:rPr>
              <w:t>表</w:t>
            </w:r>
            <w:r>
              <w:rPr>
                <w:rFonts w:hint="eastAsia" w:ascii="Times New Roman" w:hAnsi="Times New Roman"/>
                <w:b/>
                <w:bCs/>
                <w:sz w:val="24"/>
                <w:szCs w:val="24"/>
              </w:rPr>
              <w:t>4</w:t>
            </w:r>
            <w:r>
              <w:rPr>
                <w:rFonts w:ascii="Times New Roman" w:hAnsi="Times New Roman"/>
                <w:b/>
                <w:bCs/>
                <w:sz w:val="24"/>
                <w:szCs w:val="24"/>
              </w:rPr>
              <w:t>-</w:t>
            </w:r>
            <w:r>
              <w:rPr>
                <w:rFonts w:hint="eastAsia" w:ascii="Times New Roman" w:hAnsi="Times New Roman"/>
                <w:b/>
                <w:bCs/>
                <w:sz w:val="24"/>
                <w:szCs w:val="24"/>
              </w:rPr>
              <w:t xml:space="preserve">10 </w:t>
            </w:r>
            <w:r>
              <w:rPr>
                <w:rFonts w:hint="eastAsia" w:ascii="宋体" w:hAnsi="宋体"/>
                <w:b/>
                <w:bCs/>
                <w:sz w:val="24"/>
                <w:szCs w:val="24"/>
              </w:rPr>
              <w:t>本项目非正常工况污染物源强分析</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38"/>
              <w:gridCol w:w="954"/>
              <w:gridCol w:w="1139"/>
              <w:gridCol w:w="1170"/>
              <w:gridCol w:w="1831"/>
              <w:gridCol w:w="1181"/>
              <w:gridCol w:w="106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095" w:type="pct"/>
                  <w:gridSpan w:val="2"/>
                  <w:vAlign w:val="center"/>
                </w:tcPr>
                <w:p>
                  <w:pPr>
                    <w:keepNext w:val="0"/>
                    <w:keepLines w:val="0"/>
                    <w:suppressLineNumbers w:val="0"/>
                    <w:adjustRightInd w:val="0"/>
                    <w:spacing w:before="0" w:beforeAutospacing="0" w:after="0" w:afterAutospacing="0"/>
                    <w:ind w:left="-105" w:leftChars="-50" w:right="-105" w:rightChars="-50"/>
                    <w:jc w:val="center"/>
                    <w:rPr>
                      <w:b/>
                    </w:rPr>
                  </w:pPr>
                  <w:r>
                    <w:rPr>
                      <w:b/>
                    </w:rPr>
                    <w:t>非正常排放源</w:t>
                  </w:r>
                </w:p>
              </w:tc>
              <w:tc>
                <w:tcPr>
                  <w:tcW w:w="696" w:type="pct"/>
                  <w:vAlign w:val="center"/>
                </w:tcPr>
                <w:p>
                  <w:pPr>
                    <w:keepNext w:val="0"/>
                    <w:keepLines w:val="0"/>
                    <w:suppressLineNumbers w:val="0"/>
                    <w:adjustRightInd w:val="0"/>
                    <w:spacing w:before="0" w:beforeAutospacing="0" w:after="0" w:afterAutospacing="0"/>
                    <w:ind w:left="-105" w:leftChars="-50" w:right="-105" w:rightChars="-50"/>
                    <w:jc w:val="center"/>
                    <w:rPr>
                      <w:b/>
                    </w:rPr>
                  </w:pPr>
                  <w:r>
                    <w:rPr>
                      <w:b/>
                    </w:rPr>
                    <w:t>非正常排放原因</w:t>
                  </w:r>
                </w:p>
              </w:tc>
              <w:tc>
                <w:tcPr>
                  <w:tcW w:w="714" w:type="pct"/>
                  <w:tcBorders>
                    <w:bottom w:val="single" w:color="auto" w:sz="4" w:space="0"/>
                  </w:tcBorders>
                  <w:vAlign w:val="center"/>
                </w:tcPr>
                <w:p>
                  <w:pPr>
                    <w:keepNext w:val="0"/>
                    <w:keepLines w:val="0"/>
                    <w:suppressLineNumbers w:val="0"/>
                    <w:adjustRightInd w:val="0"/>
                    <w:spacing w:before="0" w:beforeAutospacing="0" w:after="0" w:afterAutospacing="0"/>
                    <w:ind w:left="-105" w:leftChars="-50" w:right="-105" w:rightChars="-50"/>
                    <w:jc w:val="center"/>
                    <w:rPr>
                      <w:b/>
                    </w:rPr>
                  </w:pPr>
                  <w:r>
                    <w:rPr>
                      <w:b/>
                    </w:rPr>
                    <w:t>污染物</w:t>
                  </w:r>
                </w:p>
              </w:tc>
              <w:tc>
                <w:tcPr>
                  <w:tcW w:w="1118" w:type="pct"/>
                  <w:tcBorders>
                    <w:bottom w:val="single" w:color="auto" w:sz="4" w:space="0"/>
                  </w:tcBorders>
                  <w:vAlign w:val="center"/>
                </w:tcPr>
                <w:p>
                  <w:pPr>
                    <w:keepNext w:val="0"/>
                    <w:keepLines w:val="0"/>
                    <w:suppressLineNumbers w:val="0"/>
                    <w:adjustRightInd w:val="0"/>
                    <w:spacing w:before="0" w:beforeAutospacing="0" w:after="0" w:afterAutospacing="0"/>
                    <w:ind w:left="-105" w:leftChars="-50" w:right="-105" w:rightChars="-50"/>
                    <w:jc w:val="center"/>
                    <w:rPr>
                      <w:b/>
                    </w:rPr>
                  </w:pPr>
                  <w:r>
                    <w:rPr>
                      <w:b/>
                    </w:rPr>
                    <w:t>非正常排放速率/（kg/h）</w:t>
                  </w:r>
                </w:p>
              </w:tc>
              <w:tc>
                <w:tcPr>
                  <w:tcW w:w="721" w:type="pct"/>
                  <w:tcBorders>
                    <w:bottom w:val="single" w:color="auto" w:sz="4" w:space="0"/>
                  </w:tcBorders>
                  <w:vAlign w:val="center"/>
                </w:tcPr>
                <w:p>
                  <w:pPr>
                    <w:keepNext w:val="0"/>
                    <w:keepLines w:val="0"/>
                    <w:suppressLineNumbers w:val="0"/>
                    <w:adjustRightInd w:val="0"/>
                    <w:spacing w:before="0" w:beforeAutospacing="0" w:after="0" w:afterAutospacing="0"/>
                    <w:ind w:left="-105" w:leftChars="-50" w:right="-105" w:rightChars="-50"/>
                    <w:jc w:val="center"/>
                    <w:rPr>
                      <w:b/>
                      <w:bCs/>
                    </w:rPr>
                  </w:pPr>
                  <w:r>
                    <w:rPr>
                      <w:b/>
                      <w:bCs/>
                    </w:rPr>
                    <w:t>单次持续时间/h</w:t>
                  </w:r>
                </w:p>
              </w:tc>
              <w:tc>
                <w:tcPr>
                  <w:tcW w:w="653" w:type="pct"/>
                  <w:tcBorders>
                    <w:bottom w:val="single" w:color="auto" w:sz="4" w:space="0"/>
                  </w:tcBorders>
                  <w:vAlign w:val="center"/>
                </w:tcPr>
                <w:p>
                  <w:pPr>
                    <w:keepNext w:val="0"/>
                    <w:keepLines w:val="0"/>
                    <w:suppressLineNumbers w:val="0"/>
                    <w:adjustRightInd w:val="0"/>
                    <w:spacing w:before="0" w:beforeAutospacing="0" w:after="0" w:afterAutospacing="0"/>
                    <w:ind w:left="-105" w:leftChars="-50" w:right="-105" w:rightChars="-50"/>
                    <w:jc w:val="center"/>
                    <w:rPr>
                      <w:b/>
                      <w:bCs/>
                    </w:rPr>
                  </w:pPr>
                  <w:r>
                    <w:rPr>
                      <w:b/>
                      <w:bCs/>
                    </w:rPr>
                    <w:t>年发生频次/次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512" w:type="pct"/>
                  <w:vMerge w:val="restart"/>
                  <w:vAlign w:val="center"/>
                </w:tcPr>
                <w:p>
                  <w:pPr>
                    <w:keepNext w:val="0"/>
                    <w:keepLines w:val="0"/>
                    <w:suppressLineNumbers w:val="0"/>
                    <w:adjustRightInd w:val="0"/>
                    <w:spacing w:before="0" w:beforeAutospacing="0" w:after="0" w:afterAutospacing="0"/>
                    <w:ind w:left="-105" w:leftChars="-50" w:right="-105" w:rightChars="-50"/>
                    <w:jc w:val="center"/>
                  </w:pPr>
                  <w:r>
                    <w:rPr>
                      <w:szCs w:val="21"/>
                    </w:rPr>
                    <w:t>FQ-1</w:t>
                  </w:r>
                </w:p>
              </w:tc>
              <w:tc>
                <w:tcPr>
                  <w:tcW w:w="582" w:type="pct"/>
                  <w:vAlign w:val="center"/>
                </w:tcPr>
                <w:p>
                  <w:pPr>
                    <w:keepNext w:val="0"/>
                    <w:keepLines w:val="0"/>
                    <w:suppressLineNumbers w:val="0"/>
                    <w:spacing w:before="0" w:beforeAutospacing="0" w:after="0" w:afterAutospacing="0"/>
                    <w:ind w:left="0" w:right="0"/>
                    <w:jc w:val="center"/>
                  </w:pPr>
                  <w:r>
                    <w:rPr>
                      <w:rFonts w:hint="eastAsia"/>
                      <w:szCs w:val="21"/>
                    </w:rPr>
                    <w:t>涂敷</w:t>
                  </w:r>
                </w:p>
              </w:tc>
              <w:tc>
                <w:tcPr>
                  <w:tcW w:w="696" w:type="pct"/>
                  <w:vMerge w:val="restart"/>
                  <w:vAlign w:val="center"/>
                </w:tcPr>
                <w:p>
                  <w:pPr>
                    <w:keepNext w:val="0"/>
                    <w:keepLines w:val="0"/>
                    <w:suppressLineNumbers w:val="0"/>
                    <w:adjustRightInd w:val="0"/>
                    <w:spacing w:before="0" w:beforeAutospacing="0" w:after="0" w:afterAutospacing="0"/>
                    <w:ind w:left="-105" w:leftChars="-50" w:right="-105" w:rightChars="-50"/>
                    <w:jc w:val="center"/>
                  </w:pPr>
                  <w:r>
                    <w:rPr>
                      <w:bCs/>
                    </w:rPr>
                    <w:t>废气处理装置出现故障</w:t>
                  </w:r>
                </w:p>
              </w:tc>
              <w:tc>
                <w:tcPr>
                  <w:tcW w:w="714" w:type="pct"/>
                  <w:tcBorders>
                    <w:top w:val="single" w:color="auto" w:sz="4" w:space="0"/>
                    <w:bottom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szCs w:val="21"/>
                    </w:rPr>
                  </w:pPr>
                  <w:r>
                    <w:rPr>
                      <w:rFonts w:ascii="Times New Roman" w:hAnsi="Times New Roman" w:eastAsia="宋体"/>
                      <w:sz w:val="21"/>
                      <w:szCs w:val="21"/>
                    </w:rPr>
                    <w:t>粉尘</w:t>
                  </w:r>
                </w:p>
              </w:tc>
              <w:tc>
                <w:tcPr>
                  <w:tcW w:w="1118" w:type="pct"/>
                  <w:tcBorders>
                    <w:top w:val="single" w:color="auto" w:sz="4" w:space="0"/>
                    <w:bottom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hint="default" w:ascii="Times New Roman" w:hAnsi="Times New Roman" w:eastAsia="宋体"/>
                      <w:lang w:val="en-US" w:eastAsia="zh-CN"/>
                    </w:rPr>
                  </w:pPr>
                  <w:r>
                    <w:rPr>
                      <w:rFonts w:hint="eastAsia" w:ascii="Times New Roman" w:hAnsi="Times New Roman"/>
                      <w:lang w:val="en-US" w:eastAsia="zh-CN"/>
                    </w:rPr>
                    <w:t>1.63</w:t>
                  </w:r>
                </w:p>
              </w:tc>
              <w:tc>
                <w:tcPr>
                  <w:tcW w:w="721" w:type="pct"/>
                  <w:vMerge w:val="restart"/>
                  <w:tcBorders>
                    <w:top w:val="single" w:color="auto" w:sz="4" w:space="0"/>
                  </w:tcBorders>
                  <w:vAlign w:val="center"/>
                </w:tcPr>
                <w:p>
                  <w:pPr>
                    <w:keepNext w:val="0"/>
                    <w:keepLines w:val="0"/>
                    <w:suppressLineNumbers w:val="0"/>
                    <w:adjustRightInd w:val="0"/>
                    <w:spacing w:before="0" w:beforeAutospacing="0" w:after="0" w:afterAutospacing="0"/>
                    <w:ind w:left="-105" w:leftChars="-50" w:right="-105" w:rightChars="-50"/>
                    <w:jc w:val="center"/>
                  </w:pPr>
                  <w:r>
                    <w:t>1</w:t>
                  </w:r>
                </w:p>
              </w:tc>
              <w:tc>
                <w:tcPr>
                  <w:tcW w:w="653" w:type="pct"/>
                  <w:vMerge w:val="restart"/>
                  <w:tcBorders>
                    <w:top w:val="single" w:color="auto" w:sz="4" w:space="0"/>
                  </w:tcBorders>
                  <w:vAlign w:val="center"/>
                </w:tcPr>
                <w:p>
                  <w:pPr>
                    <w:keepNext w:val="0"/>
                    <w:keepLines w:val="0"/>
                    <w:suppressLineNumbers w:val="0"/>
                    <w:adjustRightInd w:val="0"/>
                    <w:spacing w:before="0" w:beforeAutospacing="0" w:after="0" w:afterAutospacing="0"/>
                    <w:ind w:left="-105" w:leftChars="-50" w:right="-105" w:rightChars="-50"/>
                    <w:jc w:val="center"/>
                  </w:pPr>
                  <w:r>
                    <w:t>&lt;1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2" w:type="pct"/>
                  <w:vMerge w:val="continue"/>
                  <w:vAlign w:val="center"/>
                </w:tcPr>
                <w:p>
                  <w:pPr>
                    <w:keepNext w:val="0"/>
                    <w:keepLines w:val="0"/>
                    <w:suppressLineNumbers w:val="0"/>
                    <w:adjustRightInd w:val="0"/>
                    <w:spacing w:before="0" w:beforeAutospacing="0" w:after="0" w:afterAutospacing="0"/>
                    <w:ind w:left="-105" w:leftChars="-50" w:right="-105" w:rightChars="-50"/>
                    <w:jc w:val="center"/>
                  </w:pPr>
                </w:p>
              </w:tc>
              <w:tc>
                <w:tcPr>
                  <w:tcW w:w="582" w:type="pct"/>
                  <w:vAlign w:val="center"/>
                </w:tcPr>
                <w:p>
                  <w:pPr>
                    <w:keepNext w:val="0"/>
                    <w:keepLines w:val="0"/>
                    <w:suppressLineNumbers w:val="0"/>
                    <w:spacing w:before="0" w:beforeAutospacing="0" w:after="0" w:afterAutospacing="0"/>
                    <w:ind w:left="0" w:right="0"/>
                    <w:jc w:val="center"/>
                  </w:pPr>
                  <w:r>
                    <w:rPr>
                      <w:rFonts w:hint="eastAsia"/>
                      <w:szCs w:val="21"/>
                    </w:rPr>
                    <w:t>固化</w:t>
                  </w:r>
                </w:p>
              </w:tc>
              <w:tc>
                <w:tcPr>
                  <w:tcW w:w="696" w:type="pct"/>
                  <w:vMerge w:val="continue"/>
                  <w:tcBorders>
                    <w:top w:val="single" w:color="auto" w:sz="4" w:space="0"/>
                  </w:tcBorders>
                  <w:vAlign w:val="center"/>
                </w:tcPr>
                <w:p>
                  <w:pPr>
                    <w:keepNext w:val="0"/>
                    <w:keepLines w:val="0"/>
                    <w:suppressLineNumbers w:val="0"/>
                    <w:adjustRightInd w:val="0"/>
                    <w:spacing w:before="0" w:beforeAutospacing="0" w:after="0" w:afterAutospacing="0"/>
                    <w:ind w:left="-105" w:leftChars="-50" w:right="-105" w:rightChars="-50"/>
                    <w:jc w:val="center"/>
                  </w:pPr>
                </w:p>
              </w:tc>
              <w:tc>
                <w:tcPr>
                  <w:tcW w:w="714" w:type="pct"/>
                  <w:vMerge w:val="restart"/>
                  <w:tcBorders>
                    <w:top w:val="single" w:color="auto" w:sz="4" w:space="0"/>
                  </w:tcBorders>
                  <w:vAlign w:val="center"/>
                </w:tcPr>
                <w:p>
                  <w:pPr>
                    <w:pStyle w:val="62"/>
                    <w:keepNext w:val="0"/>
                    <w:keepLines w:val="0"/>
                    <w:suppressLineNumbers w:val="0"/>
                    <w:spacing w:before="0" w:beforeAutospacing="0" w:after="0" w:afterAutospacing="0"/>
                    <w:ind w:left="0" w:right="0"/>
                    <w:rPr>
                      <w:rFonts w:ascii="Times New Roman" w:hAnsi="Times New Roman" w:eastAsia="宋体"/>
                      <w:sz w:val="21"/>
                      <w:szCs w:val="21"/>
                    </w:rPr>
                  </w:pPr>
                  <w:r>
                    <w:rPr>
                      <w:rFonts w:hint="eastAsia" w:ascii="Times New Roman" w:hAnsi="Times New Roman" w:eastAsia="宋体"/>
                      <w:sz w:val="21"/>
                      <w:szCs w:val="21"/>
                    </w:rPr>
                    <w:t>非甲烷总烃</w:t>
                  </w:r>
                </w:p>
              </w:tc>
              <w:tc>
                <w:tcPr>
                  <w:tcW w:w="1118" w:type="pct"/>
                  <w:vMerge w:val="restart"/>
                  <w:tcBorders>
                    <w:top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hint="default" w:ascii="Times New Roman" w:hAnsi="Times New Roman" w:eastAsia="宋体"/>
                      <w:lang w:val="en-US" w:eastAsia="zh-CN"/>
                    </w:rPr>
                  </w:pPr>
                  <w:r>
                    <w:rPr>
                      <w:rFonts w:hint="eastAsia" w:ascii="Times New Roman" w:hAnsi="Times New Roman"/>
                      <w:lang w:val="en-US" w:eastAsia="zh-CN"/>
                    </w:rPr>
                    <w:t>0.1854</w:t>
                  </w:r>
                </w:p>
              </w:tc>
              <w:tc>
                <w:tcPr>
                  <w:tcW w:w="721" w:type="pct"/>
                  <w:vMerge w:val="continue"/>
                  <w:vAlign w:val="center"/>
                </w:tcPr>
                <w:p>
                  <w:pPr>
                    <w:keepNext w:val="0"/>
                    <w:keepLines w:val="0"/>
                    <w:suppressLineNumbers w:val="0"/>
                    <w:adjustRightInd w:val="0"/>
                    <w:spacing w:before="0" w:beforeAutospacing="0" w:after="0" w:afterAutospacing="0"/>
                    <w:ind w:left="-105" w:leftChars="-50" w:right="-105" w:rightChars="-50"/>
                    <w:jc w:val="center"/>
                    <w:rPr>
                      <w:kern w:val="44"/>
                      <w:szCs w:val="21"/>
                    </w:rPr>
                  </w:pPr>
                </w:p>
              </w:tc>
              <w:tc>
                <w:tcPr>
                  <w:tcW w:w="653" w:type="pct"/>
                  <w:vMerge w:val="continue"/>
                  <w:vAlign w:val="center"/>
                </w:tcPr>
                <w:p>
                  <w:pPr>
                    <w:keepNext w:val="0"/>
                    <w:keepLines w:val="0"/>
                    <w:suppressLineNumbers w:val="0"/>
                    <w:adjustRightInd w:val="0"/>
                    <w:spacing w:before="0" w:beforeAutospacing="0" w:after="0" w:afterAutospacing="0"/>
                    <w:ind w:left="-105" w:leftChars="-50" w:right="-105" w:rightChars="-50"/>
                    <w:jc w:val="center"/>
                    <w:rPr>
                      <w:kern w:val="44"/>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2" w:type="pct"/>
                  <w:vMerge w:val="continue"/>
                  <w:vAlign w:val="center"/>
                </w:tcPr>
                <w:p>
                  <w:pPr>
                    <w:keepNext w:val="0"/>
                    <w:keepLines w:val="0"/>
                    <w:suppressLineNumbers w:val="0"/>
                    <w:adjustRightInd w:val="0"/>
                    <w:spacing w:before="0" w:beforeAutospacing="0" w:after="0" w:afterAutospacing="0"/>
                    <w:ind w:left="-105" w:leftChars="-50" w:right="-105" w:rightChars="-50"/>
                    <w:jc w:val="center"/>
                  </w:pPr>
                </w:p>
              </w:tc>
              <w:tc>
                <w:tcPr>
                  <w:tcW w:w="582" w:type="pct"/>
                  <w:vAlign w:val="center"/>
                </w:tcPr>
                <w:p>
                  <w:pPr>
                    <w:keepNext w:val="0"/>
                    <w:keepLines w:val="0"/>
                    <w:suppressLineNumbers w:val="0"/>
                    <w:spacing w:before="0" w:beforeAutospacing="0" w:after="0" w:afterAutospacing="0"/>
                    <w:ind w:left="0" w:right="0"/>
                    <w:jc w:val="center"/>
                  </w:pPr>
                  <w:r>
                    <w:rPr>
                      <w:rFonts w:hint="eastAsia"/>
                      <w:szCs w:val="21"/>
                    </w:rPr>
                    <w:t>注塑成型</w:t>
                  </w:r>
                </w:p>
              </w:tc>
              <w:tc>
                <w:tcPr>
                  <w:tcW w:w="696" w:type="pct"/>
                  <w:vMerge w:val="continue"/>
                  <w:vAlign w:val="center"/>
                </w:tcPr>
                <w:p>
                  <w:pPr>
                    <w:keepNext w:val="0"/>
                    <w:keepLines w:val="0"/>
                    <w:suppressLineNumbers w:val="0"/>
                    <w:adjustRightInd w:val="0"/>
                    <w:spacing w:before="0" w:beforeAutospacing="0" w:after="0" w:afterAutospacing="0"/>
                    <w:ind w:left="-105" w:leftChars="-50" w:right="-105" w:rightChars="-50"/>
                    <w:jc w:val="center"/>
                  </w:pPr>
                </w:p>
              </w:tc>
              <w:tc>
                <w:tcPr>
                  <w:tcW w:w="714" w:type="pct"/>
                  <w:vMerge w:val="continue"/>
                  <w:vAlign w:val="center"/>
                </w:tcPr>
                <w:p>
                  <w:pPr>
                    <w:pStyle w:val="62"/>
                    <w:keepNext w:val="0"/>
                    <w:keepLines w:val="0"/>
                    <w:suppressLineNumbers w:val="0"/>
                    <w:spacing w:before="0" w:beforeAutospacing="0" w:after="0" w:afterAutospacing="0"/>
                    <w:ind w:left="0" w:right="0"/>
                    <w:rPr>
                      <w:rFonts w:ascii="Times New Roman" w:hAnsi="Times New Roman" w:eastAsia="宋体"/>
                      <w:sz w:val="21"/>
                      <w:szCs w:val="21"/>
                    </w:rPr>
                  </w:pPr>
                </w:p>
              </w:tc>
              <w:tc>
                <w:tcPr>
                  <w:tcW w:w="1118" w:type="pct"/>
                  <w:vMerge w:val="continue"/>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p>
              </w:tc>
              <w:tc>
                <w:tcPr>
                  <w:tcW w:w="721" w:type="pct"/>
                  <w:vMerge w:val="continue"/>
                  <w:vAlign w:val="center"/>
                </w:tcPr>
                <w:p>
                  <w:pPr>
                    <w:keepNext w:val="0"/>
                    <w:keepLines w:val="0"/>
                    <w:suppressLineNumbers w:val="0"/>
                    <w:adjustRightInd w:val="0"/>
                    <w:spacing w:before="0" w:beforeAutospacing="0" w:after="0" w:afterAutospacing="0"/>
                    <w:ind w:left="-105" w:leftChars="-50" w:right="-105" w:rightChars="-50"/>
                    <w:jc w:val="center"/>
                    <w:rPr>
                      <w:kern w:val="44"/>
                      <w:szCs w:val="21"/>
                    </w:rPr>
                  </w:pPr>
                </w:p>
              </w:tc>
              <w:tc>
                <w:tcPr>
                  <w:tcW w:w="653" w:type="pct"/>
                  <w:vMerge w:val="continue"/>
                  <w:vAlign w:val="center"/>
                </w:tcPr>
                <w:p>
                  <w:pPr>
                    <w:keepNext w:val="0"/>
                    <w:keepLines w:val="0"/>
                    <w:suppressLineNumbers w:val="0"/>
                    <w:adjustRightInd w:val="0"/>
                    <w:spacing w:before="0" w:beforeAutospacing="0" w:after="0" w:afterAutospacing="0"/>
                    <w:ind w:left="-105" w:leftChars="-50" w:right="-105" w:rightChars="-50"/>
                    <w:jc w:val="center"/>
                    <w:rPr>
                      <w:kern w:val="44"/>
                      <w:szCs w:val="21"/>
                    </w:rPr>
                  </w:pPr>
                </w:p>
              </w:tc>
            </w:tr>
          </w:tbl>
          <w:p>
            <w:pPr>
              <w:keepNext w:val="0"/>
              <w:keepLines w:val="0"/>
              <w:suppressLineNumbers w:val="0"/>
              <w:adjustRightInd w:val="0"/>
              <w:snapToGrid w:val="0"/>
              <w:spacing w:before="0" w:beforeAutospacing="0" w:after="0" w:afterAutospacing="0" w:line="360" w:lineRule="auto"/>
              <w:ind w:left="0" w:right="0" w:firstLine="480" w:firstLineChars="200"/>
              <w:rPr>
                <w:rFonts w:ascii="宋体" w:hAnsi="宋体"/>
                <w:sz w:val="24"/>
              </w:rPr>
            </w:pPr>
            <w:r>
              <w:rPr>
                <w:rFonts w:hint="eastAsia" w:ascii="宋体" w:hAnsi="宋体"/>
                <w:sz w:val="24"/>
              </w:rPr>
              <w:t>为预防此类工况发生，除确保生产设备和施工安装质量先进可靠外，还需加强管理，做好设备的日常维护、保养工作，定期检查环保设施的运行情况，同时严格按照操作规程生产，可减少此类非正常工况的发生。</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sz w:val="24"/>
              </w:rPr>
              <w:t>2）突发事故</w:t>
            </w:r>
          </w:p>
          <w:p>
            <w:pPr>
              <w:keepNext w:val="0"/>
              <w:keepLines w:val="0"/>
              <w:suppressLineNumbers w:val="0"/>
              <w:adjustRightInd w:val="0"/>
              <w:snapToGrid w:val="0"/>
              <w:spacing w:before="0" w:beforeAutospacing="0" w:after="0" w:afterAutospacing="0" w:line="360" w:lineRule="auto"/>
              <w:ind w:left="0" w:right="0" w:firstLine="480" w:firstLineChars="200"/>
              <w:rPr>
                <w:rFonts w:ascii="宋体" w:hAnsi="宋体"/>
                <w:sz w:val="24"/>
              </w:rPr>
            </w:pPr>
            <w:r>
              <w:rPr>
                <w:rFonts w:hint="eastAsia" w:ascii="宋体" w:hAnsi="宋体"/>
                <w:sz w:val="24"/>
              </w:rPr>
              <w:t>突发性事故可因管理不善、设备检修等内部因素引起，具体表现为意外负荷跳闸，仪表失灵导致操作失控、误操作等，也可因突然断电等引起，最严重的后果是生产无法正常进行等。</w:t>
            </w:r>
          </w:p>
          <w:p>
            <w:pPr>
              <w:keepNext w:val="0"/>
              <w:keepLines w:val="0"/>
              <w:suppressLineNumbers w:val="0"/>
              <w:adjustRightInd w:val="0"/>
              <w:snapToGrid w:val="0"/>
              <w:spacing w:before="0" w:beforeAutospacing="0" w:after="0" w:afterAutospacing="0" w:line="360" w:lineRule="auto"/>
              <w:ind w:left="0" w:right="0" w:firstLine="482" w:firstLineChars="200"/>
              <w:rPr>
                <w:b/>
                <w:sz w:val="24"/>
              </w:rPr>
            </w:pPr>
            <w:r>
              <w:rPr>
                <w:rFonts w:hint="eastAsia"/>
                <w:b/>
                <w:sz w:val="24"/>
              </w:rPr>
              <w:t>（5）大气</w:t>
            </w:r>
            <w:r>
              <w:rPr>
                <w:b/>
                <w:sz w:val="24"/>
              </w:rPr>
              <w:t>监测计划</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rFonts w:ascii="宋体" w:hAnsi="宋体"/>
                <w:sz w:val="24"/>
              </w:rPr>
              <w:t>监测点位：排气筒</w:t>
            </w:r>
            <w:r>
              <w:rPr>
                <w:rFonts w:hint="eastAsia" w:ascii="宋体" w:hAnsi="宋体"/>
                <w:sz w:val="24"/>
              </w:rPr>
              <w:t>（</w:t>
            </w:r>
            <w:r>
              <w:rPr>
                <w:rFonts w:hint="eastAsia"/>
                <w:sz w:val="24"/>
              </w:rPr>
              <w:t>FQ-1</w:t>
            </w:r>
            <w:r>
              <w:rPr>
                <w:rFonts w:hint="eastAsia" w:ascii="宋体" w:hAnsi="宋体"/>
                <w:sz w:val="24"/>
              </w:rPr>
              <w:t>）</w:t>
            </w:r>
            <w:r>
              <w:rPr>
                <w:rFonts w:ascii="宋体" w:hAnsi="宋体"/>
                <w:sz w:val="24"/>
              </w:rPr>
              <w:t>排口设置采样平台；厂界下风向设置</w:t>
            </w:r>
            <w:r>
              <w:rPr>
                <w:sz w:val="24"/>
              </w:rPr>
              <w:t>2</w:t>
            </w:r>
            <w:r>
              <w:rPr>
                <w:rFonts w:ascii="宋体" w:hAnsi="宋体"/>
                <w:sz w:val="24"/>
              </w:rPr>
              <w:t>个无组织排放监控点，</w:t>
            </w:r>
            <w:r>
              <w:rPr>
                <w:rFonts w:hint="eastAsia" w:ascii="宋体" w:hAnsi="宋体"/>
                <w:sz w:val="24"/>
              </w:rPr>
              <w:t>厂区设</w:t>
            </w:r>
            <w:r>
              <w:rPr>
                <w:sz w:val="24"/>
              </w:rPr>
              <w:t>置1个</w:t>
            </w:r>
            <w:r>
              <w:rPr>
                <w:rFonts w:hint="eastAsia" w:ascii="宋体" w:hAnsi="宋体"/>
                <w:sz w:val="24"/>
              </w:rPr>
              <w:t>内无组织排放监控点，</w:t>
            </w:r>
            <w:r>
              <w:rPr>
                <w:rFonts w:ascii="宋体" w:hAnsi="宋体"/>
                <w:sz w:val="24"/>
              </w:rPr>
              <w:t>上风向设置</w:t>
            </w:r>
            <w:r>
              <w:rPr>
                <w:sz w:val="24"/>
              </w:rPr>
              <w:t>1</w:t>
            </w:r>
            <w:r>
              <w:rPr>
                <w:rFonts w:ascii="宋体" w:hAnsi="宋体"/>
                <w:sz w:val="24"/>
              </w:rPr>
              <w:t>个参照点；</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rFonts w:hint="eastAsia" w:ascii="宋体" w:hAnsi="宋体"/>
                <w:sz w:val="24"/>
              </w:rPr>
              <w:t>监测频</w:t>
            </w:r>
            <w:r>
              <w:rPr>
                <w:rFonts w:ascii="宋体" w:hAnsi="宋体"/>
                <w:sz w:val="24"/>
              </w:rPr>
              <w:t>次：按照</w:t>
            </w:r>
            <w:r>
              <w:rPr>
                <w:rFonts w:hint="eastAsia" w:ascii="宋体" w:hAnsi="宋体"/>
                <w:sz w:val="24"/>
              </w:rPr>
              <w:t>《</w:t>
            </w:r>
            <w:r>
              <w:fldChar w:fldCharType="begin"/>
            </w:r>
            <w:r>
              <w:instrText xml:space="preserve"> HYPERLINK "https://www.mee.gov.cn/ywgz/fgbz/bz/bzwb/jcffbz/202001/W020200113417476489912.pdf" </w:instrText>
            </w:r>
            <w:r>
              <w:fldChar w:fldCharType="separate"/>
            </w:r>
            <w:r>
              <w:rPr>
                <w:rFonts w:hint="eastAsia" w:ascii="宋体" w:hAnsi="宋体"/>
                <w:sz w:val="24"/>
              </w:rPr>
              <w:t xml:space="preserve">排污单位自行监测技术指南 </w:t>
            </w:r>
            <w:r>
              <w:rPr>
                <w:rFonts w:hint="eastAsia" w:ascii="宋体" w:hAnsi="宋体"/>
                <w:sz w:val="24"/>
                <w:lang w:eastAsia="zh-CN"/>
              </w:rPr>
              <w:t>总则</w:t>
            </w:r>
            <w:r>
              <w:rPr>
                <w:rFonts w:hint="eastAsia" w:ascii="宋体" w:hAnsi="宋体"/>
                <w:sz w:val="24"/>
              </w:rPr>
              <w:t>》</w:t>
            </w:r>
            <w:r>
              <w:rPr>
                <w:rFonts w:hAnsi="宋体"/>
                <w:sz w:val="24"/>
              </w:rPr>
              <w:t>（</w:t>
            </w:r>
            <w:r>
              <w:rPr>
                <w:sz w:val="24"/>
              </w:rPr>
              <w:t xml:space="preserve">HJ </w:t>
            </w:r>
            <w:r>
              <w:rPr>
                <w:rFonts w:hint="eastAsia"/>
                <w:sz w:val="24"/>
                <w:lang w:val="en-US" w:eastAsia="zh-CN"/>
              </w:rPr>
              <w:t>819</w:t>
            </w:r>
            <w:r>
              <w:rPr>
                <w:sz w:val="24"/>
              </w:rPr>
              <w:t>—20</w:t>
            </w:r>
            <w:r>
              <w:rPr>
                <w:rFonts w:hint="eastAsia"/>
                <w:sz w:val="24"/>
                <w:lang w:val="en-US" w:eastAsia="zh-CN"/>
              </w:rPr>
              <w:t>17</w:t>
            </w:r>
            <w:r>
              <w:rPr>
                <w:rFonts w:hAnsi="宋体"/>
                <w:sz w:val="24"/>
              </w:rPr>
              <w:t>）</w:t>
            </w:r>
            <w:r>
              <w:rPr>
                <w:rFonts w:hAnsi="宋体"/>
                <w:sz w:val="24"/>
              </w:rPr>
              <w:fldChar w:fldCharType="end"/>
            </w:r>
            <w:r>
              <w:rPr>
                <w:rFonts w:hint="eastAsia" w:hAnsi="宋体"/>
                <w:sz w:val="24"/>
                <w:lang w:eastAsia="zh-CN"/>
              </w:rPr>
              <w:t>、</w:t>
            </w:r>
            <w:r>
              <w:rPr>
                <w:rFonts w:hint="eastAsia" w:ascii="宋体" w:hAnsi="宋体"/>
                <w:sz w:val="24"/>
              </w:rPr>
              <w:t>《</w:t>
            </w:r>
            <w:r>
              <w:fldChar w:fldCharType="begin"/>
            </w:r>
            <w:r>
              <w:instrText xml:space="preserve"> HYPERLINK "https://www.mee.gov.cn/ywgz/fgbz/bz/bzwb/jcffbz/202001/W020200113417476489912.pdf" </w:instrText>
            </w:r>
            <w:r>
              <w:fldChar w:fldCharType="separate"/>
            </w:r>
            <w:r>
              <w:rPr>
                <w:rFonts w:hint="eastAsia" w:ascii="宋体" w:hAnsi="宋体"/>
                <w:sz w:val="24"/>
              </w:rPr>
              <w:t>排污单位自行监测技术指南 涂装》</w:t>
            </w:r>
            <w:r>
              <w:rPr>
                <w:rFonts w:hAnsi="宋体"/>
                <w:sz w:val="24"/>
              </w:rPr>
              <w:t>（</w:t>
            </w:r>
            <w:r>
              <w:rPr>
                <w:sz w:val="24"/>
              </w:rPr>
              <w:t>HJ 1086—2020</w:t>
            </w:r>
            <w:r>
              <w:rPr>
                <w:rFonts w:hAnsi="宋体"/>
                <w:sz w:val="24"/>
              </w:rPr>
              <w:t>）</w:t>
            </w:r>
            <w:r>
              <w:rPr>
                <w:rFonts w:hAnsi="宋体"/>
                <w:sz w:val="24"/>
              </w:rPr>
              <w:fldChar w:fldCharType="end"/>
            </w:r>
            <w:r>
              <w:rPr>
                <w:rFonts w:ascii="宋体" w:hAnsi="宋体"/>
                <w:sz w:val="24"/>
              </w:rPr>
              <w:t>中相关要求；</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rFonts w:ascii="宋体" w:hAnsi="宋体"/>
                <w:sz w:val="24"/>
              </w:rPr>
              <w:t>监测因子：非甲烷总烃</w:t>
            </w:r>
            <w:r>
              <w:rPr>
                <w:rFonts w:hint="eastAsia" w:ascii="宋体" w:hAnsi="宋体"/>
                <w:sz w:val="24"/>
              </w:rPr>
              <w:t>、颗粒物</w:t>
            </w:r>
            <w:r>
              <w:rPr>
                <w:rFonts w:ascii="宋体" w:hAnsi="宋体"/>
                <w:sz w:val="24"/>
              </w:rPr>
              <w:t>。</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rFonts w:ascii="宋体" w:hAnsi="宋体"/>
                <w:sz w:val="24"/>
              </w:rPr>
              <w:t>废气监测位置、监测因子、频率等详见</w:t>
            </w:r>
            <w:r>
              <w:rPr>
                <w:rFonts w:hint="eastAsia" w:ascii="宋体" w:hAnsi="宋体"/>
                <w:sz w:val="24"/>
              </w:rPr>
              <w:t>下表</w:t>
            </w:r>
            <w:r>
              <w:rPr>
                <w:rFonts w:ascii="宋体" w:hAnsi="宋体"/>
                <w:sz w:val="24"/>
              </w:rPr>
              <w:t>；</w:t>
            </w:r>
          </w:p>
          <w:p>
            <w:pPr>
              <w:keepNext w:val="0"/>
              <w:keepLines w:val="0"/>
              <w:suppressLineNumbers w:val="0"/>
              <w:adjustRightInd w:val="0"/>
              <w:snapToGrid w:val="0"/>
              <w:spacing w:before="0" w:beforeAutospacing="0" w:after="0" w:afterAutospacing="0"/>
              <w:ind w:left="0" w:right="0"/>
              <w:jc w:val="center"/>
              <w:rPr>
                <w:b/>
                <w:bCs/>
                <w:sz w:val="24"/>
              </w:rPr>
            </w:pPr>
            <w:r>
              <w:rPr>
                <w:b/>
                <w:bCs/>
                <w:sz w:val="24"/>
              </w:rPr>
              <w:t>表</w:t>
            </w:r>
            <w:r>
              <w:rPr>
                <w:rFonts w:hint="eastAsia"/>
                <w:b/>
                <w:bCs/>
                <w:sz w:val="24"/>
              </w:rPr>
              <w:t>4-11</w:t>
            </w:r>
            <w:r>
              <w:rPr>
                <w:b/>
                <w:bCs/>
                <w:sz w:val="24"/>
              </w:rPr>
              <w:t xml:space="preserve"> 营运期监测计划表</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98"/>
              <w:gridCol w:w="1793"/>
              <w:gridCol w:w="2587"/>
              <w:gridCol w:w="260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2" w:type="pct"/>
                  <w:vAlign w:val="center"/>
                </w:tcPr>
                <w:p>
                  <w:pPr>
                    <w:keepNext w:val="0"/>
                    <w:keepLines w:val="0"/>
                    <w:suppressLineNumbers w:val="0"/>
                    <w:adjustRightInd w:val="0"/>
                    <w:snapToGrid w:val="0"/>
                    <w:spacing w:before="0" w:beforeAutospacing="0" w:after="0" w:afterAutospacing="0"/>
                    <w:ind w:left="0" w:right="0"/>
                    <w:jc w:val="center"/>
                    <w:rPr>
                      <w:b/>
                      <w:szCs w:val="21"/>
                    </w:rPr>
                  </w:pPr>
                  <w:r>
                    <w:rPr>
                      <w:b/>
                      <w:szCs w:val="21"/>
                    </w:rPr>
                    <w:t>污染种类</w:t>
                  </w:r>
                </w:p>
              </w:tc>
              <w:tc>
                <w:tcPr>
                  <w:tcW w:w="1096" w:type="pct"/>
                  <w:vAlign w:val="center"/>
                </w:tcPr>
                <w:p>
                  <w:pPr>
                    <w:keepNext w:val="0"/>
                    <w:keepLines w:val="0"/>
                    <w:suppressLineNumbers w:val="0"/>
                    <w:adjustRightInd w:val="0"/>
                    <w:snapToGrid w:val="0"/>
                    <w:spacing w:before="0" w:beforeAutospacing="0" w:after="0" w:afterAutospacing="0"/>
                    <w:ind w:left="0" w:right="0"/>
                    <w:jc w:val="center"/>
                    <w:rPr>
                      <w:b/>
                      <w:szCs w:val="21"/>
                    </w:rPr>
                  </w:pPr>
                  <w:r>
                    <w:rPr>
                      <w:b/>
                      <w:szCs w:val="21"/>
                    </w:rPr>
                    <w:t>监测点位</w:t>
                  </w:r>
                </w:p>
              </w:tc>
              <w:tc>
                <w:tcPr>
                  <w:tcW w:w="1581" w:type="pct"/>
                  <w:vAlign w:val="center"/>
                </w:tcPr>
                <w:p>
                  <w:pPr>
                    <w:keepNext w:val="0"/>
                    <w:keepLines w:val="0"/>
                    <w:suppressLineNumbers w:val="0"/>
                    <w:adjustRightInd w:val="0"/>
                    <w:snapToGrid w:val="0"/>
                    <w:spacing w:before="0" w:beforeAutospacing="0" w:after="0" w:afterAutospacing="0"/>
                    <w:ind w:left="0" w:right="0"/>
                    <w:jc w:val="center"/>
                    <w:rPr>
                      <w:b/>
                      <w:szCs w:val="21"/>
                    </w:rPr>
                  </w:pPr>
                  <w:r>
                    <w:rPr>
                      <w:b/>
                      <w:szCs w:val="21"/>
                    </w:rPr>
                    <w:t>监测项目</w:t>
                  </w:r>
                </w:p>
              </w:tc>
              <w:tc>
                <w:tcPr>
                  <w:tcW w:w="1591" w:type="pct"/>
                  <w:vAlign w:val="center"/>
                </w:tcPr>
                <w:p>
                  <w:pPr>
                    <w:keepNext w:val="0"/>
                    <w:keepLines w:val="0"/>
                    <w:suppressLineNumbers w:val="0"/>
                    <w:adjustRightInd w:val="0"/>
                    <w:snapToGrid w:val="0"/>
                    <w:spacing w:before="0" w:beforeAutospacing="0" w:after="0" w:afterAutospacing="0"/>
                    <w:ind w:left="0" w:right="0"/>
                    <w:jc w:val="center"/>
                    <w:rPr>
                      <w:b/>
                      <w:szCs w:val="21"/>
                    </w:rPr>
                  </w:pPr>
                  <w:r>
                    <w:rPr>
                      <w:b/>
                      <w:szCs w:val="21"/>
                    </w:rPr>
                    <w:t>监测频率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2" w:type="pct"/>
                  <w:vMerge w:val="restar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废气</w:t>
                  </w:r>
                </w:p>
              </w:tc>
              <w:tc>
                <w:tcPr>
                  <w:tcW w:w="1096"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排气筒</w:t>
                  </w:r>
                </w:p>
              </w:tc>
              <w:tc>
                <w:tcPr>
                  <w:tcW w:w="1581"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非甲烷总烃</w:t>
                  </w:r>
                  <w:r>
                    <w:rPr>
                      <w:rFonts w:hint="eastAsia"/>
                      <w:szCs w:val="21"/>
                    </w:rPr>
                    <w:t>、颗粒物</w:t>
                  </w:r>
                </w:p>
              </w:tc>
              <w:tc>
                <w:tcPr>
                  <w:tcW w:w="1591"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1</w:t>
                  </w:r>
                  <w:r>
                    <w:rPr>
                      <w:szCs w:val="21"/>
                    </w:rPr>
                    <w:t>年</w:t>
                  </w:r>
                  <w:r>
                    <w:rPr>
                      <w:rFonts w:hint="eastAsia"/>
                      <w:szCs w:val="21"/>
                    </w:rPr>
                    <w:t>1</w:t>
                  </w:r>
                  <w:r>
                    <w:rPr>
                      <w:szCs w:val="21"/>
                    </w:rPr>
                    <w:t>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2" w:type="pct"/>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1096"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厂界</w:t>
                  </w:r>
                </w:p>
              </w:tc>
              <w:tc>
                <w:tcPr>
                  <w:tcW w:w="1581"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非甲烷总烃</w:t>
                  </w:r>
                  <w:r>
                    <w:rPr>
                      <w:rFonts w:hint="eastAsia"/>
                      <w:szCs w:val="21"/>
                    </w:rPr>
                    <w:t>、颗粒物</w:t>
                  </w:r>
                </w:p>
              </w:tc>
              <w:tc>
                <w:tcPr>
                  <w:tcW w:w="1591"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半</w:t>
                  </w:r>
                  <w:r>
                    <w:rPr>
                      <w:szCs w:val="21"/>
                    </w:rPr>
                    <w:t>年</w:t>
                  </w:r>
                  <w:r>
                    <w:rPr>
                      <w:rFonts w:hint="eastAsia"/>
                      <w:szCs w:val="21"/>
                    </w:rPr>
                    <w:t>1</w:t>
                  </w:r>
                  <w:r>
                    <w:rPr>
                      <w:szCs w:val="21"/>
                    </w:rPr>
                    <w:t>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2" w:type="pct"/>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1096"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厂区内</w:t>
                  </w:r>
                </w:p>
              </w:tc>
              <w:tc>
                <w:tcPr>
                  <w:tcW w:w="1581"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非甲烷总烃</w:t>
                  </w:r>
                </w:p>
              </w:tc>
              <w:tc>
                <w:tcPr>
                  <w:tcW w:w="1591"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1年1次</w:t>
                  </w:r>
                </w:p>
              </w:tc>
            </w:tr>
          </w:tbl>
          <w:p>
            <w:pPr>
              <w:keepNext w:val="0"/>
              <w:keepLines w:val="0"/>
              <w:suppressLineNumbers w:val="0"/>
              <w:spacing w:before="0" w:beforeAutospacing="0" w:after="0" w:afterAutospacing="0" w:line="360" w:lineRule="auto"/>
              <w:ind w:left="0" w:right="0" w:firstLine="482" w:firstLineChars="200"/>
              <w:rPr>
                <w:b/>
                <w:bCs/>
                <w:sz w:val="24"/>
              </w:rPr>
            </w:pPr>
            <w:r>
              <w:rPr>
                <w:rFonts w:hAnsi="宋体"/>
                <w:b/>
                <w:bCs/>
                <w:sz w:val="24"/>
              </w:rPr>
              <w:t>（</w:t>
            </w:r>
            <w:r>
              <w:rPr>
                <w:rFonts w:hint="eastAsia"/>
                <w:b/>
                <w:bCs/>
                <w:sz w:val="24"/>
              </w:rPr>
              <w:t>6</w:t>
            </w:r>
            <w:r>
              <w:rPr>
                <w:rFonts w:hAnsi="宋体"/>
                <w:b/>
                <w:bCs/>
                <w:sz w:val="24"/>
              </w:rPr>
              <w:t>）小结</w:t>
            </w:r>
          </w:p>
          <w:p>
            <w:pPr>
              <w:keepNext w:val="0"/>
              <w:keepLines w:val="0"/>
              <w:suppressLineNumbers w:val="0"/>
              <w:snapToGrid w:val="0"/>
              <w:spacing w:before="0" w:beforeAutospacing="0" w:after="0" w:afterAutospacing="0" w:line="360" w:lineRule="auto"/>
              <w:ind w:left="0" w:right="0" w:firstLine="480" w:firstLineChars="200"/>
              <w:rPr>
                <w:rFonts w:ascii="宋体" w:hAnsi="宋体" w:cs="宋体"/>
                <w:bCs/>
                <w:sz w:val="24"/>
              </w:rPr>
            </w:pPr>
            <w:r>
              <w:rPr>
                <w:rFonts w:hint="eastAsia" w:ascii="宋体" w:hAnsi="宋体" w:cs="宋体"/>
                <w:bCs/>
                <w:sz w:val="24"/>
              </w:rPr>
              <w:t>项目位于环境质量非达标区，评价范围内无一类区，根据估算模式判定本项目大气评价等级为二级。</w:t>
            </w:r>
          </w:p>
          <w:p>
            <w:pPr>
              <w:keepNext w:val="0"/>
              <w:keepLines w:val="0"/>
              <w:suppressLineNumbers w:val="0"/>
              <w:snapToGrid w:val="0"/>
              <w:spacing w:before="0" w:beforeAutospacing="0" w:after="0" w:afterAutospacing="0" w:line="360" w:lineRule="auto"/>
              <w:ind w:left="0" w:right="0" w:firstLine="480" w:firstLineChars="200"/>
              <w:rPr>
                <w:rFonts w:ascii="宋体" w:hAnsi="宋体" w:cs="宋体"/>
                <w:bCs/>
                <w:sz w:val="24"/>
              </w:rPr>
            </w:pPr>
            <w:r>
              <w:rPr>
                <w:rFonts w:hint="eastAsia" w:ascii="宋体" w:hAnsi="宋体" w:cs="宋体"/>
                <w:bCs/>
                <w:sz w:val="24"/>
              </w:rPr>
              <w:t>①本项目排放的大气污染物为非甲烷总烃、颗粒物，针对各产污环节，均采取了合适可行的污染治理措施，经处理后的污染物排放强度较低。根据估算模型估算结果，各污染因子最大落地浓度均远小于相应因子的环境质量标准。在保证污染防治措施正常运营的情况下，本项目废气排放的环境影响较小。</w:t>
            </w:r>
          </w:p>
          <w:p>
            <w:pPr>
              <w:keepNext w:val="0"/>
              <w:keepLines w:val="0"/>
              <w:suppressLineNumbers w:val="0"/>
              <w:snapToGrid w:val="0"/>
              <w:spacing w:before="0" w:beforeAutospacing="0" w:after="0" w:afterAutospacing="0" w:line="360" w:lineRule="auto"/>
              <w:ind w:left="0" w:right="0" w:firstLine="480" w:firstLineChars="200"/>
              <w:rPr>
                <w:rFonts w:ascii="宋体" w:hAnsi="宋体" w:cs="宋体"/>
                <w:bCs/>
                <w:sz w:val="24"/>
              </w:rPr>
            </w:pPr>
            <w:r>
              <w:rPr>
                <w:rFonts w:hint="eastAsia" w:ascii="宋体" w:hAnsi="宋体" w:cs="宋体"/>
                <w:bCs/>
                <w:sz w:val="24"/>
              </w:rPr>
              <w:t>②项目环境影响符合环境功能区划。</w:t>
            </w:r>
          </w:p>
          <w:p>
            <w:pPr>
              <w:keepNext w:val="0"/>
              <w:keepLines w:val="0"/>
              <w:suppressLineNumbers w:val="0"/>
              <w:snapToGrid w:val="0"/>
              <w:spacing w:before="0" w:beforeAutospacing="0" w:after="0" w:afterAutospacing="0" w:line="360" w:lineRule="auto"/>
              <w:ind w:left="0" w:right="0" w:firstLine="480" w:firstLineChars="200"/>
              <w:rPr>
                <w:rFonts w:ascii="宋体" w:hAnsi="宋体" w:cs="宋体"/>
                <w:bCs/>
                <w:sz w:val="24"/>
              </w:rPr>
            </w:pPr>
            <w:r>
              <w:rPr>
                <w:rFonts w:hint="eastAsia" w:ascii="宋体" w:hAnsi="宋体" w:cs="宋体"/>
                <w:bCs/>
                <w:sz w:val="24"/>
              </w:rPr>
              <w:t>③项目厂界浓度满足大气污染物厂界浓度限值，且厂界外大气污染物短期贡献浓度不超过环境质量浓度限值，所以本项目不需要设置大气环境防护距离。</w:t>
            </w:r>
          </w:p>
          <w:p>
            <w:pPr>
              <w:keepNext w:val="0"/>
              <w:keepLines w:val="0"/>
              <w:suppressLineNumbers w:val="0"/>
              <w:snapToGrid w:val="0"/>
              <w:spacing w:before="0" w:beforeAutospacing="0" w:after="0" w:afterAutospacing="0" w:line="360" w:lineRule="auto"/>
              <w:ind w:left="0" w:right="0" w:firstLine="480" w:firstLineChars="200"/>
              <w:rPr>
                <w:bCs/>
                <w:sz w:val="24"/>
              </w:rPr>
            </w:pPr>
            <w:r>
              <w:rPr>
                <w:rFonts w:hint="eastAsia" w:ascii="宋体" w:hAnsi="宋体" w:cs="宋体"/>
                <w:bCs/>
                <w:sz w:val="24"/>
              </w:rPr>
              <w:t>④本项目卫生防护距离是以</w:t>
            </w:r>
            <w:r>
              <w:rPr>
                <w:rFonts w:hint="eastAsia"/>
                <w:sz w:val="24"/>
              </w:rPr>
              <w:t>涂</w:t>
            </w:r>
            <w:r>
              <w:rPr>
                <w:rFonts w:hint="eastAsia"/>
                <w:sz w:val="24"/>
                <w:lang w:eastAsia="zh-CN"/>
              </w:rPr>
              <w:t>敷</w:t>
            </w:r>
            <w:r>
              <w:rPr>
                <w:rFonts w:hint="eastAsia"/>
                <w:sz w:val="24"/>
              </w:rPr>
              <w:t>注塑车间</w:t>
            </w:r>
            <w:r>
              <w:rPr>
                <w:rFonts w:hAnsi="宋体"/>
                <w:bCs/>
                <w:sz w:val="24"/>
              </w:rPr>
              <w:t>为边界设置</w:t>
            </w:r>
            <w:r>
              <w:rPr>
                <w:bCs/>
                <w:sz w:val="24"/>
              </w:rPr>
              <w:t>100</w:t>
            </w:r>
            <w:r>
              <w:rPr>
                <w:rFonts w:hAnsi="宋体"/>
                <w:bCs/>
                <w:sz w:val="24"/>
              </w:rPr>
              <w:t>米的卫生防护距离，该范围内目前无居民、学校等环境敏感保护目标，可满足卫生防护距离设置要求，将来在该卫生防护距离范围也不得新建居民、学校、医院等属于环境保护目标的项目。</w:t>
            </w:r>
          </w:p>
          <w:p>
            <w:pPr>
              <w:keepNext w:val="0"/>
              <w:keepLines w:val="0"/>
              <w:suppressLineNumbers w:val="0"/>
              <w:snapToGrid w:val="0"/>
              <w:spacing w:before="0" w:beforeAutospacing="0" w:after="0" w:afterAutospacing="0" w:line="360" w:lineRule="auto"/>
              <w:ind w:left="0" w:right="0" w:firstLine="480" w:firstLineChars="200"/>
            </w:pPr>
            <w:r>
              <w:rPr>
                <w:rFonts w:hint="eastAsia" w:ascii="宋体" w:hAnsi="宋体" w:cs="宋体"/>
                <w:bCs/>
                <w:sz w:val="24"/>
                <w:szCs w:val="22"/>
              </w:rPr>
              <w:t>综上，本项目废气产生量较小，经废气处理装置处理后达标排放。因此，本项目废气对周围环境影响较小。</w:t>
            </w:r>
          </w:p>
          <w:p>
            <w:pPr>
              <w:keepNext w:val="0"/>
              <w:keepLines w:val="0"/>
              <w:suppressLineNumbers w:val="0"/>
              <w:adjustRightInd w:val="0"/>
              <w:snapToGrid w:val="0"/>
              <w:spacing w:before="0" w:beforeAutospacing="0" w:after="0" w:afterAutospacing="0" w:line="360" w:lineRule="auto"/>
              <w:ind w:left="0" w:right="0"/>
              <w:rPr>
                <w:b/>
                <w:sz w:val="24"/>
              </w:rPr>
            </w:pPr>
            <w:r>
              <w:rPr>
                <w:rFonts w:hint="eastAsia"/>
                <w:b/>
                <w:sz w:val="24"/>
              </w:rPr>
              <w:t>2、废水</w:t>
            </w:r>
          </w:p>
          <w:p>
            <w:pPr>
              <w:keepNext w:val="0"/>
              <w:keepLines w:val="0"/>
              <w:suppressLineNumbers w:val="0"/>
              <w:adjustRightInd w:val="0"/>
              <w:snapToGrid w:val="0"/>
              <w:spacing w:before="0" w:beforeAutospacing="0" w:after="0" w:afterAutospacing="0" w:line="360" w:lineRule="auto"/>
              <w:ind w:left="0" w:right="0" w:firstLine="482" w:firstLineChars="200"/>
              <w:rPr>
                <w:rFonts w:ascii="宋体" w:hAnsi="宋体"/>
                <w:b/>
                <w:sz w:val="24"/>
              </w:rPr>
            </w:pPr>
            <w:r>
              <w:rPr>
                <w:b/>
                <w:sz w:val="24"/>
              </w:rPr>
              <w:t>（1）</w:t>
            </w:r>
            <w:r>
              <w:rPr>
                <w:rFonts w:hint="eastAsia" w:ascii="宋体" w:hAnsi="宋体"/>
                <w:b/>
                <w:sz w:val="24"/>
              </w:rPr>
              <w:t>源强分析</w:t>
            </w:r>
          </w:p>
          <w:p>
            <w:pPr>
              <w:keepNext w:val="0"/>
              <w:keepLines w:val="0"/>
              <w:suppressLineNumbers w:val="0"/>
              <w:adjustRightInd w:val="0"/>
              <w:snapToGrid w:val="0"/>
              <w:spacing w:before="0" w:beforeAutospacing="0" w:after="0" w:afterAutospacing="0" w:line="360" w:lineRule="auto"/>
              <w:ind w:left="0" w:right="0" w:firstLine="482" w:firstLineChars="200"/>
              <w:rPr>
                <w:sz w:val="24"/>
              </w:rPr>
            </w:pPr>
            <w:r>
              <w:rPr>
                <w:rFonts w:hint="eastAsia"/>
                <w:b/>
                <w:sz w:val="24"/>
              </w:rPr>
              <w:t>生活用水：</w:t>
            </w:r>
            <w:r>
              <w:rPr>
                <w:rFonts w:hint="eastAsia"/>
                <w:sz w:val="24"/>
              </w:rPr>
              <w:t>项目拟用职工120人，年工作300天，两班制生产，厂内设食堂</w:t>
            </w:r>
            <w:r>
              <w:rPr>
                <w:rFonts w:hint="eastAsia"/>
                <w:sz w:val="24"/>
                <w:lang w:eastAsia="zh-CN"/>
              </w:rPr>
              <w:t>和</w:t>
            </w:r>
            <w:r>
              <w:rPr>
                <w:rFonts w:hint="eastAsia"/>
                <w:sz w:val="24"/>
              </w:rPr>
              <w:t>员工宿舍，参照《常州市工业和城市生活用水定额》，厂区职工生活用水量以100L/d·人计，则生活用水消耗量为3600t/a，生活污水的排放系数取80％，则项目生活污水的排放量为2880t/a，</w:t>
            </w:r>
            <w:r>
              <w:rPr>
                <w:sz w:val="24"/>
              </w:rPr>
              <w:t>污染物浓度为：COD 400mg/l、SS 300mg/l、NH</w:t>
            </w:r>
            <w:r>
              <w:rPr>
                <w:sz w:val="24"/>
                <w:vertAlign w:val="subscript"/>
              </w:rPr>
              <w:t>3</w:t>
            </w:r>
            <w:r>
              <w:rPr>
                <w:sz w:val="24"/>
              </w:rPr>
              <w:t>-N 25mg/l、TP 5mg/l、TN 50mg/L。</w:t>
            </w:r>
          </w:p>
          <w:p>
            <w:pPr>
              <w:keepNext w:val="0"/>
              <w:keepLines w:val="0"/>
              <w:suppressLineNumbers w:val="0"/>
              <w:adjustRightInd w:val="0"/>
              <w:snapToGrid w:val="0"/>
              <w:spacing w:before="0" w:beforeAutospacing="0" w:after="0" w:afterAutospacing="0" w:line="360" w:lineRule="auto"/>
              <w:ind w:left="0" w:right="0" w:firstLine="482" w:firstLineChars="200"/>
              <w:rPr>
                <w:sz w:val="24"/>
              </w:rPr>
            </w:pPr>
            <w:r>
              <w:rPr>
                <w:rFonts w:hint="eastAsia" w:hAnsi="宋体"/>
                <w:b/>
                <w:sz w:val="24"/>
              </w:rPr>
              <w:t>食堂用水：</w:t>
            </w:r>
            <w:r>
              <w:rPr>
                <w:rFonts w:ascii="Times New Roman" w:hAnsi="宋体"/>
                <w:sz w:val="24"/>
              </w:rPr>
              <w:t>食堂每天用餐员工共约</w:t>
            </w:r>
            <w:r>
              <w:rPr>
                <w:rFonts w:hint="eastAsia" w:ascii="Times New Roman" w:hAnsi="Times New Roman"/>
                <w:sz w:val="24"/>
                <w:lang w:val="en-US" w:eastAsia="zh-CN"/>
              </w:rPr>
              <w:t>24</w:t>
            </w:r>
            <w:r>
              <w:rPr>
                <w:rFonts w:hint="eastAsia" w:ascii="Times New Roman" w:hAnsi="Times New Roman"/>
                <w:sz w:val="24"/>
              </w:rPr>
              <w:t>0</w:t>
            </w:r>
            <w:r>
              <w:rPr>
                <w:rFonts w:ascii="Times New Roman" w:hAnsi="宋体"/>
                <w:sz w:val="24"/>
              </w:rPr>
              <w:t>人次</w:t>
            </w:r>
            <w:r>
              <w:rPr>
                <w:rFonts w:hint="eastAsia" w:ascii="Times New Roman" w:hAnsi="宋体"/>
                <w:sz w:val="24"/>
                <w:lang w:eastAsia="zh-CN"/>
              </w:rPr>
              <w:t>（早晚）</w:t>
            </w:r>
            <w:r>
              <w:rPr>
                <w:rFonts w:ascii="Times New Roman" w:hAnsi="宋体"/>
                <w:sz w:val="24"/>
              </w:rPr>
              <w:t>，按人均用水量</w:t>
            </w:r>
            <w:r>
              <w:rPr>
                <w:rFonts w:ascii="Times New Roman" w:hAnsi="Times New Roman"/>
                <w:sz w:val="24"/>
              </w:rPr>
              <w:t>10L/</w:t>
            </w:r>
            <w:r>
              <w:rPr>
                <w:rFonts w:ascii="Times New Roman" w:hAnsi="宋体"/>
                <w:sz w:val="24"/>
              </w:rPr>
              <w:t>人</w:t>
            </w:r>
            <w:r>
              <w:rPr>
                <w:rFonts w:ascii="Times New Roman" w:hAnsi="Times New Roman"/>
                <w:sz w:val="24"/>
              </w:rPr>
              <w:t>·</w:t>
            </w:r>
            <w:r>
              <w:rPr>
                <w:rFonts w:ascii="Times New Roman" w:hAnsi="宋体"/>
                <w:sz w:val="24"/>
              </w:rPr>
              <w:t>次计算，则总用水量为</w:t>
            </w:r>
            <w:r>
              <w:rPr>
                <w:rFonts w:hint="eastAsia" w:ascii="Times New Roman" w:hAnsi="Times New Roman"/>
                <w:sz w:val="24"/>
                <w:lang w:val="en-US" w:eastAsia="zh-CN"/>
              </w:rPr>
              <w:t>72</w:t>
            </w:r>
            <w:r>
              <w:rPr>
                <w:rFonts w:hint="eastAsia" w:ascii="Times New Roman" w:hAnsi="Times New Roman"/>
                <w:sz w:val="24"/>
              </w:rPr>
              <w:t>0</w:t>
            </w:r>
            <w:r>
              <w:rPr>
                <w:rFonts w:ascii="Times New Roman" w:hAnsi="Times New Roman"/>
                <w:sz w:val="24"/>
              </w:rPr>
              <w:t>m</w:t>
            </w:r>
            <w:r>
              <w:rPr>
                <w:rFonts w:ascii="Times New Roman" w:hAnsi="Times New Roman"/>
                <w:sz w:val="24"/>
                <w:vertAlign w:val="superscript"/>
              </w:rPr>
              <w:t>3</w:t>
            </w:r>
            <w:r>
              <w:rPr>
                <w:rFonts w:ascii="Times New Roman" w:hAnsi="Times New Roman"/>
                <w:sz w:val="24"/>
              </w:rPr>
              <w:t>/a</w:t>
            </w:r>
            <w:r>
              <w:rPr>
                <w:rFonts w:ascii="Times New Roman" w:hAnsi="宋体"/>
                <w:sz w:val="24"/>
              </w:rPr>
              <w:t>，以排放系数</w:t>
            </w:r>
            <w:r>
              <w:rPr>
                <w:rFonts w:ascii="Times New Roman" w:hAnsi="Times New Roman"/>
                <w:sz w:val="24"/>
              </w:rPr>
              <w:t>80%</w:t>
            </w:r>
            <w:r>
              <w:rPr>
                <w:rFonts w:ascii="Times New Roman" w:hAnsi="宋体"/>
                <w:sz w:val="24"/>
              </w:rPr>
              <w:t>计算，排水量为</w:t>
            </w:r>
            <w:r>
              <w:rPr>
                <w:rFonts w:hint="eastAsia" w:ascii="Times New Roman" w:hAnsi="Times New Roman"/>
                <w:sz w:val="24"/>
                <w:lang w:val="en-US" w:eastAsia="zh-CN"/>
              </w:rPr>
              <w:t>576</w:t>
            </w:r>
            <w:r>
              <w:rPr>
                <w:rFonts w:ascii="Times New Roman" w:hAnsi="Times New Roman"/>
                <w:sz w:val="24"/>
              </w:rPr>
              <w:t>m</w:t>
            </w:r>
            <w:r>
              <w:rPr>
                <w:rFonts w:ascii="Times New Roman" w:hAnsi="Times New Roman"/>
                <w:sz w:val="24"/>
                <w:vertAlign w:val="superscript"/>
              </w:rPr>
              <w:t>3</w:t>
            </w:r>
            <w:r>
              <w:rPr>
                <w:rFonts w:ascii="Times New Roman" w:hAnsi="Times New Roman"/>
                <w:sz w:val="24"/>
              </w:rPr>
              <w:t>/a</w:t>
            </w:r>
            <w:r>
              <w:rPr>
                <w:rFonts w:ascii="Times New Roman" w:hAnsi="宋体"/>
                <w:sz w:val="24"/>
              </w:rPr>
              <w:t>，污染物浓度为：</w:t>
            </w:r>
            <w:r>
              <w:rPr>
                <w:rFonts w:ascii="Times New Roman" w:hAnsi="Times New Roman"/>
                <w:sz w:val="24"/>
              </w:rPr>
              <w:t>COD 400mg/L</w:t>
            </w:r>
            <w:r>
              <w:rPr>
                <w:rFonts w:ascii="Times New Roman" w:hAnsi="宋体"/>
                <w:sz w:val="24"/>
              </w:rPr>
              <w:t>、</w:t>
            </w:r>
            <w:r>
              <w:rPr>
                <w:rFonts w:ascii="Times New Roman" w:hAnsi="Times New Roman"/>
                <w:sz w:val="24"/>
              </w:rPr>
              <w:t>SS 300mg/L</w:t>
            </w:r>
            <w:r>
              <w:rPr>
                <w:rFonts w:ascii="Times New Roman" w:hAnsi="宋体"/>
                <w:sz w:val="24"/>
              </w:rPr>
              <w:t>、</w:t>
            </w:r>
            <w:r>
              <w:rPr>
                <w:rFonts w:ascii="Times New Roman" w:hAnsi="Times New Roman"/>
                <w:sz w:val="24"/>
              </w:rPr>
              <w:t>NH</w:t>
            </w:r>
            <w:r>
              <w:rPr>
                <w:rFonts w:ascii="Times New Roman" w:hAnsi="Times New Roman"/>
                <w:sz w:val="24"/>
                <w:vertAlign w:val="subscript"/>
              </w:rPr>
              <w:t>3</w:t>
            </w:r>
            <w:r>
              <w:rPr>
                <w:rFonts w:ascii="Times New Roman" w:hAnsi="Times New Roman"/>
                <w:sz w:val="24"/>
              </w:rPr>
              <w:t>-N 25mg/L</w:t>
            </w:r>
            <w:r>
              <w:rPr>
                <w:rFonts w:ascii="Times New Roman" w:hAnsi="宋体"/>
                <w:sz w:val="24"/>
              </w:rPr>
              <w:t>、</w:t>
            </w:r>
            <w:r>
              <w:rPr>
                <w:rFonts w:ascii="Times New Roman" w:hAnsi="Times New Roman"/>
                <w:sz w:val="24"/>
              </w:rPr>
              <w:t>TP 5mg/L</w:t>
            </w:r>
            <w:r>
              <w:rPr>
                <w:rFonts w:ascii="Times New Roman" w:hAnsi="宋体"/>
                <w:sz w:val="24"/>
              </w:rPr>
              <w:t>、</w:t>
            </w:r>
            <w:r>
              <w:rPr>
                <w:rFonts w:ascii="Times New Roman" w:hAnsi="Times New Roman"/>
                <w:sz w:val="24"/>
              </w:rPr>
              <w:t>TN 50mg/L</w:t>
            </w:r>
            <w:r>
              <w:rPr>
                <w:rFonts w:ascii="Times New Roman" w:hAnsi="宋体"/>
                <w:sz w:val="24"/>
              </w:rPr>
              <w:t>、动植物油</w:t>
            </w:r>
            <w:r>
              <w:rPr>
                <w:rFonts w:ascii="Times New Roman" w:hAnsi="Times New Roman"/>
                <w:sz w:val="24"/>
              </w:rPr>
              <w:t xml:space="preserve"> 40mg/L</w:t>
            </w:r>
            <w:r>
              <w:rPr>
                <w:rFonts w:ascii="Times New Roman" w:hAnsi="宋体"/>
                <w:sz w:val="24"/>
              </w:rPr>
              <w:t>。</w:t>
            </w:r>
          </w:p>
          <w:p>
            <w:pPr>
              <w:pStyle w:val="2"/>
              <w:keepNext w:val="0"/>
              <w:keepLines w:val="0"/>
              <w:suppressLineNumbers w:val="0"/>
              <w:spacing w:before="0" w:beforeAutospacing="0" w:after="0" w:afterAutospacing="0" w:line="360" w:lineRule="auto"/>
              <w:ind w:left="0" w:leftChars="0" w:right="0" w:rightChars="0" w:firstLine="482" w:firstLineChars="200"/>
              <w:rPr>
                <w:rFonts w:ascii="Times New Roman" w:hAnsi="Times New Roman"/>
                <w:color w:val="000000"/>
                <w:sz w:val="24"/>
              </w:rPr>
            </w:pPr>
            <w:r>
              <w:rPr>
                <w:rFonts w:ascii="Times New Roman" w:hAnsi="宋体"/>
                <w:b/>
                <w:color w:val="000000"/>
                <w:sz w:val="24"/>
              </w:rPr>
              <w:t>冷却用水：</w:t>
            </w:r>
            <w:r>
              <w:rPr>
                <w:rFonts w:ascii="Times New Roman" w:hAnsi="宋体"/>
                <w:color w:val="000000"/>
                <w:sz w:val="24"/>
              </w:rPr>
              <w:t>本项目生产过程中注塑</w:t>
            </w:r>
            <w:r>
              <w:rPr>
                <w:rFonts w:hint="eastAsia" w:ascii="Times New Roman" w:hAnsi="宋体"/>
                <w:color w:val="000000"/>
                <w:sz w:val="24"/>
              </w:rPr>
              <w:t>成型</w:t>
            </w:r>
            <w:r>
              <w:rPr>
                <w:rFonts w:ascii="Times New Roman" w:hAnsi="宋体"/>
                <w:color w:val="000000"/>
                <w:sz w:val="24"/>
              </w:rPr>
              <w:t>工序需使用冷却水进行冷却，项目设有</w:t>
            </w:r>
            <w:r>
              <w:rPr>
                <w:rFonts w:hint="eastAsia" w:ascii="Times New Roman" w:hAnsi="Times New Roman"/>
                <w:color w:val="000000"/>
                <w:sz w:val="24"/>
              </w:rPr>
              <w:t>5</w:t>
            </w:r>
            <w:r>
              <w:rPr>
                <w:rFonts w:ascii="Times New Roman" w:hAnsi="宋体"/>
                <w:color w:val="000000"/>
                <w:sz w:val="24"/>
              </w:rPr>
              <w:t>台注塑机，共配有</w:t>
            </w:r>
            <w:r>
              <w:rPr>
                <w:rFonts w:ascii="Times New Roman" w:hAnsi="Times New Roman"/>
                <w:color w:val="000000"/>
                <w:sz w:val="24"/>
              </w:rPr>
              <w:t>1</w:t>
            </w:r>
            <w:r>
              <w:rPr>
                <w:rFonts w:ascii="Times New Roman" w:hAnsi="宋体"/>
                <w:color w:val="000000"/>
                <w:sz w:val="24"/>
              </w:rPr>
              <w:t>台冷水机，</w:t>
            </w:r>
            <w:r>
              <w:rPr>
                <w:rFonts w:hint="eastAsia" w:ascii="Times New Roman" w:hAnsi="宋体"/>
                <w:color w:val="000000"/>
                <w:sz w:val="24"/>
              </w:rPr>
              <w:t>1个冷却池（3m×2.2m×2m），</w:t>
            </w:r>
            <w:r>
              <w:rPr>
                <w:rFonts w:ascii="Times New Roman" w:hAnsi="宋体"/>
                <w:color w:val="000000"/>
                <w:sz w:val="24"/>
              </w:rPr>
              <w:t>冷水机循环水量为</w:t>
            </w:r>
            <w:r>
              <w:rPr>
                <w:rFonts w:ascii="Times New Roman" w:hAnsi="Times New Roman"/>
                <w:color w:val="000000"/>
                <w:sz w:val="24"/>
              </w:rPr>
              <w:t>5t/h</w:t>
            </w:r>
            <w:r>
              <w:rPr>
                <w:rFonts w:ascii="Times New Roman" w:hAnsi="宋体"/>
                <w:color w:val="000000"/>
                <w:sz w:val="24"/>
              </w:rPr>
              <w:t>，由于在循环冷却过程中存在一定量的消耗，需对其补水，根据《工业循环冷却水处理设计规范》（</w:t>
            </w:r>
            <w:r>
              <w:rPr>
                <w:rFonts w:ascii="Times New Roman" w:hAnsi="Times New Roman"/>
                <w:color w:val="000000"/>
                <w:sz w:val="24"/>
              </w:rPr>
              <w:t>GB50050-2007</w:t>
            </w:r>
            <w:r>
              <w:rPr>
                <w:rFonts w:ascii="Times New Roman" w:hAnsi="宋体"/>
                <w:color w:val="000000"/>
                <w:sz w:val="24"/>
              </w:rPr>
              <w:t>）中开式系统补充水计算公式：</w:t>
            </w:r>
          </w:p>
          <w:p>
            <w:pPr>
              <w:pStyle w:val="2"/>
              <w:keepNext w:val="0"/>
              <w:keepLines w:val="0"/>
              <w:suppressLineNumbers w:val="0"/>
              <w:spacing w:before="0" w:beforeAutospacing="0" w:after="0" w:afterAutospacing="0" w:line="360" w:lineRule="auto"/>
              <w:ind w:left="0" w:leftChars="0" w:right="0" w:rightChars="0"/>
              <w:jc w:val="center"/>
              <w:rPr>
                <w:rFonts w:ascii="Times New Roman" w:hAnsi="Times New Roman"/>
                <w:color w:val="000000"/>
                <w:sz w:val="24"/>
              </w:rPr>
            </w:pPr>
            <w:r>
              <w:rPr>
                <w:rFonts w:ascii="Times New Roman" w:hAnsi="Times New Roman"/>
                <w:color w:val="000000"/>
                <w:sz w:val="24"/>
              </w:rPr>
              <w:t>Q</w:t>
            </w:r>
            <w:r>
              <w:rPr>
                <w:rFonts w:ascii="Times New Roman" w:hAnsi="Times New Roman"/>
                <w:color w:val="000000"/>
                <w:sz w:val="24"/>
                <w:vertAlign w:val="subscript"/>
              </w:rPr>
              <w:t>m</w:t>
            </w:r>
            <w:r>
              <w:rPr>
                <w:rFonts w:ascii="Times New Roman" w:hAnsi="Times New Roman"/>
                <w:color w:val="000000"/>
                <w:sz w:val="24"/>
              </w:rPr>
              <w:t>=Q</w:t>
            </w:r>
            <w:r>
              <w:rPr>
                <w:rFonts w:ascii="Times New Roman" w:hAnsi="Times New Roman"/>
                <w:color w:val="000000"/>
                <w:sz w:val="24"/>
                <w:vertAlign w:val="subscript"/>
              </w:rPr>
              <w:t>e</w:t>
            </w:r>
            <w:r>
              <w:rPr>
                <w:rFonts w:ascii="Times New Roman" w:hAnsi="Times New Roman"/>
                <w:color w:val="000000"/>
                <w:sz w:val="24"/>
              </w:rPr>
              <w:t>+Q</w:t>
            </w:r>
            <w:r>
              <w:rPr>
                <w:rFonts w:ascii="Times New Roman" w:hAnsi="Times New Roman"/>
                <w:color w:val="000000"/>
                <w:sz w:val="24"/>
                <w:vertAlign w:val="subscript"/>
              </w:rPr>
              <w:t>b</w:t>
            </w:r>
            <w:r>
              <w:rPr>
                <w:rFonts w:ascii="Times New Roman" w:hAnsi="Times New Roman"/>
                <w:color w:val="000000"/>
                <w:sz w:val="24"/>
              </w:rPr>
              <w:t>+Q</w:t>
            </w:r>
            <w:r>
              <w:rPr>
                <w:rFonts w:ascii="Times New Roman" w:hAnsi="Times New Roman"/>
                <w:color w:val="000000"/>
                <w:sz w:val="24"/>
                <w:vertAlign w:val="subscript"/>
              </w:rPr>
              <w:t>w</w:t>
            </w:r>
          </w:p>
          <w:p>
            <w:pPr>
              <w:pStyle w:val="2"/>
              <w:keepNext w:val="0"/>
              <w:keepLines w:val="0"/>
              <w:suppressLineNumbers w:val="0"/>
              <w:spacing w:before="0" w:beforeAutospacing="0" w:after="0" w:afterAutospacing="0" w:line="360" w:lineRule="auto"/>
              <w:ind w:left="0" w:leftChars="0" w:right="0" w:rightChars="0" w:firstLine="480" w:firstLineChars="200"/>
              <w:rPr>
                <w:rFonts w:ascii="Times New Roman" w:hAnsi="Times New Roman"/>
                <w:color w:val="000000"/>
                <w:sz w:val="24"/>
              </w:rPr>
            </w:pPr>
            <w:r>
              <w:rPr>
                <w:rFonts w:ascii="Times New Roman" w:hAnsi="宋体"/>
                <w:color w:val="000000"/>
                <w:sz w:val="24"/>
              </w:rPr>
              <w:t>式中，</w:t>
            </w:r>
            <w:r>
              <w:rPr>
                <w:rFonts w:ascii="Times New Roman" w:hAnsi="Times New Roman"/>
                <w:color w:val="000000"/>
                <w:sz w:val="24"/>
              </w:rPr>
              <w:t>Q</w:t>
            </w:r>
            <w:r>
              <w:rPr>
                <w:rFonts w:ascii="Times New Roman" w:hAnsi="Times New Roman"/>
                <w:color w:val="000000"/>
                <w:sz w:val="24"/>
                <w:vertAlign w:val="subscript"/>
              </w:rPr>
              <w:t>m</w:t>
            </w:r>
            <w:r>
              <w:rPr>
                <w:rFonts w:ascii="Times New Roman" w:hAnsi="Times New Roman"/>
                <w:color w:val="000000"/>
                <w:sz w:val="24"/>
              </w:rPr>
              <w:t>——</w:t>
            </w:r>
            <w:r>
              <w:rPr>
                <w:rFonts w:ascii="Times New Roman" w:hAnsi="宋体"/>
                <w:color w:val="000000"/>
                <w:sz w:val="24"/>
              </w:rPr>
              <w:t>补充水量（</w:t>
            </w:r>
            <w:r>
              <w:rPr>
                <w:rFonts w:ascii="Times New Roman" w:hAnsi="Times New Roman"/>
                <w:color w:val="000000"/>
                <w:sz w:val="24"/>
              </w:rPr>
              <w:t>m</w:t>
            </w:r>
            <w:r>
              <w:rPr>
                <w:rFonts w:ascii="Times New Roman" w:hAnsi="Times New Roman"/>
                <w:color w:val="000000"/>
                <w:sz w:val="24"/>
                <w:vertAlign w:val="superscript"/>
              </w:rPr>
              <w:t>3</w:t>
            </w:r>
            <w:r>
              <w:rPr>
                <w:rFonts w:ascii="Times New Roman" w:hAnsi="Times New Roman"/>
                <w:color w:val="000000"/>
                <w:sz w:val="24"/>
              </w:rPr>
              <w:t>/h</w:t>
            </w:r>
            <w:r>
              <w:rPr>
                <w:rFonts w:ascii="Times New Roman" w:hAnsi="宋体"/>
                <w:color w:val="000000"/>
                <w:sz w:val="24"/>
              </w:rPr>
              <w:t>）；</w:t>
            </w:r>
          </w:p>
          <w:p>
            <w:pPr>
              <w:pStyle w:val="2"/>
              <w:keepNext w:val="0"/>
              <w:keepLines w:val="0"/>
              <w:suppressLineNumbers w:val="0"/>
              <w:spacing w:before="0" w:beforeAutospacing="0" w:after="0" w:afterAutospacing="0" w:line="360" w:lineRule="auto"/>
              <w:ind w:left="0" w:leftChars="0" w:right="0" w:rightChars="0" w:firstLine="480" w:firstLineChars="200"/>
              <w:rPr>
                <w:rFonts w:ascii="Times New Roman" w:hAnsi="Times New Roman"/>
                <w:color w:val="000000"/>
                <w:sz w:val="24"/>
              </w:rPr>
            </w:pPr>
            <w:r>
              <w:rPr>
                <w:rFonts w:ascii="Times New Roman" w:hAnsi="Times New Roman"/>
                <w:color w:val="000000"/>
                <w:sz w:val="24"/>
              </w:rPr>
              <w:t>Q</w:t>
            </w:r>
            <w:r>
              <w:rPr>
                <w:rFonts w:ascii="Times New Roman" w:hAnsi="Times New Roman"/>
                <w:color w:val="000000"/>
                <w:sz w:val="24"/>
                <w:vertAlign w:val="subscript"/>
              </w:rPr>
              <w:t>e</w:t>
            </w:r>
            <w:r>
              <w:rPr>
                <w:rFonts w:ascii="Times New Roman" w:hAnsi="Times New Roman"/>
                <w:color w:val="000000"/>
                <w:sz w:val="24"/>
              </w:rPr>
              <w:t>——</w:t>
            </w:r>
            <w:r>
              <w:rPr>
                <w:rFonts w:ascii="Times New Roman" w:hAnsi="宋体"/>
                <w:color w:val="000000"/>
                <w:sz w:val="24"/>
              </w:rPr>
              <w:t>蒸发水量（</w:t>
            </w:r>
            <w:r>
              <w:rPr>
                <w:rFonts w:ascii="Times New Roman" w:hAnsi="Times New Roman"/>
                <w:color w:val="000000"/>
                <w:sz w:val="24"/>
              </w:rPr>
              <w:t>m</w:t>
            </w:r>
            <w:r>
              <w:rPr>
                <w:rFonts w:ascii="Times New Roman" w:hAnsi="Times New Roman"/>
                <w:color w:val="000000"/>
                <w:sz w:val="24"/>
                <w:vertAlign w:val="superscript"/>
              </w:rPr>
              <w:t>3</w:t>
            </w:r>
            <w:r>
              <w:rPr>
                <w:rFonts w:ascii="Times New Roman" w:hAnsi="Times New Roman"/>
                <w:color w:val="000000"/>
                <w:sz w:val="24"/>
              </w:rPr>
              <w:t>/h</w:t>
            </w:r>
            <w:r>
              <w:rPr>
                <w:rFonts w:ascii="Times New Roman" w:hAnsi="宋体"/>
                <w:color w:val="000000"/>
                <w:sz w:val="24"/>
              </w:rPr>
              <w:t>），</w:t>
            </w:r>
            <w:r>
              <w:rPr>
                <w:rFonts w:ascii="Times New Roman" w:hAnsi="Times New Roman"/>
                <w:color w:val="000000"/>
                <w:sz w:val="24"/>
              </w:rPr>
              <w:t>Q</w:t>
            </w:r>
            <w:r>
              <w:rPr>
                <w:rFonts w:ascii="Times New Roman" w:hAnsi="Times New Roman"/>
                <w:color w:val="000000"/>
                <w:sz w:val="24"/>
                <w:vertAlign w:val="subscript"/>
              </w:rPr>
              <w:t>e</w:t>
            </w:r>
            <w:r>
              <w:rPr>
                <w:rFonts w:ascii="Times New Roman" w:hAnsi="Times New Roman"/>
                <w:color w:val="000000"/>
                <w:sz w:val="24"/>
              </w:rPr>
              <w:t>=k·</w:t>
            </w:r>
            <w:r>
              <w:rPr>
                <w:rFonts w:ascii="Times New Roman" w:hAnsi="宋体"/>
                <w:color w:val="000000"/>
                <w:sz w:val="24"/>
              </w:rPr>
              <w:t>△</w:t>
            </w:r>
            <w:r>
              <w:rPr>
                <w:rFonts w:ascii="Times New Roman" w:hAnsi="Times New Roman"/>
                <w:color w:val="000000"/>
                <w:sz w:val="24"/>
              </w:rPr>
              <w:t>t·Q</w:t>
            </w:r>
            <w:r>
              <w:rPr>
                <w:rFonts w:ascii="Times New Roman" w:hAnsi="Times New Roman"/>
                <w:color w:val="000000"/>
                <w:sz w:val="24"/>
                <w:vertAlign w:val="subscript"/>
              </w:rPr>
              <w:t>r</w:t>
            </w:r>
            <w:r>
              <w:rPr>
                <w:rFonts w:ascii="Times New Roman" w:hAnsi="宋体"/>
                <w:color w:val="000000"/>
                <w:sz w:val="24"/>
              </w:rPr>
              <w:t>，</w:t>
            </w:r>
            <w:r>
              <w:rPr>
                <w:rFonts w:ascii="Times New Roman" w:hAnsi="Times New Roman"/>
                <w:color w:val="000000"/>
                <w:sz w:val="24"/>
              </w:rPr>
              <w:t>Q</w:t>
            </w:r>
            <w:r>
              <w:rPr>
                <w:rFonts w:ascii="Times New Roman" w:hAnsi="Times New Roman"/>
                <w:color w:val="000000"/>
                <w:sz w:val="24"/>
                <w:vertAlign w:val="subscript"/>
              </w:rPr>
              <w:t>r</w:t>
            </w:r>
            <w:r>
              <w:rPr>
                <w:rFonts w:ascii="Times New Roman" w:hAnsi="宋体"/>
                <w:color w:val="000000"/>
                <w:sz w:val="24"/>
              </w:rPr>
              <w:t>为循环冷却水量（</w:t>
            </w:r>
            <w:r>
              <w:rPr>
                <w:rFonts w:ascii="Times New Roman" w:hAnsi="Times New Roman"/>
                <w:color w:val="000000"/>
                <w:sz w:val="24"/>
              </w:rPr>
              <w:t>m</w:t>
            </w:r>
            <w:r>
              <w:rPr>
                <w:rFonts w:ascii="Times New Roman" w:hAnsi="Times New Roman"/>
                <w:color w:val="000000"/>
                <w:sz w:val="24"/>
                <w:vertAlign w:val="superscript"/>
              </w:rPr>
              <w:t>3</w:t>
            </w:r>
            <w:r>
              <w:rPr>
                <w:rFonts w:ascii="Times New Roman" w:hAnsi="Times New Roman"/>
                <w:color w:val="000000"/>
                <w:sz w:val="24"/>
              </w:rPr>
              <w:t>/h</w:t>
            </w:r>
            <w:r>
              <w:rPr>
                <w:rFonts w:ascii="Times New Roman" w:hAnsi="宋体"/>
                <w:color w:val="000000"/>
                <w:sz w:val="24"/>
              </w:rPr>
              <w:t>），本项目冷却机循环水量</w:t>
            </w:r>
            <w:r>
              <w:rPr>
                <w:rFonts w:hint="eastAsia" w:ascii="Times New Roman" w:hAnsi="宋体"/>
                <w:color w:val="000000"/>
                <w:sz w:val="24"/>
              </w:rPr>
              <w:t>为</w:t>
            </w:r>
            <w:r>
              <w:rPr>
                <w:rFonts w:hint="eastAsia" w:ascii="Times New Roman" w:hAnsi="Times New Roman"/>
                <w:color w:val="000000"/>
                <w:sz w:val="24"/>
              </w:rPr>
              <w:t>5</w:t>
            </w:r>
            <w:r>
              <w:rPr>
                <w:rFonts w:ascii="Times New Roman" w:hAnsi="Times New Roman"/>
                <w:color w:val="000000"/>
                <w:sz w:val="24"/>
              </w:rPr>
              <w:t>m</w:t>
            </w:r>
            <w:r>
              <w:rPr>
                <w:rFonts w:ascii="Times New Roman" w:hAnsi="Times New Roman"/>
                <w:color w:val="000000"/>
                <w:sz w:val="24"/>
                <w:vertAlign w:val="superscript"/>
              </w:rPr>
              <w:t>3</w:t>
            </w:r>
            <w:r>
              <w:rPr>
                <w:rFonts w:ascii="Times New Roman" w:hAnsi="Times New Roman"/>
                <w:color w:val="000000"/>
                <w:sz w:val="24"/>
              </w:rPr>
              <w:t>/h</w:t>
            </w:r>
            <w:r>
              <w:rPr>
                <w:rFonts w:ascii="Times New Roman" w:hAnsi="宋体"/>
                <w:color w:val="000000"/>
                <w:sz w:val="24"/>
              </w:rPr>
              <w:t>，</w:t>
            </w:r>
            <w:r>
              <w:rPr>
                <w:rFonts w:ascii="Times New Roman" w:hAnsi="Times New Roman"/>
                <w:color w:val="000000"/>
                <w:sz w:val="24"/>
              </w:rPr>
              <w:t>k</w:t>
            </w:r>
            <w:r>
              <w:rPr>
                <w:rFonts w:ascii="Times New Roman" w:hAnsi="宋体"/>
                <w:color w:val="000000"/>
                <w:sz w:val="24"/>
              </w:rPr>
              <w:t>取</w:t>
            </w:r>
            <w:r>
              <w:rPr>
                <w:rFonts w:ascii="Times New Roman" w:hAnsi="Times New Roman"/>
                <w:color w:val="000000"/>
                <w:sz w:val="24"/>
              </w:rPr>
              <w:t>0.0014</w:t>
            </w:r>
            <w:r>
              <w:rPr>
                <w:rFonts w:ascii="Times New Roman" w:hAnsi="宋体"/>
                <w:color w:val="000000"/>
                <w:sz w:val="24"/>
              </w:rPr>
              <w:t>（气温</w:t>
            </w:r>
            <w:r>
              <w:rPr>
                <w:rFonts w:ascii="Times New Roman" w:hAnsi="Times New Roman"/>
                <w:color w:val="000000"/>
                <w:sz w:val="24"/>
              </w:rPr>
              <w:t>20</w:t>
            </w:r>
            <w:r>
              <w:rPr>
                <w:rFonts w:ascii="Times New Roman" w:hAnsi="宋体"/>
                <w:color w:val="000000"/>
                <w:sz w:val="24"/>
              </w:rPr>
              <w:t>℃），△</w:t>
            </w:r>
            <w:r>
              <w:rPr>
                <w:rFonts w:ascii="Times New Roman" w:hAnsi="Times New Roman"/>
                <w:color w:val="000000"/>
                <w:sz w:val="24"/>
              </w:rPr>
              <w:t>t</w:t>
            </w:r>
            <w:r>
              <w:rPr>
                <w:rFonts w:ascii="Times New Roman" w:hAnsi="宋体"/>
                <w:color w:val="000000"/>
                <w:sz w:val="24"/>
              </w:rPr>
              <w:t>为冷却水温差，本项目取</w:t>
            </w:r>
            <w:r>
              <w:rPr>
                <w:rFonts w:ascii="Times New Roman" w:hAnsi="Times New Roman"/>
                <w:color w:val="000000"/>
                <w:sz w:val="24"/>
              </w:rPr>
              <w:t>5</w:t>
            </w:r>
            <w:r>
              <w:rPr>
                <w:rFonts w:ascii="Times New Roman" w:hAnsi="宋体"/>
                <w:color w:val="000000"/>
                <w:sz w:val="24"/>
              </w:rPr>
              <w:t>；</w:t>
            </w:r>
          </w:p>
          <w:p>
            <w:pPr>
              <w:pStyle w:val="2"/>
              <w:keepNext w:val="0"/>
              <w:keepLines w:val="0"/>
              <w:suppressLineNumbers w:val="0"/>
              <w:spacing w:before="0" w:beforeAutospacing="0" w:after="0" w:afterAutospacing="0" w:line="360" w:lineRule="auto"/>
              <w:ind w:left="0" w:leftChars="0" w:right="0" w:rightChars="0" w:firstLine="480" w:firstLineChars="200"/>
              <w:rPr>
                <w:rFonts w:ascii="Times New Roman" w:hAnsi="Times New Roman"/>
                <w:color w:val="000000"/>
                <w:sz w:val="24"/>
              </w:rPr>
            </w:pPr>
            <w:r>
              <w:rPr>
                <w:rFonts w:ascii="Times New Roman" w:hAnsi="Times New Roman"/>
                <w:color w:val="000000"/>
                <w:sz w:val="24"/>
              </w:rPr>
              <w:t>Q</w:t>
            </w:r>
            <w:r>
              <w:rPr>
                <w:rFonts w:ascii="Times New Roman" w:hAnsi="Times New Roman"/>
                <w:color w:val="000000"/>
                <w:sz w:val="24"/>
                <w:vertAlign w:val="subscript"/>
              </w:rPr>
              <w:t>b</w:t>
            </w:r>
            <w:r>
              <w:rPr>
                <w:rFonts w:ascii="Times New Roman" w:hAnsi="Times New Roman"/>
                <w:color w:val="000000"/>
                <w:sz w:val="24"/>
              </w:rPr>
              <w:t>——</w:t>
            </w:r>
            <w:r>
              <w:rPr>
                <w:rFonts w:ascii="Times New Roman" w:hAnsi="宋体"/>
                <w:color w:val="000000"/>
                <w:sz w:val="24"/>
              </w:rPr>
              <w:t>排污水量（</w:t>
            </w:r>
            <w:r>
              <w:rPr>
                <w:rFonts w:ascii="Times New Roman" w:hAnsi="Times New Roman"/>
                <w:color w:val="000000"/>
                <w:sz w:val="24"/>
              </w:rPr>
              <w:t>m</w:t>
            </w:r>
            <w:r>
              <w:rPr>
                <w:rFonts w:ascii="Times New Roman" w:hAnsi="Times New Roman"/>
                <w:color w:val="000000"/>
                <w:sz w:val="24"/>
                <w:vertAlign w:val="superscript"/>
              </w:rPr>
              <w:t>3</w:t>
            </w:r>
            <w:r>
              <w:rPr>
                <w:rFonts w:ascii="Times New Roman" w:hAnsi="Times New Roman"/>
                <w:color w:val="000000"/>
                <w:sz w:val="24"/>
              </w:rPr>
              <w:t>/h</w:t>
            </w:r>
            <w:r>
              <w:rPr>
                <w:rFonts w:ascii="Times New Roman" w:hAnsi="宋体"/>
                <w:color w:val="000000"/>
                <w:sz w:val="24"/>
              </w:rPr>
              <w:t>），本项目取</w:t>
            </w:r>
            <w:r>
              <w:rPr>
                <w:rFonts w:ascii="Times New Roman" w:hAnsi="Times New Roman"/>
                <w:color w:val="000000"/>
                <w:sz w:val="24"/>
              </w:rPr>
              <w:t>0</w:t>
            </w:r>
            <w:r>
              <w:rPr>
                <w:rFonts w:ascii="Times New Roman" w:hAnsi="宋体"/>
                <w:color w:val="000000"/>
                <w:sz w:val="24"/>
              </w:rPr>
              <w:t>；</w:t>
            </w:r>
          </w:p>
          <w:p>
            <w:pPr>
              <w:pStyle w:val="2"/>
              <w:keepNext w:val="0"/>
              <w:keepLines w:val="0"/>
              <w:suppressLineNumbers w:val="0"/>
              <w:spacing w:before="0" w:beforeAutospacing="0" w:after="0" w:afterAutospacing="0" w:line="360" w:lineRule="auto"/>
              <w:ind w:left="0" w:leftChars="0" w:right="0" w:rightChars="0" w:firstLine="480" w:firstLineChars="200"/>
              <w:rPr>
                <w:rFonts w:ascii="Times New Roman" w:hAnsi="Times New Roman"/>
                <w:color w:val="000000"/>
                <w:sz w:val="24"/>
              </w:rPr>
            </w:pPr>
            <w:r>
              <w:rPr>
                <w:rFonts w:ascii="Times New Roman" w:hAnsi="Times New Roman"/>
                <w:color w:val="000000"/>
                <w:sz w:val="24"/>
              </w:rPr>
              <w:t>Q</w:t>
            </w:r>
            <w:r>
              <w:rPr>
                <w:rFonts w:ascii="Times New Roman" w:hAnsi="Times New Roman"/>
                <w:color w:val="000000"/>
                <w:sz w:val="24"/>
                <w:vertAlign w:val="subscript"/>
              </w:rPr>
              <w:t>w</w:t>
            </w:r>
            <w:r>
              <w:rPr>
                <w:rFonts w:ascii="Times New Roman" w:hAnsi="Times New Roman"/>
                <w:color w:val="000000"/>
                <w:sz w:val="24"/>
              </w:rPr>
              <w:t>——</w:t>
            </w:r>
            <w:r>
              <w:rPr>
                <w:rFonts w:ascii="Times New Roman" w:hAnsi="宋体"/>
                <w:color w:val="000000"/>
                <w:sz w:val="24"/>
              </w:rPr>
              <w:t>蒸风吹损失水量（</w:t>
            </w:r>
            <w:r>
              <w:rPr>
                <w:rFonts w:ascii="Times New Roman" w:hAnsi="Times New Roman"/>
                <w:color w:val="000000"/>
                <w:sz w:val="24"/>
              </w:rPr>
              <w:t>m</w:t>
            </w:r>
            <w:r>
              <w:rPr>
                <w:rFonts w:ascii="Times New Roman" w:hAnsi="Times New Roman"/>
                <w:color w:val="000000"/>
                <w:sz w:val="24"/>
                <w:vertAlign w:val="superscript"/>
              </w:rPr>
              <w:t>3</w:t>
            </w:r>
            <w:r>
              <w:rPr>
                <w:rFonts w:ascii="Times New Roman" w:hAnsi="Times New Roman"/>
                <w:color w:val="000000"/>
                <w:sz w:val="24"/>
              </w:rPr>
              <w:t>/h</w:t>
            </w:r>
            <w:r>
              <w:rPr>
                <w:rFonts w:ascii="Times New Roman" w:hAnsi="宋体"/>
                <w:color w:val="000000"/>
                <w:sz w:val="24"/>
              </w:rPr>
              <w:t>），本项目取</w:t>
            </w:r>
            <w:r>
              <w:rPr>
                <w:rFonts w:ascii="Times New Roman" w:hAnsi="Times New Roman"/>
                <w:color w:val="000000"/>
                <w:sz w:val="24"/>
              </w:rPr>
              <w:t>0</w:t>
            </w:r>
            <w:r>
              <w:rPr>
                <w:rFonts w:ascii="Times New Roman" w:hAnsi="宋体"/>
                <w:color w:val="000000"/>
                <w:sz w:val="24"/>
              </w:rPr>
              <w:t>。</w:t>
            </w:r>
          </w:p>
          <w:p>
            <w:pPr>
              <w:pStyle w:val="2"/>
              <w:keepNext w:val="0"/>
              <w:keepLines w:val="0"/>
              <w:suppressLineNumbers w:val="0"/>
              <w:spacing w:before="0" w:beforeAutospacing="0" w:after="0" w:afterAutospacing="0" w:line="360" w:lineRule="auto"/>
              <w:ind w:left="0" w:leftChars="0" w:right="0" w:rightChars="0" w:firstLine="480" w:firstLineChars="200"/>
              <w:rPr>
                <w:rFonts w:ascii="Times New Roman" w:hAnsi="Times New Roman"/>
                <w:color w:val="000000"/>
                <w:sz w:val="24"/>
              </w:rPr>
            </w:pPr>
            <w:r>
              <w:rPr>
                <w:rFonts w:ascii="Times New Roman" w:hAnsi="宋体"/>
                <w:color w:val="000000"/>
                <w:sz w:val="24"/>
              </w:rPr>
              <w:t>经计算本项目冷却水需补充水量为</w:t>
            </w:r>
            <w:r>
              <w:rPr>
                <w:rFonts w:ascii="Times New Roman" w:hAnsi="Times New Roman"/>
                <w:color w:val="000000"/>
                <w:sz w:val="24"/>
              </w:rPr>
              <w:t>0.</w:t>
            </w:r>
            <w:r>
              <w:rPr>
                <w:rFonts w:hint="eastAsia" w:ascii="Times New Roman" w:hAnsi="Times New Roman"/>
                <w:color w:val="000000"/>
                <w:sz w:val="24"/>
              </w:rPr>
              <w:t>035</w:t>
            </w:r>
            <w:r>
              <w:rPr>
                <w:rFonts w:ascii="Times New Roman" w:hAnsi="Times New Roman"/>
                <w:color w:val="000000"/>
                <w:sz w:val="24"/>
              </w:rPr>
              <w:t>m</w:t>
            </w:r>
            <w:r>
              <w:rPr>
                <w:rFonts w:ascii="Times New Roman" w:hAnsi="Times New Roman"/>
                <w:color w:val="000000"/>
                <w:sz w:val="24"/>
                <w:vertAlign w:val="superscript"/>
              </w:rPr>
              <w:t>3</w:t>
            </w:r>
            <w:r>
              <w:rPr>
                <w:rFonts w:ascii="Times New Roman" w:hAnsi="Times New Roman"/>
                <w:color w:val="000000"/>
                <w:sz w:val="24"/>
              </w:rPr>
              <w:t>/h</w:t>
            </w:r>
            <w:r>
              <w:rPr>
                <w:rFonts w:ascii="Times New Roman" w:hAnsi="宋体"/>
                <w:color w:val="000000"/>
                <w:sz w:val="24"/>
              </w:rPr>
              <w:t>，</w:t>
            </w:r>
            <w:r>
              <w:rPr>
                <w:rFonts w:hint="eastAsia" w:ascii="Times New Roman" w:hAnsi="宋体"/>
                <w:color w:val="000000"/>
                <w:sz w:val="24"/>
              </w:rPr>
              <w:t>注塑机</w:t>
            </w:r>
            <w:r>
              <w:rPr>
                <w:rFonts w:ascii="Times New Roman" w:hAnsi="宋体"/>
                <w:color w:val="000000"/>
                <w:sz w:val="24"/>
              </w:rPr>
              <w:t>年工作时间按</w:t>
            </w:r>
            <w:r>
              <w:rPr>
                <w:rFonts w:hint="eastAsia" w:ascii="Times New Roman" w:hAnsi="Times New Roman"/>
                <w:color w:val="000000"/>
                <w:sz w:val="24"/>
              </w:rPr>
              <w:t>3</w:t>
            </w:r>
            <w:r>
              <w:rPr>
                <w:rFonts w:hint="eastAsia" w:ascii="Times New Roman" w:hAnsi="Times New Roman"/>
                <w:color w:val="000000"/>
                <w:sz w:val="24"/>
                <w:lang w:val="en-US" w:eastAsia="zh-CN"/>
              </w:rPr>
              <w:t>0</w:t>
            </w:r>
            <w:r>
              <w:rPr>
                <w:rFonts w:ascii="Times New Roman" w:hAnsi="Times New Roman"/>
                <w:color w:val="000000"/>
                <w:sz w:val="24"/>
              </w:rPr>
              <w:t>00h</w:t>
            </w:r>
            <w:r>
              <w:rPr>
                <w:rFonts w:ascii="Times New Roman" w:hAnsi="宋体"/>
                <w:color w:val="000000"/>
                <w:sz w:val="24"/>
              </w:rPr>
              <w:t>计，则需年补充冷却水量为</w:t>
            </w:r>
            <w:r>
              <w:rPr>
                <w:rFonts w:hint="eastAsia" w:ascii="Times New Roman" w:hAnsi="Times New Roman"/>
                <w:color w:val="000000"/>
                <w:sz w:val="24"/>
                <w:lang w:val="en-US" w:eastAsia="zh-CN"/>
              </w:rPr>
              <w:t>105</w:t>
            </w:r>
            <w:r>
              <w:rPr>
                <w:rFonts w:ascii="Times New Roman" w:hAnsi="Times New Roman"/>
                <w:color w:val="000000"/>
                <w:sz w:val="24"/>
              </w:rPr>
              <w:t>m</w:t>
            </w:r>
            <w:r>
              <w:rPr>
                <w:rFonts w:ascii="Times New Roman" w:hAnsi="Times New Roman"/>
                <w:color w:val="000000"/>
                <w:sz w:val="24"/>
                <w:vertAlign w:val="superscript"/>
              </w:rPr>
              <w:t>3</w:t>
            </w:r>
            <w:r>
              <w:rPr>
                <w:rFonts w:ascii="Times New Roman" w:hAnsi="宋体"/>
                <w:color w:val="000000"/>
                <w:sz w:val="24"/>
              </w:rPr>
              <w:t>，本项目冷却水循环使用，不外排。</w:t>
            </w:r>
          </w:p>
          <w:p>
            <w:pPr>
              <w:pStyle w:val="2"/>
              <w:keepNext w:val="0"/>
              <w:keepLines w:val="0"/>
              <w:suppressLineNumbers w:val="0"/>
              <w:spacing w:before="0" w:beforeAutospacing="0" w:after="0" w:afterAutospacing="0" w:line="360" w:lineRule="auto"/>
              <w:ind w:left="0" w:leftChars="0" w:right="0" w:rightChars="0" w:firstLine="480" w:firstLineChars="200"/>
              <w:rPr>
                <w:rFonts w:ascii="宋体" w:hAnsi="宋体"/>
                <w:sz w:val="24"/>
              </w:rPr>
            </w:pPr>
            <w:r>
              <w:rPr>
                <w:rFonts w:hint="eastAsia" w:ascii="宋体" w:hAnsi="宋体"/>
                <w:sz w:val="24"/>
              </w:rPr>
              <w:t>本项目废水产生及排放情况见下表。</w:t>
            </w:r>
          </w:p>
          <w:p>
            <w:pPr>
              <w:keepNext w:val="0"/>
              <w:keepLines w:val="0"/>
              <w:suppressLineNumbers w:val="0"/>
              <w:spacing w:before="0" w:beforeAutospacing="0" w:after="0" w:afterAutospacing="0"/>
              <w:ind w:left="0" w:right="0"/>
              <w:jc w:val="center"/>
              <w:rPr>
                <w:rFonts w:ascii="宋体" w:hAnsi="宋体"/>
                <w:b/>
                <w:sz w:val="24"/>
              </w:rPr>
            </w:pPr>
            <w:r>
              <w:rPr>
                <w:rFonts w:hint="eastAsia" w:ascii="宋体" w:hAnsi="宋体"/>
                <w:b/>
                <w:sz w:val="24"/>
              </w:rPr>
              <w:t>表</w:t>
            </w:r>
            <w:r>
              <w:rPr>
                <w:rFonts w:hint="eastAsia"/>
                <w:b/>
                <w:sz w:val="24"/>
              </w:rPr>
              <w:t xml:space="preserve">4-12 </w:t>
            </w:r>
            <w:r>
              <w:rPr>
                <w:rFonts w:hint="eastAsia" w:ascii="宋体" w:hAnsi="宋体"/>
                <w:b/>
                <w:sz w:val="24"/>
              </w:rPr>
              <w:t>本项目废水产生及排放情况</w:t>
            </w:r>
          </w:p>
          <w:tbl>
            <w:tblPr>
              <w:tblStyle w:val="21"/>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672"/>
              <w:gridCol w:w="842"/>
              <w:gridCol w:w="736"/>
              <w:gridCol w:w="727"/>
              <w:gridCol w:w="866"/>
              <w:gridCol w:w="668"/>
              <w:gridCol w:w="869"/>
              <w:gridCol w:w="1240"/>
              <w:gridCol w:w="871"/>
              <w:gridCol w:w="691"/>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411" w:type="pct"/>
                  <w:vMerge w:val="restart"/>
                  <w:tcBorders>
                    <w:top w:val="single" w:color="000000" w:sz="12" w:space="0"/>
                    <w:left w:val="nil"/>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rPr>
                    <w:t>废水来源</w:t>
                  </w:r>
                </w:p>
              </w:tc>
              <w:tc>
                <w:tcPr>
                  <w:tcW w:w="515" w:type="pct"/>
                  <w:vMerge w:val="restart"/>
                  <w:tcBorders>
                    <w:top w:val="single" w:color="000000" w:sz="12"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rPr>
                    <w:t>废水量m</w:t>
                  </w:r>
                  <w:r>
                    <w:rPr>
                      <w:b/>
                      <w:bCs/>
                      <w:vertAlign w:val="superscript"/>
                    </w:rPr>
                    <w:t>3</w:t>
                  </w:r>
                  <w:r>
                    <w:rPr>
                      <w:b/>
                      <w:bCs/>
                    </w:rPr>
                    <w:t>/a</w:t>
                  </w:r>
                </w:p>
              </w:tc>
              <w:tc>
                <w:tcPr>
                  <w:tcW w:w="1423" w:type="pct"/>
                  <w:gridSpan w:val="3"/>
                  <w:tcBorders>
                    <w:top w:val="single" w:color="000000" w:sz="12"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rPr>
                    <w:t>污染物产生情况</w:t>
                  </w:r>
                </w:p>
              </w:tc>
              <w:tc>
                <w:tcPr>
                  <w:tcW w:w="408" w:type="pct"/>
                  <w:vMerge w:val="restart"/>
                  <w:tcBorders>
                    <w:top w:val="single" w:color="000000" w:sz="12"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rPr>
                    <w:t>处理方法</w:t>
                  </w:r>
                </w:p>
              </w:tc>
              <w:tc>
                <w:tcPr>
                  <w:tcW w:w="1289" w:type="pct"/>
                  <w:gridSpan w:val="2"/>
                  <w:tcBorders>
                    <w:top w:val="single" w:color="000000" w:sz="12"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rPr>
                    <w:t>排放情况</w:t>
                  </w:r>
                </w:p>
              </w:tc>
              <w:tc>
                <w:tcPr>
                  <w:tcW w:w="532" w:type="pct"/>
                  <w:vMerge w:val="restart"/>
                  <w:tcBorders>
                    <w:top w:val="single" w:color="000000" w:sz="12"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b/>
                      <w:bCs/>
                    </w:rPr>
                  </w:pPr>
                  <w:r>
                    <w:rPr>
                      <w:b/>
                      <w:bCs/>
                    </w:rPr>
                    <w:t>污水厂接纳</w:t>
                  </w:r>
                </w:p>
                <w:p>
                  <w:pPr>
                    <w:keepNext w:val="0"/>
                    <w:keepLines w:val="0"/>
                    <w:suppressLineNumbers w:val="0"/>
                    <w:adjustRightInd w:val="0"/>
                    <w:snapToGrid w:val="0"/>
                    <w:spacing w:before="0" w:beforeAutospacing="0" w:after="0" w:afterAutospacing="0"/>
                    <w:ind w:left="0" w:right="0"/>
                    <w:jc w:val="center"/>
                    <w:rPr>
                      <w:b/>
                      <w:bCs/>
                      <w:szCs w:val="21"/>
                    </w:rPr>
                  </w:pPr>
                  <w:r>
                    <w:rPr>
                      <w:b/>
                      <w:bCs/>
                    </w:rPr>
                    <w:t>标准</w:t>
                  </w:r>
                </w:p>
              </w:tc>
              <w:tc>
                <w:tcPr>
                  <w:tcW w:w="422" w:type="pct"/>
                  <w:vMerge w:val="restart"/>
                  <w:tcBorders>
                    <w:top w:val="single" w:color="000000" w:sz="12" w:space="0"/>
                    <w:left w:val="single" w:color="000000" w:sz="4" w:space="0"/>
                    <w:bottom w:val="single" w:color="000000" w:sz="4" w:space="0"/>
                    <w:right w:val="nil"/>
                  </w:tcBorders>
                  <w:vAlign w:val="center"/>
                </w:tcPr>
                <w:p>
                  <w:pPr>
                    <w:keepNext w:val="0"/>
                    <w:keepLines w:val="0"/>
                    <w:widowControl/>
                    <w:suppressLineNumbers w:val="0"/>
                    <w:adjustRightInd w:val="0"/>
                    <w:snapToGrid w:val="0"/>
                    <w:spacing w:before="0" w:beforeAutospacing="0" w:after="0" w:afterAutospacing="0"/>
                    <w:ind w:left="0" w:right="0"/>
                    <w:jc w:val="center"/>
                    <w:rPr>
                      <w:b/>
                      <w:bCs/>
                      <w:szCs w:val="21"/>
                    </w:rPr>
                  </w:pPr>
                  <w:r>
                    <w:rPr>
                      <w:b/>
                      <w:bCs/>
                    </w:rPr>
                    <w:t>排放方式与去向</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411" w:type="pct"/>
                  <w:vMerge w:val="continue"/>
                  <w:tcBorders>
                    <w:top w:val="single" w:color="000000" w:sz="12"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b/>
                      <w:bCs/>
                      <w:szCs w:val="21"/>
                    </w:rPr>
                  </w:pPr>
                </w:p>
              </w:tc>
              <w:tc>
                <w:tcPr>
                  <w:tcW w:w="515" w:type="pct"/>
                  <w:vMerge w:val="continue"/>
                  <w:tcBorders>
                    <w:top w:val="single" w:color="000000" w:sz="12"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b/>
                      <w:bCs/>
                      <w:szCs w:val="21"/>
                    </w:rPr>
                  </w:pPr>
                </w:p>
              </w:tc>
              <w:tc>
                <w:tcPr>
                  <w:tcW w:w="450"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rPr>
                    <w:t>名称</w:t>
                  </w:r>
                </w:p>
              </w:tc>
              <w:tc>
                <w:tcPr>
                  <w:tcW w:w="444"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rPr>
                    <w:t>浓度mg/L</w:t>
                  </w:r>
                </w:p>
              </w:tc>
              <w:tc>
                <w:tcPr>
                  <w:tcW w:w="529"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rPr>
                    <w:t>产生量t/a</w:t>
                  </w:r>
                </w:p>
              </w:tc>
              <w:tc>
                <w:tcPr>
                  <w:tcW w:w="408" w:type="pct"/>
                  <w:vMerge w:val="continue"/>
                  <w:tcBorders>
                    <w:top w:val="single" w:color="000000" w:sz="12"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b/>
                      <w:bCs/>
                      <w:szCs w:val="21"/>
                    </w:rPr>
                  </w:pPr>
                </w:p>
              </w:tc>
              <w:tc>
                <w:tcPr>
                  <w:tcW w:w="531"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rPr>
                    <w:t>浓度mg/L</w:t>
                  </w:r>
                </w:p>
              </w:tc>
              <w:tc>
                <w:tcPr>
                  <w:tcW w:w="758"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rPr>
                    <w:t>排放量t/a</w:t>
                  </w:r>
                </w:p>
              </w:tc>
              <w:tc>
                <w:tcPr>
                  <w:tcW w:w="532" w:type="pct"/>
                  <w:vMerge w:val="continue"/>
                  <w:tcBorders>
                    <w:top w:val="single" w:color="000000" w:sz="12"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b/>
                      <w:bCs/>
                      <w:szCs w:val="21"/>
                    </w:rPr>
                  </w:pPr>
                </w:p>
              </w:tc>
              <w:tc>
                <w:tcPr>
                  <w:tcW w:w="422" w:type="pct"/>
                  <w:vMerge w:val="continue"/>
                  <w:tcBorders>
                    <w:top w:val="single" w:color="000000" w:sz="12" w:space="0"/>
                    <w:left w:val="single" w:color="000000" w:sz="4" w:space="0"/>
                    <w:bottom w:val="single" w:color="000000" w:sz="4" w:space="0"/>
                    <w:right w:val="nil"/>
                  </w:tcBorders>
                  <w:vAlign w:val="center"/>
                </w:tcPr>
                <w:p>
                  <w:pPr>
                    <w:keepNext w:val="0"/>
                    <w:keepLines w:val="0"/>
                    <w:widowControl/>
                    <w:suppressLineNumbers w:val="0"/>
                    <w:spacing w:before="0" w:beforeAutospacing="0" w:after="0" w:afterAutospacing="0"/>
                    <w:ind w:left="0" w:right="0"/>
                    <w:jc w:val="center"/>
                    <w:rPr>
                      <w:b/>
                      <w:bCs/>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90" w:hRule="atLeast"/>
              </w:trPr>
              <w:tc>
                <w:tcPr>
                  <w:tcW w:w="411" w:type="pct"/>
                  <w:vMerge w:val="restart"/>
                  <w:tcBorders>
                    <w:top w:val="single" w:color="000000" w:sz="4" w:space="0"/>
                    <w:left w:val="nil"/>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生活污水</w:t>
                  </w:r>
                </w:p>
              </w:tc>
              <w:tc>
                <w:tcPr>
                  <w:tcW w:w="515"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rPr>
                    <w:t>2880</w:t>
                  </w:r>
                </w:p>
              </w:tc>
              <w:tc>
                <w:tcPr>
                  <w:tcW w:w="450"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COD</w:t>
                  </w:r>
                </w:p>
              </w:tc>
              <w:tc>
                <w:tcPr>
                  <w:tcW w:w="444"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400</w:t>
                  </w:r>
                </w:p>
              </w:tc>
              <w:tc>
                <w:tcPr>
                  <w:tcW w:w="529"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1.152</w:t>
                  </w:r>
                </w:p>
              </w:tc>
              <w:tc>
                <w:tcPr>
                  <w:tcW w:w="408" w:type="pct"/>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接管</w:t>
                  </w:r>
                </w:p>
              </w:tc>
              <w:tc>
                <w:tcPr>
                  <w:tcW w:w="531"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400</w:t>
                  </w:r>
                </w:p>
              </w:tc>
              <w:tc>
                <w:tcPr>
                  <w:tcW w:w="758"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1.152</w:t>
                  </w:r>
                </w:p>
              </w:tc>
              <w:tc>
                <w:tcPr>
                  <w:tcW w:w="532"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500</w:t>
                  </w:r>
                </w:p>
              </w:tc>
              <w:tc>
                <w:tcPr>
                  <w:tcW w:w="422" w:type="pct"/>
                  <w:vMerge w:val="restart"/>
                  <w:tcBorders>
                    <w:top w:val="nil"/>
                    <w:left w:val="single" w:color="000000" w:sz="4" w:space="0"/>
                    <w:right w:val="nil"/>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rPr>
                    <w:t>武南</w:t>
                  </w:r>
                  <w:r>
                    <w:t>污水处理厂</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411" w:type="pct"/>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p>
              </w:tc>
              <w:tc>
                <w:tcPr>
                  <w:tcW w:w="515"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p>
              </w:tc>
              <w:tc>
                <w:tcPr>
                  <w:tcW w:w="450"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SS</w:t>
                  </w:r>
                </w:p>
              </w:tc>
              <w:tc>
                <w:tcPr>
                  <w:tcW w:w="444"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300</w:t>
                  </w:r>
                </w:p>
              </w:tc>
              <w:tc>
                <w:tcPr>
                  <w:tcW w:w="529"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0.864</w:t>
                  </w:r>
                </w:p>
              </w:tc>
              <w:tc>
                <w:tcPr>
                  <w:tcW w:w="40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p>
              </w:tc>
              <w:tc>
                <w:tcPr>
                  <w:tcW w:w="531"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300</w:t>
                  </w:r>
                </w:p>
              </w:tc>
              <w:tc>
                <w:tcPr>
                  <w:tcW w:w="758"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0.864</w:t>
                  </w:r>
                </w:p>
              </w:tc>
              <w:tc>
                <w:tcPr>
                  <w:tcW w:w="532"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400</w:t>
                  </w:r>
                </w:p>
              </w:tc>
              <w:tc>
                <w:tcPr>
                  <w:tcW w:w="422" w:type="pct"/>
                  <w:vMerge w:val="continue"/>
                  <w:tcBorders>
                    <w:left w:val="single" w:color="000000" w:sz="4" w:space="0"/>
                    <w:right w:val="nil"/>
                  </w:tcBorders>
                  <w:vAlign w:val="center"/>
                </w:tcPr>
                <w:p>
                  <w:pPr>
                    <w:keepNext w:val="0"/>
                    <w:keepLines w:val="0"/>
                    <w:widowControl/>
                    <w:suppressLineNumbers w:val="0"/>
                    <w:spacing w:before="0" w:beforeAutospacing="0" w:after="0" w:afterAutospacing="0"/>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411" w:type="pct"/>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p>
              </w:tc>
              <w:tc>
                <w:tcPr>
                  <w:tcW w:w="515"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p>
              </w:tc>
              <w:tc>
                <w:tcPr>
                  <w:tcW w:w="450"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氨氮</w:t>
                  </w:r>
                </w:p>
              </w:tc>
              <w:tc>
                <w:tcPr>
                  <w:tcW w:w="444"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25</w:t>
                  </w:r>
                </w:p>
              </w:tc>
              <w:tc>
                <w:tcPr>
                  <w:tcW w:w="529"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pPr>
                  <w:r>
                    <w:t>0.0</w:t>
                  </w:r>
                  <w:r>
                    <w:rPr>
                      <w:rFonts w:hint="eastAsia"/>
                    </w:rPr>
                    <w:t>72</w:t>
                  </w:r>
                </w:p>
              </w:tc>
              <w:tc>
                <w:tcPr>
                  <w:tcW w:w="40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p>
              </w:tc>
              <w:tc>
                <w:tcPr>
                  <w:tcW w:w="531"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25</w:t>
                  </w:r>
                </w:p>
              </w:tc>
              <w:tc>
                <w:tcPr>
                  <w:tcW w:w="758"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pPr>
                  <w:r>
                    <w:t>0.0</w:t>
                  </w:r>
                  <w:r>
                    <w:rPr>
                      <w:rFonts w:hint="eastAsia"/>
                    </w:rPr>
                    <w:t>72</w:t>
                  </w:r>
                </w:p>
              </w:tc>
              <w:tc>
                <w:tcPr>
                  <w:tcW w:w="532"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45</w:t>
                  </w:r>
                </w:p>
              </w:tc>
              <w:tc>
                <w:tcPr>
                  <w:tcW w:w="422" w:type="pct"/>
                  <w:vMerge w:val="continue"/>
                  <w:tcBorders>
                    <w:left w:val="single" w:color="000000" w:sz="4" w:space="0"/>
                    <w:right w:val="nil"/>
                  </w:tcBorders>
                  <w:vAlign w:val="center"/>
                </w:tcPr>
                <w:p>
                  <w:pPr>
                    <w:keepNext w:val="0"/>
                    <w:keepLines w:val="0"/>
                    <w:widowControl/>
                    <w:suppressLineNumbers w:val="0"/>
                    <w:spacing w:before="0" w:beforeAutospacing="0" w:after="0" w:afterAutospacing="0"/>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411" w:type="pct"/>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p>
              </w:tc>
              <w:tc>
                <w:tcPr>
                  <w:tcW w:w="515"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p>
              </w:tc>
              <w:tc>
                <w:tcPr>
                  <w:tcW w:w="450"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TP</w:t>
                  </w:r>
                </w:p>
              </w:tc>
              <w:tc>
                <w:tcPr>
                  <w:tcW w:w="444"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5</w:t>
                  </w:r>
                </w:p>
              </w:tc>
              <w:tc>
                <w:tcPr>
                  <w:tcW w:w="529"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pPr>
                  <w:r>
                    <w:t>0.0</w:t>
                  </w:r>
                  <w:r>
                    <w:rPr>
                      <w:rFonts w:hint="eastAsia"/>
                    </w:rPr>
                    <w:t>144</w:t>
                  </w:r>
                </w:p>
              </w:tc>
              <w:tc>
                <w:tcPr>
                  <w:tcW w:w="40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p>
              </w:tc>
              <w:tc>
                <w:tcPr>
                  <w:tcW w:w="531"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5</w:t>
                  </w:r>
                </w:p>
              </w:tc>
              <w:tc>
                <w:tcPr>
                  <w:tcW w:w="758"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pPr>
                  <w:r>
                    <w:t>0.0</w:t>
                  </w:r>
                  <w:r>
                    <w:rPr>
                      <w:rFonts w:hint="eastAsia"/>
                    </w:rPr>
                    <w:t>144</w:t>
                  </w:r>
                </w:p>
              </w:tc>
              <w:tc>
                <w:tcPr>
                  <w:tcW w:w="532"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8</w:t>
                  </w:r>
                </w:p>
              </w:tc>
              <w:tc>
                <w:tcPr>
                  <w:tcW w:w="422" w:type="pct"/>
                  <w:vMerge w:val="continue"/>
                  <w:tcBorders>
                    <w:left w:val="single" w:color="000000" w:sz="4" w:space="0"/>
                    <w:right w:val="nil"/>
                  </w:tcBorders>
                  <w:vAlign w:val="center"/>
                </w:tcPr>
                <w:p>
                  <w:pPr>
                    <w:keepNext w:val="0"/>
                    <w:keepLines w:val="0"/>
                    <w:widowControl/>
                    <w:suppressLineNumbers w:val="0"/>
                    <w:spacing w:before="0" w:beforeAutospacing="0" w:after="0" w:afterAutospacing="0"/>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411" w:type="pct"/>
                  <w:vMerge w:val="continue"/>
                  <w:tcBorders>
                    <w:top w:val="single" w:color="000000"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p>
              </w:tc>
              <w:tc>
                <w:tcPr>
                  <w:tcW w:w="515"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p>
              </w:tc>
              <w:tc>
                <w:tcPr>
                  <w:tcW w:w="450"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TN</w:t>
                  </w:r>
                </w:p>
              </w:tc>
              <w:tc>
                <w:tcPr>
                  <w:tcW w:w="444"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50</w:t>
                  </w:r>
                </w:p>
              </w:tc>
              <w:tc>
                <w:tcPr>
                  <w:tcW w:w="529"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pPr>
                  <w:r>
                    <w:t>0.</w:t>
                  </w:r>
                  <w:r>
                    <w:rPr>
                      <w:rFonts w:hint="eastAsia"/>
                    </w:rPr>
                    <w:t>144</w:t>
                  </w:r>
                </w:p>
              </w:tc>
              <w:tc>
                <w:tcPr>
                  <w:tcW w:w="408" w:type="pct"/>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p>
              </w:tc>
              <w:tc>
                <w:tcPr>
                  <w:tcW w:w="531"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50</w:t>
                  </w:r>
                </w:p>
              </w:tc>
              <w:tc>
                <w:tcPr>
                  <w:tcW w:w="758"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pPr>
                  <w:r>
                    <w:t>0.</w:t>
                  </w:r>
                  <w:r>
                    <w:rPr>
                      <w:rFonts w:hint="eastAsia"/>
                    </w:rPr>
                    <w:t>144</w:t>
                  </w:r>
                </w:p>
              </w:tc>
              <w:tc>
                <w:tcPr>
                  <w:tcW w:w="532"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70</w:t>
                  </w:r>
                </w:p>
              </w:tc>
              <w:tc>
                <w:tcPr>
                  <w:tcW w:w="422" w:type="pct"/>
                  <w:vMerge w:val="continue"/>
                  <w:tcBorders>
                    <w:left w:val="single" w:color="000000" w:sz="4" w:space="0"/>
                    <w:right w:val="nil"/>
                  </w:tcBorders>
                  <w:vAlign w:val="center"/>
                </w:tcPr>
                <w:p>
                  <w:pPr>
                    <w:keepNext w:val="0"/>
                    <w:keepLines w:val="0"/>
                    <w:widowControl/>
                    <w:suppressLineNumbers w:val="0"/>
                    <w:spacing w:before="0" w:beforeAutospacing="0" w:after="0" w:afterAutospacing="0"/>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411" w:type="pct"/>
                  <w:vMerge w:val="restart"/>
                  <w:tcBorders>
                    <w:top w:val="single" w:color="000000" w:sz="4" w:space="0"/>
                    <w:left w:val="nil"/>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食堂废水</w:t>
                  </w:r>
                </w:p>
              </w:tc>
              <w:tc>
                <w:tcPr>
                  <w:tcW w:w="515" w:type="pct"/>
                  <w:vMerge w:val="restart"/>
                  <w:tcBorders>
                    <w:top w:val="single" w:color="000000" w:sz="4" w:space="0"/>
                    <w:left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576</w:t>
                  </w:r>
                </w:p>
              </w:tc>
              <w:tc>
                <w:tcPr>
                  <w:tcW w:w="450"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COD</w:t>
                  </w:r>
                </w:p>
              </w:tc>
              <w:tc>
                <w:tcPr>
                  <w:tcW w:w="444"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400</w:t>
                  </w:r>
                </w:p>
              </w:tc>
              <w:tc>
                <w:tcPr>
                  <w:tcW w:w="529"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eastAsia="宋体"/>
                      <w:lang w:val="en-US" w:eastAsia="zh-CN"/>
                    </w:rPr>
                  </w:pPr>
                  <w:r>
                    <w:rPr>
                      <w:rFonts w:hint="eastAsia"/>
                    </w:rPr>
                    <w:t>0.</w:t>
                  </w:r>
                  <w:r>
                    <w:rPr>
                      <w:rFonts w:hint="eastAsia"/>
                      <w:lang w:val="en-US" w:eastAsia="zh-CN"/>
                    </w:rPr>
                    <w:t>23</w:t>
                  </w:r>
                </w:p>
              </w:tc>
              <w:tc>
                <w:tcPr>
                  <w:tcW w:w="408" w:type="pct"/>
                  <w:vMerge w:val="restart"/>
                  <w:tcBorders>
                    <w:top w:val="single" w:color="000000" w:sz="4" w:space="0"/>
                    <w:left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隔油池</w:t>
                  </w:r>
                </w:p>
              </w:tc>
              <w:tc>
                <w:tcPr>
                  <w:tcW w:w="531"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400</w:t>
                  </w:r>
                </w:p>
              </w:tc>
              <w:tc>
                <w:tcPr>
                  <w:tcW w:w="124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pPr>
                  <w:r>
                    <w:rPr>
                      <w:rFonts w:hint="eastAsia"/>
                    </w:rPr>
                    <w:t>0.</w:t>
                  </w:r>
                  <w:r>
                    <w:rPr>
                      <w:rFonts w:hint="eastAsia"/>
                      <w:lang w:val="en-US" w:eastAsia="zh-CN"/>
                    </w:rPr>
                    <w:t>23</w:t>
                  </w:r>
                </w:p>
              </w:tc>
              <w:tc>
                <w:tcPr>
                  <w:tcW w:w="532"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bCs/>
                      <w:szCs w:val="21"/>
                    </w:rPr>
                  </w:pPr>
                  <w:r>
                    <w:rPr>
                      <w:bCs/>
                      <w:szCs w:val="21"/>
                    </w:rPr>
                    <w:t>500</w:t>
                  </w:r>
                </w:p>
              </w:tc>
              <w:tc>
                <w:tcPr>
                  <w:tcW w:w="422" w:type="pct"/>
                  <w:vMerge w:val="continue"/>
                  <w:tcBorders>
                    <w:left w:val="single" w:color="000000" w:sz="4" w:space="0"/>
                    <w:right w:val="nil"/>
                  </w:tcBorders>
                  <w:vAlign w:val="center"/>
                </w:tcPr>
                <w:p>
                  <w:pPr>
                    <w:keepNext w:val="0"/>
                    <w:keepLines w:val="0"/>
                    <w:widowControl/>
                    <w:suppressLineNumbers w:val="0"/>
                    <w:spacing w:before="0" w:beforeAutospacing="0" w:after="0" w:afterAutospacing="0"/>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411" w:type="pct"/>
                  <w:vMerge w:val="continue"/>
                  <w:tcBorders>
                    <w:left w:val="nil"/>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p>
              </w:tc>
              <w:tc>
                <w:tcPr>
                  <w:tcW w:w="515" w:type="pct"/>
                  <w:vMerge w:val="continue"/>
                  <w:tcBorders>
                    <w:left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p>
              </w:tc>
              <w:tc>
                <w:tcPr>
                  <w:tcW w:w="450"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SS</w:t>
                  </w:r>
                </w:p>
              </w:tc>
              <w:tc>
                <w:tcPr>
                  <w:tcW w:w="444"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300</w:t>
                  </w:r>
                </w:p>
              </w:tc>
              <w:tc>
                <w:tcPr>
                  <w:tcW w:w="529"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eastAsia="宋体"/>
                      <w:lang w:val="en-US" w:eastAsia="zh-CN"/>
                    </w:rPr>
                  </w:pPr>
                  <w:r>
                    <w:rPr>
                      <w:rFonts w:hint="eastAsia"/>
                    </w:rPr>
                    <w:t>0.</w:t>
                  </w:r>
                  <w:r>
                    <w:rPr>
                      <w:rFonts w:hint="eastAsia"/>
                      <w:lang w:val="en-US" w:eastAsia="zh-CN"/>
                    </w:rPr>
                    <w:t>173</w:t>
                  </w:r>
                </w:p>
              </w:tc>
              <w:tc>
                <w:tcPr>
                  <w:tcW w:w="408" w:type="pct"/>
                  <w:vMerge w:val="continue"/>
                  <w:tcBorders>
                    <w:left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p>
              </w:tc>
              <w:tc>
                <w:tcPr>
                  <w:tcW w:w="531"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300</w:t>
                  </w:r>
                </w:p>
              </w:tc>
              <w:tc>
                <w:tcPr>
                  <w:tcW w:w="124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pPr>
                  <w:r>
                    <w:rPr>
                      <w:rFonts w:hint="eastAsia"/>
                    </w:rPr>
                    <w:t>0.</w:t>
                  </w:r>
                  <w:r>
                    <w:rPr>
                      <w:rFonts w:hint="eastAsia"/>
                      <w:lang w:val="en-US" w:eastAsia="zh-CN"/>
                    </w:rPr>
                    <w:t>173</w:t>
                  </w:r>
                </w:p>
              </w:tc>
              <w:tc>
                <w:tcPr>
                  <w:tcW w:w="532"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bCs/>
                      <w:szCs w:val="21"/>
                    </w:rPr>
                  </w:pPr>
                  <w:r>
                    <w:rPr>
                      <w:bCs/>
                      <w:szCs w:val="21"/>
                    </w:rPr>
                    <w:t>400</w:t>
                  </w:r>
                </w:p>
              </w:tc>
              <w:tc>
                <w:tcPr>
                  <w:tcW w:w="422" w:type="pct"/>
                  <w:vMerge w:val="continue"/>
                  <w:tcBorders>
                    <w:left w:val="single" w:color="000000" w:sz="4" w:space="0"/>
                    <w:right w:val="nil"/>
                  </w:tcBorders>
                  <w:vAlign w:val="center"/>
                </w:tcPr>
                <w:p>
                  <w:pPr>
                    <w:keepNext w:val="0"/>
                    <w:keepLines w:val="0"/>
                    <w:widowControl/>
                    <w:suppressLineNumbers w:val="0"/>
                    <w:spacing w:before="0" w:beforeAutospacing="0" w:after="0" w:afterAutospacing="0"/>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411" w:type="pct"/>
                  <w:vMerge w:val="continue"/>
                  <w:tcBorders>
                    <w:left w:val="nil"/>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p>
              </w:tc>
              <w:tc>
                <w:tcPr>
                  <w:tcW w:w="515" w:type="pct"/>
                  <w:vMerge w:val="continue"/>
                  <w:tcBorders>
                    <w:left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p>
              </w:tc>
              <w:tc>
                <w:tcPr>
                  <w:tcW w:w="450"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氨氮</w:t>
                  </w:r>
                </w:p>
              </w:tc>
              <w:tc>
                <w:tcPr>
                  <w:tcW w:w="444"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25</w:t>
                  </w:r>
                </w:p>
              </w:tc>
              <w:tc>
                <w:tcPr>
                  <w:tcW w:w="529"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eastAsia="宋体"/>
                      <w:lang w:val="en-US" w:eastAsia="zh-CN"/>
                    </w:rPr>
                  </w:pPr>
                  <w:r>
                    <w:rPr>
                      <w:rFonts w:hint="eastAsia"/>
                    </w:rPr>
                    <w:t>0.0</w:t>
                  </w:r>
                  <w:r>
                    <w:rPr>
                      <w:rFonts w:hint="eastAsia"/>
                      <w:lang w:val="en-US" w:eastAsia="zh-CN"/>
                    </w:rPr>
                    <w:t>144</w:t>
                  </w:r>
                </w:p>
              </w:tc>
              <w:tc>
                <w:tcPr>
                  <w:tcW w:w="408" w:type="pct"/>
                  <w:vMerge w:val="continue"/>
                  <w:tcBorders>
                    <w:left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p>
              </w:tc>
              <w:tc>
                <w:tcPr>
                  <w:tcW w:w="531"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25</w:t>
                  </w:r>
                </w:p>
              </w:tc>
              <w:tc>
                <w:tcPr>
                  <w:tcW w:w="124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pPr>
                  <w:r>
                    <w:rPr>
                      <w:rFonts w:hint="eastAsia"/>
                    </w:rPr>
                    <w:t>0.0</w:t>
                  </w:r>
                  <w:r>
                    <w:rPr>
                      <w:rFonts w:hint="eastAsia"/>
                      <w:lang w:val="en-US" w:eastAsia="zh-CN"/>
                    </w:rPr>
                    <w:t>144</w:t>
                  </w:r>
                </w:p>
              </w:tc>
              <w:tc>
                <w:tcPr>
                  <w:tcW w:w="532"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bCs/>
                      <w:szCs w:val="21"/>
                    </w:rPr>
                  </w:pPr>
                  <w:r>
                    <w:rPr>
                      <w:bCs/>
                      <w:szCs w:val="21"/>
                    </w:rPr>
                    <w:t>45</w:t>
                  </w:r>
                </w:p>
              </w:tc>
              <w:tc>
                <w:tcPr>
                  <w:tcW w:w="422" w:type="pct"/>
                  <w:vMerge w:val="continue"/>
                  <w:tcBorders>
                    <w:left w:val="single" w:color="000000" w:sz="4" w:space="0"/>
                    <w:right w:val="nil"/>
                  </w:tcBorders>
                  <w:vAlign w:val="center"/>
                </w:tcPr>
                <w:p>
                  <w:pPr>
                    <w:keepNext w:val="0"/>
                    <w:keepLines w:val="0"/>
                    <w:widowControl/>
                    <w:suppressLineNumbers w:val="0"/>
                    <w:spacing w:before="0" w:beforeAutospacing="0" w:after="0" w:afterAutospacing="0"/>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411" w:type="pct"/>
                  <w:vMerge w:val="continue"/>
                  <w:tcBorders>
                    <w:left w:val="nil"/>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p>
              </w:tc>
              <w:tc>
                <w:tcPr>
                  <w:tcW w:w="515" w:type="pct"/>
                  <w:vMerge w:val="continue"/>
                  <w:tcBorders>
                    <w:left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p>
              </w:tc>
              <w:tc>
                <w:tcPr>
                  <w:tcW w:w="450"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TP</w:t>
                  </w:r>
                </w:p>
              </w:tc>
              <w:tc>
                <w:tcPr>
                  <w:tcW w:w="444"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5</w:t>
                  </w:r>
                </w:p>
              </w:tc>
              <w:tc>
                <w:tcPr>
                  <w:tcW w:w="529"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eastAsia="宋体"/>
                      <w:lang w:val="en-US" w:eastAsia="zh-CN"/>
                    </w:rPr>
                  </w:pPr>
                  <w:r>
                    <w:rPr>
                      <w:rFonts w:hint="eastAsia"/>
                    </w:rPr>
                    <w:t>0.00</w:t>
                  </w:r>
                  <w:r>
                    <w:rPr>
                      <w:rFonts w:hint="eastAsia"/>
                      <w:lang w:val="en-US" w:eastAsia="zh-CN"/>
                    </w:rPr>
                    <w:t>288</w:t>
                  </w:r>
                </w:p>
              </w:tc>
              <w:tc>
                <w:tcPr>
                  <w:tcW w:w="408" w:type="pct"/>
                  <w:vMerge w:val="continue"/>
                  <w:tcBorders>
                    <w:left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p>
              </w:tc>
              <w:tc>
                <w:tcPr>
                  <w:tcW w:w="531"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5</w:t>
                  </w:r>
                </w:p>
              </w:tc>
              <w:tc>
                <w:tcPr>
                  <w:tcW w:w="124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pPr>
                  <w:r>
                    <w:rPr>
                      <w:rFonts w:hint="eastAsia"/>
                    </w:rPr>
                    <w:t>0.00</w:t>
                  </w:r>
                  <w:r>
                    <w:rPr>
                      <w:rFonts w:hint="eastAsia"/>
                      <w:lang w:val="en-US" w:eastAsia="zh-CN"/>
                    </w:rPr>
                    <w:t>288</w:t>
                  </w:r>
                </w:p>
              </w:tc>
              <w:tc>
                <w:tcPr>
                  <w:tcW w:w="532"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bCs/>
                      <w:szCs w:val="21"/>
                    </w:rPr>
                  </w:pPr>
                  <w:r>
                    <w:rPr>
                      <w:bCs/>
                      <w:szCs w:val="21"/>
                    </w:rPr>
                    <w:t>8</w:t>
                  </w:r>
                </w:p>
              </w:tc>
              <w:tc>
                <w:tcPr>
                  <w:tcW w:w="422" w:type="pct"/>
                  <w:vMerge w:val="continue"/>
                  <w:tcBorders>
                    <w:left w:val="single" w:color="000000" w:sz="4" w:space="0"/>
                    <w:right w:val="nil"/>
                  </w:tcBorders>
                  <w:vAlign w:val="center"/>
                </w:tcPr>
                <w:p>
                  <w:pPr>
                    <w:keepNext w:val="0"/>
                    <w:keepLines w:val="0"/>
                    <w:widowControl/>
                    <w:suppressLineNumbers w:val="0"/>
                    <w:spacing w:before="0" w:beforeAutospacing="0" w:after="0" w:afterAutospacing="0"/>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411" w:type="pct"/>
                  <w:vMerge w:val="continue"/>
                  <w:tcBorders>
                    <w:left w:val="nil"/>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p>
              </w:tc>
              <w:tc>
                <w:tcPr>
                  <w:tcW w:w="515" w:type="pct"/>
                  <w:vMerge w:val="continue"/>
                  <w:tcBorders>
                    <w:left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p>
              </w:tc>
              <w:tc>
                <w:tcPr>
                  <w:tcW w:w="450"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TN</w:t>
                  </w:r>
                </w:p>
              </w:tc>
              <w:tc>
                <w:tcPr>
                  <w:tcW w:w="444"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50</w:t>
                  </w:r>
                </w:p>
              </w:tc>
              <w:tc>
                <w:tcPr>
                  <w:tcW w:w="529"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eastAsia="宋体"/>
                      <w:lang w:val="en-US" w:eastAsia="zh-CN"/>
                    </w:rPr>
                  </w:pPr>
                  <w:r>
                    <w:rPr>
                      <w:rFonts w:hint="eastAsia"/>
                    </w:rPr>
                    <w:t>0.0</w:t>
                  </w:r>
                  <w:r>
                    <w:rPr>
                      <w:rFonts w:hint="eastAsia"/>
                      <w:lang w:val="en-US" w:eastAsia="zh-CN"/>
                    </w:rPr>
                    <w:t>288</w:t>
                  </w:r>
                </w:p>
              </w:tc>
              <w:tc>
                <w:tcPr>
                  <w:tcW w:w="408" w:type="pct"/>
                  <w:vMerge w:val="continue"/>
                  <w:tcBorders>
                    <w:left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p>
              </w:tc>
              <w:tc>
                <w:tcPr>
                  <w:tcW w:w="531"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50</w:t>
                  </w:r>
                </w:p>
              </w:tc>
              <w:tc>
                <w:tcPr>
                  <w:tcW w:w="1240"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pPr>
                  <w:r>
                    <w:rPr>
                      <w:rFonts w:hint="eastAsia"/>
                    </w:rPr>
                    <w:t>0.0</w:t>
                  </w:r>
                  <w:r>
                    <w:rPr>
                      <w:rFonts w:hint="eastAsia"/>
                      <w:lang w:val="en-US" w:eastAsia="zh-CN"/>
                    </w:rPr>
                    <w:t>288</w:t>
                  </w:r>
                </w:p>
              </w:tc>
              <w:tc>
                <w:tcPr>
                  <w:tcW w:w="532" w:type="pct"/>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bCs/>
                      <w:szCs w:val="21"/>
                    </w:rPr>
                  </w:pPr>
                  <w:r>
                    <w:rPr>
                      <w:bCs/>
                      <w:szCs w:val="21"/>
                    </w:rPr>
                    <w:t>70</w:t>
                  </w:r>
                </w:p>
              </w:tc>
              <w:tc>
                <w:tcPr>
                  <w:tcW w:w="422" w:type="pct"/>
                  <w:vMerge w:val="continue"/>
                  <w:tcBorders>
                    <w:left w:val="single" w:color="000000" w:sz="4" w:space="0"/>
                    <w:right w:val="nil"/>
                  </w:tcBorders>
                  <w:vAlign w:val="center"/>
                </w:tcPr>
                <w:p>
                  <w:pPr>
                    <w:keepNext w:val="0"/>
                    <w:keepLines w:val="0"/>
                    <w:widowControl/>
                    <w:suppressLineNumbers w:val="0"/>
                    <w:spacing w:before="0" w:beforeAutospacing="0" w:after="0" w:afterAutospacing="0"/>
                    <w:ind w:left="0" w:right="0"/>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411" w:type="pct"/>
                  <w:vMerge w:val="continue"/>
                  <w:tcBorders>
                    <w:left w:val="nil"/>
                    <w:bottom w:val="single" w:color="000000" w:sz="12"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p>
              </w:tc>
              <w:tc>
                <w:tcPr>
                  <w:tcW w:w="515" w:type="pct"/>
                  <w:vMerge w:val="continue"/>
                  <w:tcBorders>
                    <w:left w:val="single" w:color="000000" w:sz="4" w:space="0"/>
                    <w:bottom w:val="single" w:color="000000" w:sz="12"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p>
              </w:tc>
              <w:tc>
                <w:tcPr>
                  <w:tcW w:w="450" w:type="pct"/>
                  <w:tcBorders>
                    <w:top w:val="single" w:color="000000" w:sz="4" w:space="0"/>
                    <w:left w:val="single" w:color="000000" w:sz="4" w:space="0"/>
                    <w:bottom w:val="single" w:color="000000" w:sz="12"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动植物油</w:t>
                  </w:r>
                </w:p>
              </w:tc>
              <w:tc>
                <w:tcPr>
                  <w:tcW w:w="444" w:type="pct"/>
                  <w:tcBorders>
                    <w:top w:val="single" w:color="000000" w:sz="4" w:space="0"/>
                    <w:left w:val="single" w:color="000000" w:sz="4" w:space="0"/>
                    <w:bottom w:val="single" w:color="000000" w:sz="12"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80</w:t>
                  </w:r>
                </w:p>
              </w:tc>
              <w:tc>
                <w:tcPr>
                  <w:tcW w:w="529" w:type="pct"/>
                  <w:tcBorders>
                    <w:top w:val="single" w:color="000000" w:sz="4" w:space="0"/>
                    <w:left w:val="single" w:color="000000" w:sz="4" w:space="0"/>
                    <w:bottom w:val="single" w:color="000000" w:sz="12"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eastAsia="宋体"/>
                      <w:lang w:val="en-US" w:eastAsia="zh-CN"/>
                    </w:rPr>
                  </w:pPr>
                  <w:r>
                    <w:rPr>
                      <w:rFonts w:hint="eastAsia"/>
                    </w:rPr>
                    <w:t>0.0</w:t>
                  </w:r>
                  <w:r>
                    <w:rPr>
                      <w:rFonts w:hint="eastAsia"/>
                      <w:lang w:val="en-US" w:eastAsia="zh-CN"/>
                    </w:rPr>
                    <w:t>46</w:t>
                  </w:r>
                </w:p>
              </w:tc>
              <w:tc>
                <w:tcPr>
                  <w:tcW w:w="408" w:type="pct"/>
                  <w:vMerge w:val="continue"/>
                  <w:tcBorders>
                    <w:left w:val="single" w:color="000000" w:sz="4" w:space="0"/>
                    <w:bottom w:val="single" w:color="000000" w:sz="12" w:space="0"/>
                    <w:right w:val="single" w:color="000000" w:sz="4" w:space="0"/>
                  </w:tcBorders>
                  <w:vAlign w:val="center"/>
                </w:tcPr>
                <w:p>
                  <w:pPr>
                    <w:keepNext w:val="0"/>
                    <w:keepLines w:val="0"/>
                    <w:widowControl/>
                    <w:suppressLineNumbers w:val="0"/>
                    <w:spacing w:before="0" w:beforeAutospacing="0" w:after="0" w:afterAutospacing="0"/>
                    <w:ind w:left="0" w:right="0"/>
                    <w:jc w:val="center"/>
                    <w:rPr>
                      <w:szCs w:val="21"/>
                    </w:rPr>
                  </w:pPr>
                </w:p>
              </w:tc>
              <w:tc>
                <w:tcPr>
                  <w:tcW w:w="531" w:type="pct"/>
                  <w:tcBorders>
                    <w:top w:val="single" w:color="000000" w:sz="4" w:space="0"/>
                    <w:left w:val="single" w:color="000000" w:sz="4" w:space="0"/>
                    <w:bottom w:val="single" w:color="000000" w:sz="12"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40</w:t>
                  </w:r>
                </w:p>
              </w:tc>
              <w:tc>
                <w:tcPr>
                  <w:tcW w:w="758" w:type="pct"/>
                  <w:tcBorders>
                    <w:top w:val="single" w:color="000000" w:sz="4" w:space="0"/>
                    <w:left w:val="single" w:color="000000" w:sz="4" w:space="0"/>
                    <w:bottom w:val="single" w:color="000000" w:sz="12"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eastAsia="宋体"/>
                      <w:lang w:val="en-US" w:eastAsia="zh-CN"/>
                    </w:rPr>
                  </w:pPr>
                  <w:r>
                    <w:rPr>
                      <w:rFonts w:hint="eastAsia"/>
                    </w:rPr>
                    <w:t>0.0</w:t>
                  </w:r>
                  <w:r>
                    <w:rPr>
                      <w:rFonts w:hint="eastAsia"/>
                      <w:lang w:val="en-US" w:eastAsia="zh-CN"/>
                    </w:rPr>
                    <w:t>23</w:t>
                  </w:r>
                </w:p>
              </w:tc>
              <w:tc>
                <w:tcPr>
                  <w:tcW w:w="532" w:type="pct"/>
                  <w:tcBorders>
                    <w:top w:val="single" w:color="000000" w:sz="4" w:space="0"/>
                    <w:left w:val="single" w:color="000000" w:sz="4" w:space="0"/>
                    <w:bottom w:val="single" w:color="000000" w:sz="12" w:space="0"/>
                    <w:right w:val="single" w:color="000000" w:sz="4" w:space="0"/>
                  </w:tcBorders>
                  <w:vAlign w:val="center"/>
                </w:tcPr>
                <w:p>
                  <w:pPr>
                    <w:keepNext w:val="0"/>
                    <w:keepLines w:val="0"/>
                    <w:suppressLineNumbers w:val="0"/>
                    <w:adjustRightInd w:val="0"/>
                    <w:snapToGrid w:val="0"/>
                    <w:spacing w:before="0" w:beforeAutospacing="0" w:after="0" w:afterAutospacing="0"/>
                    <w:ind w:left="0" w:right="0"/>
                    <w:jc w:val="center"/>
                    <w:rPr>
                      <w:bCs/>
                      <w:szCs w:val="21"/>
                    </w:rPr>
                  </w:pPr>
                  <w:r>
                    <w:rPr>
                      <w:bCs/>
                      <w:szCs w:val="21"/>
                    </w:rPr>
                    <w:t>100</w:t>
                  </w:r>
                </w:p>
              </w:tc>
              <w:tc>
                <w:tcPr>
                  <w:tcW w:w="422" w:type="pct"/>
                  <w:vMerge w:val="continue"/>
                  <w:tcBorders>
                    <w:left w:val="single" w:color="000000" w:sz="4" w:space="0"/>
                    <w:bottom w:val="single" w:color="000000" w:sz="12" w:space="0"/>
                    <w:right w:val="nil"/>
                  </w:tcBorders>
                  <w:vAlign w:val="center"/>
                </w:tcPr>
                <w:p>
                  <w:pPr>
                    <w:keepNext w:val="0"/>
                    <w:keepLines w:val="0"/>
                    <w:widowControl/>
                    <w:suppressLineNumbers w:val="0"/>
                    <w:spacing w:before="0" w:beforeAutospacing="0" w:after="0" w:afterAutospacing="0"/>
                    <w:ind w:left="0" w:right="0"/>
                    <w:jc w:val="center"/>
                    <w:rPr>
                      <w:szCs w:val="21"/>
                    </w:rPr>
                  </w:pPr>
                </w:p>
              </w:tc>
            </w:tr>
          </w:tbl>
          <w:p>
            <w:pPr>
              <w:keepNext w:val="0"/>
              <w:keepLines w:val="0"/>
              <w:suppressLineNumbers w:val="0"/>
              <w:spacing w:before="0" w:beforeAutospacing="0" w:after="0" w:afterAutospacing="0" w:line="360" w:lineRule="auto"/>
              <w:ind w:left="0" w:right="0" w:firstLine="482" w:firstLineChars="200"/>
              <w:rPr>
                <w:b/>
                <w:bCs/>
                <w:sz w:val="24"/>
              </w:rPr>
            </w:pPr>
            <w:r>
              <w:rPr>
                <w:rFonts w:hint="eastAsia"/>
                <w:b/>
                <w:bCs/>
                <w:sz w:val="24"/>
              </w:rPr>
              <w:t>（2）</w:t>
            </w:r>
            <w:r>
              <w:rPr>
                <w:b/>
                <w:bCs/>
                <w:sz w:val="24"/>
              </w:rPr>
              <w:t>依托污水处理厂的可行性分析</w:t>
            </w:r>
          </w:p>
          <w:p>
            <w:pPr>
              <w:keepNext w:val="0"/>
              <w:keepLines w:val="0"/>
              <w:suppressLineNumbers w:val="0"/>
              <w:tabs>
                <w:tab w:val="left" w:pos="1014"/>
              </w:tabs>
              <w:spacing w:before="0" w:beforeAutospacing="0" w:after="0" w:afterAutospacing="0" w:line="360" w:lineRule="auto"/>
              <w:ind w:left="0" w:right="0" w:firstLine="480" w:firstLineChars="200"/>
              <w:rPr>
                <w:sz w:val="24"/>
              </w:rPr>
            </w:pPr>
            <w:r>
              <w:rPr>
                <w:sz w:val="24"/>
              </w:rPr>
              <w:t>1）防治措施</w:t>
            </w:r>
          </w:p>
          <w:p>
            <w:pPr>
              <w:keepNext w:val="0"/>
              <w:keepLines w:val="0"/>
              <w:suppressLineNumbers w:val="0"/>
              <w:tabs>
                <w:tab w:val="left" w:pos="1014"/>
              </w:tabs>
              <w:spacing w:before="0" w:beforeAutospacing="0" w:after="0" w:afterAutospacing="0" w:line="360" w:lineRule="auto"/>
              <w:ind w:left="0" w:right="0" w:firstLine="480" w:firstLineChars="200"/>
              <w:rPr>
                <w:sz w:val="24"/>
              </w:rPr>
            </w:pPr>
            <w:r>
              <w:rPr>
                <w:sz w:val="24"/>
              </w:rPr>
              <w:t>项目所在区域内已实行</w:t>
            </w:r>
            <w:r>
              <w:rPr>
                <w:rFonts w:hint="eastAsia"/>
                <w:sz w:val="24"/>
              </w:rPr>
              <w:t>“</w:t>
            </w:r>
            <w:r>
              <w:rPr>
                <w:sz w:val="24"/>
              </w:rPr>
              <w:t>雨污分流、清污分流</w:t>
            </w:r>
            <w:r>
              <w:rPr>
                <w:rFonts w:hint="eastAsia"/>
                <w:sz w:val="24"/>
              </w:rPr>
              <w:t>”</w:t>
            </w:r>
            <w:r>
              <w:rPr>
                <w:sz w:val="24"/>
              </w:rPr>
              <w:t>。本项目食堂废水经隔油池处理后与生活污水经污水管网接管至武南污水处理厂集中处理，尾水最终排入武南河。</w:t>
            </w:r>
          </w:p>
          <w:p>
            <w:pPr>
              <w:keepNext w:val="0"/>
              <w:keepLines w:val="0"/>
              <w:suppressLineNumbers w:val="0"/>
              <w:tabs>
                <w:tab w:val="left" w:pos="1014"/>
              </w:tabs>
              <w:spacing w:before="0" w:beforeAutospacing="0" w:after="0" w:afterAutospacing="0" w:line="360" w:lineRule="auto"/>
              <w:ind w:left="0" w:right="0" w:firstLine="480" w:firstLineChars="200"/>
              <w:rPr>
                <w:sz w:val="24"/>
              </w:rPr>
            </w:pPr>
            <w:r>
              <w:rPr>
                <w:sz w:val="24"/>
              </w:rPr>
              <w:t>武南污水处理厂位于武进高新区，占地252亩，总设计规模10万吨/日，收集服务范围为高新区、大学城、南夏墅、礼嘉、洛阳、前黄六个片区，共173平方千米。一期工程规模4万吨/日，于2009年5月19日正式进水试运。二期扩建及改造工程规模6万吨/日，配套污水管网155公里，于2013年2月开工，目前已调试运行完毕，达标出水。工艺采用选择厌氧池+Carrousel氧化沟+二沉池+高密度澄清池+V型滤池工艺+ClO</w:t>
            </w:r>
            <w:r>
              <w:rPr>
                <w:sz w:val="24"/>
                <w:vertAlign w:val="subscript"/>
              </w:rPr>
              <w:t>2</w:t>
            </w:r>
            <w:r>
              <w:rPr>
                <w:sz w:val="24"/>
              </w:rPr>
              <w:t>消毒，出水执行GB8918-2002一级A标准。为进一步降解尾水氮磷等污染物，污水处理厂在尾水排放口建造生态湿地，目前生态湿地面积约6.6公顷，其中水域面积约为2.8公顷，总长1.2千米。生态湿地的建成运行，年削减COD、氨氮、总氮和总磷污染物分别为365吨、29.2吨、109吨和4.38吨，湿地排水每天为武南河补水景观绿化用水约4万立方米。经调查，市政污水管网已</w:t>
            </w:r>
            <w:r>
              <w:rPr>
                <w:rFonts w:hint="eastAsia"/>
                <w:sz w:val="24"/>
                <w:lang w:eastAsia="zh-CN"/>
              </w:rPr>
              <w:t>敷</w:t>
            </w:r>
            <w:r>
              <w:rPr>
                <w:sz w:val="24"/>
              </w:rPr>
              <w:t>盖项目所在区域，故就污水管网建设来看，本项目污水具备纳入城市污水管网的条件。</w:t>
            </w:r>
          </w:p>
          <w:p>
            <w:pPr>
              <w:keepNext w:val="0"/>
              <w:keepLines w:val="0"/>
              <w:suppressLineNumbers w:val="0"/>
              <w:tabs>
                <w:tab w:val="left" w:pos="1014"/>
              </w:tabs>
              <w:spacing w:before="0" w:beforeAutospacing="0" w:after="0" w:afterAutospacing="0" w:line="360" w:lineRule="auto"/>
              <w:ind w:left="0" w:right="0"/>
              <w:jc w:val="center"/>
              <w:rPr>
                <w:b/>
                <w:bCs/>
                <w:sz w:val="24"/>
              </w:rPr>
            </w:pPr>
            <w:r>
              <w:drawing>
                <wp:inline distT="0" distB="0" distL="0" distR="0">
                  <wp:extent cx="5275580" cy="2200275"/>
                  <wp:effectExtent l="19050" t="0" r="1063" b="0"/>
                  <wp:docPr id="19"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38"/>
                          <pic:cNvPicPr>
                            <a:picLocks noChangeAspect="1" noChangeArrowheads="1"/>
                          </pic:cNvPicPr>
                        </pic:nvPicPr>
                        <pic:blipFill>
                          <a:blip r:embed="rId13" cstate="print"/>
                          <a:srcRect/>
                          <a:stretch>
                            <a:fillRect/>
                          </a:stretch>
                        </pic:blipFill>
                        <pic:spPr>
                          <a:xfrm>
                            <a:off x="0" y="0"/>
                            <a:ext cx="5278965" cy="2201968"/>
                          </a:xfrm>
                          <a:prstGeom prst="rect">
                            <a:avLst/>
                          </a:prstGeom>
                          <a:noFill/>
                          <a:ln w="9525" cmpd="sng">
                            <a:noFill/>
                            <a:miter lim="800000"/>
                            <a:headEnd/>
                            <a:tailEnd/>
                          </a:ln>
                        </pic:spPr>
                      </pic:pic>
                    </a:graphicData>
                  </a:graphic>
                </wp:inline>
              </w:drawing>
            </w:r>
            <w:r>
              <w:rPr>
                <w:b/>
                <w:bCs/>
                <w:sz w:val="24"/>
              </w:rPr>
              <w:t>图4-2  武南污水处理厂处理工艺流程</w:t>
            </w:r>
          </w:p>
          <w:p>
            <w:pPr>
              <w:keepNext w:val="0"/>
              <w:keepLines w:val="0"/>
              <w:suppressLineNumbers w:val="0"/>
              <w:tabs>
                <w:tab w:val="left" w:pos="1014"/>
              </w:tabs>
              <w:spacing w:before="0" w:beforeAutospacing="0" w:after="0" w:afterAutospacing="0" w:line="360" w:lineRule="auto"/>
              <w:ind w:left="0" w:right="0" w:firstLine="480" w:firstLineChars="200"/>
              <w:rPr>
                <w:sz w:val="24"/>
              </w:rPr>
            </w:pPr>
            <w:r>
              <w:rPr>
                <w:sz w:val="24"/>
              </w:rPr>
              <w:t>2）排放情况</w:t>
            </w:r>
          </w:p>
          <w:p>
            <w:pPr>
              <w:keepNext w:val="0"/>
              <w:keepLines w:val="0"/>
              <w:suppressLineNumbers w:val="0"/>
              <w:tabs>
                <w:tab w:val="left" w:pos="1014"/>
              </w:tabs>
              <w:spacing w:before="0" w:beforeAutospacing="0" w:after="0" w:afterAutospacing="0" w:line="360" w:lineRule="auto"/>
              <w:ind w:left="0" w:right="0" w:firstLine="480" w:firstLineChars="200"/>
              <w:rPr>
                <w:sz w:val="24"/>
              </w:rPr>
            </w:pPr>
            <w:r>
              <w:rPr>
                <w:sz w:val="24"/>
              </w:rPr>
              <w:t>废水排放去向：室内排水采用清、污分流制，室外排水采用雨、污分流制。食堂废水经隔油池处理后与生活污水经市政污水管网</w:t>
            </w:r>
            <w:r>
              <w:rPr>
                <w:rFonts w:hint="eastAsia"/>
                <w:sz w:val="24"/>
              </w:rPr>
              <w:t>排入武南污水处理厂</w:t>
            </w:r>
            <w:r>
              <w:rPr>
                <w:sz w:val="24"/>
              </w:rPr>
              <w:t>，由武南污水处理厂集中处理达标后排放，排放量为</w:t>
            </w:r>
            <w:r>
              <w:rPr>
                <w:rFonts w:hint="eastAsia"/>
                <w:sz w:val="24"/>
              </w:rPr>
              <w:t>3</w:t>
            </w:r>
            <w:r>
              <w:rPr>
                <w:rFonts w:hint="eastAsia"/>
                <w:sz w:val="24"/>
                <w:lang w:val="en-US" w:eastAsia="zh-CN"/>
              </w:rPr>
              <w:t>456</w:t>
            </w:r>
            <w:r>
              <w:rPr>
                <w:sz w:val="24"/>
              </w:rPr>
              <w:t>m</w:t>
            </w:r>
            <w:r>
              <w:rPr>
                <w:sz w:val="24"/>
                <w:vertAlign w:val="superscript"/>
              </w:rPr>
              <w:t>3</w:t>
            </w:r>
            <w:r>
              <w:rPr>
                <w:sz w:val="24"/>
              </w:rPr>
              <w:t>/a；屋面雨水有组织排放到地面雨水井后，与地面雨水（由地面雨水口收集）一起汇入室外雨水管道系统，排入市政雨水管网。</w:t>
            </w:r>
          </w:p>
          <w:p>
            <w:pPr>
              <w:keepNext w:val="0"/>
              <w:keepLines w:val="0"/>
              <w:suppressLineNumbers w:val="0"/>
              <w:tabs>
                <w:tab w:val="left" w:pos="1014"/>
              </w:tabs>
              <w:spacing w:before="0" w:beforeAutospacing="0" w:after="0" w:afterAutospacing="0" w:line="360" w:lineRule="auto"/>
              <w:ind w:left="0" w:right="0" w:firstLine="480" w:firstLineChars="200"/>
              <w:rPr>
                <w:sz w:val="24"/>
              </w:rPr>
            </w:pPr>
            <w:r>
              <w:rPr>
                <w:sz w:val="24"/>
              </w:rPr>
              <w:t>3）污水接管可行性分析</w:t>
            </w:r>
          </w:p>
          <w:p>
            <w:pPr>
              <w:keepNext w:val="0"/>
              <w:keepLines w:val="0"/>
              <w:suppressLineNumbers w:val="0"/>
              <w:tabs>
                <w:tab w:val="left" w:pos="1014"/>
              </w:tabs>
              <w:spacing w:before="0" w:beforeAutospacing="0" w:after="0" w:afterAutospacing="0" w:line="360" w:lineRule="auto"/>
              <w:ind w:left="0" w:right="0" w:firstLine="480" w:firstLineChars="200"/>
              <w:rPr>
                <w:bCs/>
                <w:sz w:val="24"/>
              </w:rPr>
            </w:pPr>
            <w:r>
              <w:rPr>
                <w:rFonts w:hint="eastAsia"/>
                <w:bCs/>
                <w:sz w:val="24"/>
              </w:rPr>
              <w:t>本项目</w:t>
            </w:r>
            <w:r>
              <w:rPr>
                <w:sz w:val="24"/>
              </w:rPr>
              <w:t>食堂废水经隔油池处理后与生活污水经污水管网接管至武南污水处理厂集中处理</w:t>
            </w:r>
            <w:r>
              <w:rPr>
                <w:rFonts w:hint="eastAsia"/>
                <w:bCs/>
                <w:sz w:val="24"/>
              </w:rPr>
              <w:t>，根据</w:t>
            </w:r>
            <w:r>
              <w:rPr>
                <w:rFonts w:hint="eastAsia" w:hAnsi="宋体"/>
                <w:sz w:val="24"/>
                <w:lang w:eastAsia="zh-CN"/>
              </w:rPr>
              <w:t>常州武进武新资产经营有限公司</w:t>
            </w:r>
            <w:r>
              <w:rPr>
                <w:rFonts w:hint="eastAsia"/>
                <w:bCs/>
                <w:sz w:val="24"/>
              </w:rPr>
              <w:t>提供的</w:t>
            </w:r>
            <w:r>
              <w:rPr>
                <w:rFonts w:hint="eastAsia"/>
                <w:bCs/>
                <w:sz w:val="24"/>
                <w:highlight w:val="none"/>
              </w:rPr>
              <w:t>《城镇污水排人排水管网许可证》</w:t>
            </w:r>
            <w:r>
              <w:rPr>
                <w:rFonts w:hint="eastAsia"/>
                <w:bCs/>
                <w:sz w:val="24"/>
              </w:rPr>
              <w:t>，</w:t>
            </w:r>
            <w:r>
              <w:rPr>
                <w:bCs/>
                <w:sz w:val="24"/>
              </w:rPr>
              <w:t>本项目</w:t>
            </w:r>
            <w:r>
              <w:rPr>
                <w:rFonts w:hint="eastAsia"/>
                <w:bCs/>
                <w:sz w:val="24"/>
                <w:lang w:eastAsia="zh-CN"/>
              </w:rPr>
              <w:t>所在地</w:t>
            </w:r>
            <w:r>
              <w:rPr>
                <w:bCs/>
                <w:sz w:val="24"/>
              </w:rPr>
              <w:t>周边污水管网已铺设到位</w:t>
            </w:r>
            <w:r>
              <w:rPr>
                <w:rFonts w:hint="eastAsia"/>
                <w:bCs/>
                <w:sz w:val="24"/>
              </w:rPr>
              <w:t>，满足接管条件。</w:t>
            </w:r>
          </w:p>
          <w:p>
            <w:pPr>
              <w:keepNext w:val="0"/>
              <w:keepLines w:val="0"/>
              <w:suppressLineNumbers w:val="0"/>
              <w:tabs>
                <w:tab w:val="left" w:pos="1014"/>
              </w:tabs>
              <w:spacing w:before="0" w:beforeAutospacing="0" w:after="0" w:afterAutospacing="0" w:line="360" w:lineRule="auto"/>
              <w:ind w:left="0" w:right="0" w:firstLine="480" w:firstLineChars="200"/>
              <w:rPr>
                <w:sz w:val="24"/>
              </w:rPr>
            </w:pPr>
            <w:r>
              <w:rPr>
                <w:sz w:val="24"/>
              </w:rPr>
              <w:t>综上所述，本项目废水接管至武南污水处理厂处理是可行的。</w:t>
            </w:r>
          </w:p>
          <w:p>
            <w:pPr>
              <w:keepNext w:val="0"/>
              <w:keepLines w:val="0"/>
              <w:suppressLineNumbers w:val="0"/>
              <w:tabs>
                <w:tab w:val="left" w:pos="1014"/>
              </w:tabs>
              <w:spacing w:before="0" w:beforeAutospacing="0" w:after="0" w:afterAutospacing="0" w:line="360" w:lineRule="auto"/>
              <w:ind w:left="0" w:right="0" w:firstLine="482" w:firstLineChars="200"/>
              <w:rPr>
                <w:b/>
                <w:bCs/>
                <w:sz w:val="24"/>
              </w:rPr>
            </w:pPr>
            <w:r>
              <w:rPr>
                <w:rFonts w:hint="eastAsia"/>
                <w:b/>
                <w:bCs/>
                <w:sz w:val="24"/>
              </w:rPr>
              <w:t>（3）</w:t>
            </w:r>
            <w:r>
              <w:rPr>
                <w:b/>
                <w:bCs/>
                <w:sz w:val="24"/>
              </w:rPr>
              <w:t>地表水环境影响分析</w:t>
            </w:r>
          </w:p>
          <w:p>
            <w:pPr>
              <w:pStyle w:val="5"/>
              <w:keepNext w:val="0"/>
              <w:keepLines w:val="0"/>
              <w:suppressLineNumbers w:val="0"/>
              <w:spacing w:before="0" w:beforeAutospacing="0" w:after="0" w:afterAutospacing="0" w:line="360" w:lineRule="auto"/>
              <w:ind w:left="0" w:right="0" w:firstLine="480" w:firstLineChars="200"/>
              <w:jc w:val="left"/>
              <w:rPr>
                <w:rFonts w:ascii="Times New Roman" w:hAnsi="Times New Roman"/>
                <w:sz w:val="24"/>
              </w:rPr>
            </w:pPr>
            <w:r>
              <w:rPr>
                <w:sz w:val="24"/>
              </w:rPr>
              <w:t>项</w:t>
            </w:r>
            <w:r>
              <w:rPr>
                <w:rFonts w:ascii="Times New Roman"/>
                <w:sz w:val="24"/>
              </w:rPr>
              <w:t>目厂区排水实施</w:t>
            </w:r>
            <w:r>
              <w:rPr>
                <w:rFonts w:ascii="Times New Roman" w:hAnsi="Times New Roman"/>
                <w:sz w:val="24"/>
              </w:rPr>
              <w:t>“</w:t>
            </w:r>
            <w:r>
              <w:rPr>
                <w:rFonts w:ascii="Times New Roman"/>
                <w:sz w:val="24"/>
              </w:rPr>
              <w:t>雨污分流</w:t>
            </w:r>
            <w:r>
              <w:rPr>
                <w:rFonts w:ascii="Times New Roman" w:hAnsi="Times New Roman"/>
                <w:sz w:val="24"/>
              </w:rPr>
              <w:t>”</w:t>
            </w:r>
            <w:r>
              <w:rPr>
                <w:rFonts w:ascii="Times New Roman"/>
                <w:sz w:val="24"/>
              </w:rPr>
              <w:t>，雨水经雨水管网收集后排入附近水体。</w:t>
            </w:r>
          </w:p>
          <w:p>
            <w:pPr>
              <w:pStyle w:val="5"/>
              <w:keepNext w:val="0"/>
              <w:keepLines w:val="0"/>
              <w:suppressLineNumbers w:val="0"/>
              <w:spacing w:before="0" w:beforeAutospacing="0" w:after="0" w:afterAutospacing="0" w:line="360" w:lineRule="auto"/>
              <w:ind w:left="0" w:right="0" w:firstLine="480" w:firstLineChars="200"/>
              <w:jc w:val="left"/>
              <w:rPr>
                <w:rFonts w:ascii="Times New Roman" w:hAnsi="Times New Roman"/>
                <w:sz w:val="24"/>
              </w:rPr>
            </w:pPr>
            <w:r>
              <w:rPr>
                <w:rFonts w:ascii="Times New Roman"/>
                <w:sz w:val="24"/>
              </w:rPr>
              <w:t>本项目生活污水接管量</w:t>
            </w:r>
            <w:r>
              <w:rPr>
                <w:rFonts w:hint="eastAsia" w:ascii="Times New Roman" w:hAnsi="Times New Roman"/>
                <w:sz w:val="24"/>
              </w:rPr>
              <w:t>2880</w:t>
            </w:r>
            <w:r>
              <w:rPr>
                <w:rFonts w:ascii="Times New Roman" w:hAnsi="Times New Roman"/>
                <w:sz w:val="24"/>
              </w:rPr>
              <w:t>t/a</w:t>
            </w:r>
            <w:r>
              <w:rPr>
                <w:rFonts w:ascii="Times New Roman"/>
                <w:sz w:val="24"/>
              </w:rPr>
              <w:t>，其中</w:t>
            </w:r>
            <w:r>
              <w:rPr>
                <w:rFonts w:ascii="Times New Roman" w:hAnsi="Times New Roman"/>
                <w:sz w:val="24"/>
              </w:rPr>
              <w:t>COD</w:t>
            </w:r>
            <w:r>
              <w:rPr>
                <w:rFonts w:ascii="Times New Roman"/>
                <w:sz w:val="24"/>
              </w:rPr>
              <w:t>、</w:t>
            </w:r>
            <w:r>
              <w:rPr>
                <w:rFonts w:ascii="Times New Roman" w:hAnsi="Times New Roman"/>
                <w:sz w:val="24"/>
              </w:rPr>
              <w:t>SS</w:t>
            </w:r>
            <w:r>
              <w:rPr>
                <w:rFonts w:ascii="Times New Roman"/>
                <w:sz w:val="24"/>
              </w:rPr>
              <w:t>、氨氮、</w:t>
            </w:r>
            <w:r>
              <w:rPr>
                <w:rFonts w:ascii="Times New Roman" w:hAnsi="Times New Roman"/>
                <w:sz w:val="24"/>
              </w:rPr>
              <w:t>TP</w:t>
            </w:r>
            <w:r>
              <w:rPr>
                <w:rFonts w:ascii="Times New Roman"/>
                <w:sz w:val="24"/>
              </w:rPr>
              <w:t>、</w:t>
            </w:r>
            <w:r>
              <w:rPr>
                <w:rFonts w:ascii="Times New Roman" w:hAnsi="Times New Roman"/>
                <w:sz w:val="24"/>
              </w:rPr>
              <w:t>TN</w:t>
            </w:r>
            <w:r>
              <w:rPr>
                <w:rFonts w:ascii="Times New Roman"/>
                <w:sz w:val="24"/>
              </w:rPr>
              <w:t>的产生浓度分别为</w:t>
            </w:r>
            <w:r>
              <w:rPr>
                <w:rFonts w:ascii="Times New Roman" w:hAnsi="Times New Roman"/>
                <w:sz w:val="24"/>
              </w:rPr>
              <w:t>400mg/L</w:t>
            </w:r>
            <w:r>
              <w:rPr>
                <w:rFonts w:ascii="Times New Roman"/>
                <w:sz w:val="24"/>
              </w:rPr>
              <w:t>、</w:t>
            </w:r>
            <w:r>
              <w:rPr>
                <w:rFonts w:ascii="Times New Roman" w:hAnsi="Times New Roman"/>
                <w:sz w:val="24"/>
              </w:rPr>
              <w:t>300mg/L</w:t>
            </w:r>
            <w:r>
              <w:rPr>
                <w:rFonts w:ascii="Times New Roman"/>
                <w:sz w:val="24"/>
              </w:rPr>
              <w:t>、</w:t>
            </w:r>
            <w:r>
              <w:rPr>
                <w:rFonts w:ascii="Times New Roman" w:hAnsi="Times New Roman"/>
                <w:sz w:val="24"/>
              </w:rPr>
              <w:t>25mg/L</w:t>
            </w:r>
            <w:r>
              <w:rPr>
                <w:rFonts w:ascii="Times New Roman"/>
                <w:sz w:val="24"/>
              </w:rPr>
              <w:t>、</w:t>
            </w:r>
            <w:r>
              <w:rPr>
                <w:rFonts w:ascii="Times New Roman" w:hAnsi="Times New Roman"/>
                <w:sz w:val="24"/>
              </w:rPr>
              <w:t>5mg/L</w:t>
            </w:r>
            <w:r>
              <w:rPr>
                <w:rFonts w:ascii="Times New Roman"/>
                <w:sz w:val="24"/>
              </w:rPr>
              <w:t>、</w:t>
            </w:r>
            <w:r>
              <w:rPr>
                <w:rFonts w:ascii="Times New Roman" w:hAnsi="Times New Roman"/>
                <w:sz w:val="24"/>
              </w:rPr>
              <w:t>50mg/L</w:t>
            </w:r>
            <w:r>
              <w:rPr>
                <w:rFonts w:ascii="Times New Roman"/>
                <w:sz w:val="24"/>
              </w:rPr>
              <w:t>，</w:t>
            </w:r>
            <w:r>
              <w:rPr>
                <w:rFonts w:ascii="Times New Roman" w:hAnsi="Times New Roman"/>
                <w:sz w:val="24"/>
              </w:rPr>
              <w:t>COD</w:t>
            </w:r>
            <w:r>
              <w:rPr>
                <w:rFonts w:ascii="Times New Roman"/>
                <w:sz w:val="24"/>
              </w:rPr>
              <w:t>、</w:t>
            </w:r>
            <w:r>
              <w:rPr>
                <w:rFonts w:ascii="Times New Roman" w:hAnsi="Times New Roman"/>
                <w:sz w:val="24"/>
              </w:rPr>
              <w:t>SS</w:t>
            </w:r>
            <w:r>
              <w:rPr>
                <w:rFonts w:ascii="Times New Roman"/>
                <w:sz w:val="24"/>
              </w:rPr>
              <w:t>、氨氮、</w:t>
            </w:r>
            <w:r>
              <w:rPr>
                <w:rFonts w:ascii="Times New Roman" w:hAnsi="Times New Roman"/>
                <w:sz w:val="24"/>
              </w:rPr>
              <w:t>TP</w:t>
            </w:r>
            <w:r>
              <w:rPr>
                <w:rFonts w:ascii="Times New Roman"/>
                <w:sz w:val="24"/>
              </w:rPr>
              <w:t>、</w:t>
            </w:r>
            <w:r>
              <w:rPr>
                <w:rFonts w:ascii="Times New Roman" w:hAnsi="Times New Roman"/>
                <w:sz w:val="24"/>
              </w:rPr>
              <w:t>TN</w:t>
            </w:r>
            <w:r>
              <w:rPr>
                <w:rFonts w:ascii="Times New Roman"/>
                <w:sz w:val="24"/>
              </w:rPr>
              <w:t>排放量分别为</w:t>
            </w:r>
            <w:r>
              <w:rPr>
                <w:rFonts w:hint="eastAsia" w:ascii="Times New Roman" w:hAnsi="Times New Roman"/>
                <w:sz w:val="24"/>
              </w:rPr>
              <w:t>1.152</w:t>
            </w:r>
            <w:r>
              <w:rPr>
                <w:rFonts w:ascii="Times New Roman" w:hAnsi="Times New Roman"/>
                <w:sz w:val="24"/>
              </w:rPr>
              <w:t>t/a</w:t>
            </w:r>
            <w:r>
              <w:rPr>
                <w:rFonts w:ascii="Times New Roman"/>
                <w:sz w:val="24"/>
              </w:rPr>
              <w:t>、</w:t>
            </w:r>
            <w:r>
              <w:rPr>
                <w:rFonts w:hint="eastAsia" w:ascii="Times New Roman" w:hAnsi="Times New Roman"/>
                <w:sz w:val="24"/>
              </w:rPr>
              <w:t>0.864</w:t>
            </w:r>
            <w:r>
              <w:rPr>
                <w:rFonts w:ascii="Times New Roman" w:hAnsi="Times New Roman"/>
                <w:sz w:val="24"/>
              </w:rPr>
              <w:t>t/a</w:t>
            </w:r>
            <w:r>
              <w:rPr>
                <w:rFonts w:ascii="Times New Roman"/>
                <w:sz w:val="24"/>
              </w:rPr>
              <w:t>、</w:t>
            </w:r>
            <w:r>
              <w:rPr>
                <w:rFonts w:hint="eastAsia" w:ascii="Times New Roman" w:hAnsi="Times New Roman"/>
                <w:sz w:val="24"/>
              </w:rPr>
              <w:t>0.072</w:t>
            </w:r>
            <w:r>
              <w:rPr>
                <w:rFonts w:ascii="Times New Roman" w:hAnsi="Times New Roman"/>
                <w:sz w:val="24"/>
              </w:rPr>
              <w:t>t/a</w:t>
            </w:r>
            <w:r>
              <w:rPr>
                <w:rFonts w:ascii="Times New Roman"/>
                <w:sz w:val="24"/>
              </w:rPr>
              <w:t>、</w:t>
            </w:r>
            <w:r>
              <w:rPr>
                <w:rFonts w:ascii="Times New Roman" w:hAnsi="Times New Roman"/>
                <w:sz w:val="24"/>
              </w:rPr>
              <w:t>0.0</w:t>
            </w:r>
            <w:r>
              <w:rPr>
                <w:rFonts w:hint="eastAsia" w:ascii="Times New Roman" w:hAnsi="Times New Roman"/>
                <w:sz w:val="24"/>
              </w:rPr>
              <w:t>144</w:t>
            </w:r>
            <w:r>
              <w:rPr>
                <w:rFonts w:ascii="Times New Roman" w:hAnsi="Times New Roman"/>
                <w:sz w:val="24"/>
              </w:rPr>
              <w:t>t/a</w:t>
            </w:r>
            <w:r>
              <w:rPr>
                <w:rFonts w:ascii="Times New Roman"/>
                <w:sz w:val="24"/>
              </w:rPr>
              <w:t>、</w:t>
            </w:r>
            <w:r>
              <w:rPr>
                <w:rFonts w:ascii="Times New Roman" w:hAnsi="Times New Roman"/>
                <w:sz w:val="24"/>
              </w:rPr>
              <w:t>0.</w:t>
            </w:r>
            <w:r>
              <w:rPr>
                <w:rFonts w:hint="eastAsia" w:ascii="Times New Roman" w:hAnsi="Times New Roman"/>
                <w:sz w:val="24"/>
              </w:rPr>
              <w:t>144</w:t>
            </w:r>
            <w:r>
              <w:rPr>
                <w:rFonts w:ascii="Times New Roman" w:hAnsi="Times New Roman"/>
                <w:sz w:val="24"/>
              </w:rPr>
              <w:t>t/a</w:t>
            </w:r>
            <w:r>
              <w:rPr>
                <w:rFonts w:ascii="Times New Roman"/>
                <w:sz w:val="24"/>
              </w:rPr>
              <w:t>。食堂废水接管量</w:t>
            </w:r>
            <w:r>
              <w:rPr>
                <w:rFonts w:hint="eastAsia" w:ascii="Times New Roman" w:hAnsi="Times New Roman"/>
                <w:sz w:val="24"/>
                <w:lang w:val="en-US" w:eastAsia="zh-CN"/>
              </w:rPr>
              <w:t>576</w:t>
            </w:r>
            <w:r>
              <w:rPr>
                <w:rFonts w:ascii="Times New Roman" w:hAnsi="Times New Roman"/>
                <w:sz w:val="24"/>
              </w:rPr>
              <w:t>t/a</w:t>
            </w:r>
            <w:r>
              <w:rPr>
                <w:rFonts w:ascii="Times New Roman"/>
                <w:sz w:val="24"/>
              </w:rPr>
              <w:t>，其中</w:t>
            </w:r>
            <w:r>
              <w:rPr>
                <w:rFonts w:ascii="Times New Roman" w:hAnsi="Times New Roman"/>
                <w:sz w:val="24"/>
              </w:rPr>
              <w:t>COD</w:t>
            </w:r>
            <w:r>
              <w:rPr>
                <w:rFonts w:ascii="Times New Roman"/>
                <w:sz w:val="24"/>
              </w:rPr>
              <w:t>、</w:t>
            </w:r>
            <w:r>
              <w:rPr>
                <w:rFonts w:ascii="Times New Roman" w:hAnsi="Times New Roman"/>
                <w:sz w:val="24"/>
              </w:rPr>
              <w:t>SS</w:t>
            </w:r>
            <w:r>
              <w:rPr>
                <w:rFonts w:ascii="Times New Roman"/>
                <w:sz w:val="24"/>
              </w:rPr>
              <w:t>、氨氮、</w:t>
            </w:r>
            <w:r>
              <w:rPr>
                <w:rFonts w:ascii="Times New Roman" w:hAnsi="Times New Roman"/>
                <w:sz w:val="24"/>
              </w:rPr>
              <w:t>TP</w:t>
            </w:r>
            <w:r>
              <w:rPr>
                <w:rFonts w:ascii="Times New Roman"/>
                <w:sz w:val="24"/>
              </w:rPr>
              <w:t>、</w:t>
            </w:r>
            <w:r>
              <w:rPr>
                <w:rFonts w:ascii="Times New Roman" w:hAnsi="Times New Roman"/>
                <w:sz w:val="24"/>
              </w:rPr>
              <w:t>TN</w:t>
            </w:r>
            <w:r>
              <w:rPr>
                <w:rFonts w:ascii="Times New Roman"/>
                <w:sz w:val="24"/>
              </w:rPr>
              <w:t>、动植物油的产生浓度分别为</w:t>
            </w:r>
            <w:r>
              <w:rPr>
                <w:rFonts w:ascii="Times New Roman" w:hAnsi="Times New Roman"/>
                <w:sz w:val="24"/>
              </w:rPr>
              <w:t>400mg/L</w:t>
            </w:r>
            <w:r>
              <w:rPr>
                <w:rFonts w:ascii="Times New Roman"/>
                <w:sz w:val="24"/>
              </w:rPr>
              <w:t>、</w:t>
            </w:r>
            <w:r>
              <w:rPr>
                <w:rFonts w:ascii="Times New Roman" w:hAnsi="Times New Roman"/>
                <w:sz w:val="24"/>
              </w:rPr>
              <w:t>300mg/L</w:t>
            </w:r>
            <w:r>
              <w:rPr>
                <w:rFonts w:ascii="Times New Roman"/>
                <w:sz w:val="24"/>
              </w:rPr>
              <w:t>、</w:t>
            </w:r>
            <w:r>
              <w:rPr>
                <w:rFonts w:ascii="Times New Roman" w:hAnsi="Times New Roman"/>
                <w:sz w:val="24"/>
              </w:rPr>
              <w:t>25mg/L</w:t>
            </w:r>
            <w:r>
              <w:rPr>
                <w:rFonts w:ascii="Times New Roman"/>
                <w:sz w:val="24"/>
              </w:rPr>
              <w:t>、</w:t>
            </w:r>
            <w:r>
              <w:rPr>
                <w:rFonts w:ascii="Times New Roman" w:hAnsi="Times New Roman"/>
                <w:sz w:val="24"/>
              </w:rPr>
              <w:t>5mg/L</w:t>
            </w:r>
            <w:r>
              <w:rPr>
                <w:rFonts w:ascii="Times New Roman"/>
                <w:sz w:val="24"/>
              </w:rPr>
              <w:t>、</w:t>
            </w:r>
            <w:r>
              <w:rPr>
                <w:rFonts w:ascii="Times New Roman" w:hAnsi="Times New Roman"/>
                <w:sz w:val="24"/>
              </w:rPr>
              <w:t>50mg/L</w:t>
            </w:r>
            <w:r>
              <w:rPr>
                <w:rFonts w:ascii="Times New Roman"/>
                <w:sz w:val="24"/>
              </w:rPr>
              <w:t>，</w:t>
            </w:r>
            <w:r>
              <w:rPr>
                <w:rFonts w:ascii="Times New Roman" w:hAnsi="Times New Roman"/>
                <w:sz w:val="24"/>
              </w:rPr>
              <w:t>COD</w:t>
            </w:r>
            <w:r>
              <w:rPr>
                <w:rFonts w:ascii="Times New Roman"/>
                <w:sz w:val="24"/>
              </w:rPr>
              <w:t>、</w:t>
            </w:r>
            <w:r>
              <w:rPr>
                <w:rFonts w:ascii="Times New Roman" w:hAnsi="Times New Roman"/>
                <w:sz w:val="24"/>
              </w:rPr>
              <w:t>SS</w:t>
            </w:r>
            <w:r>
              <w:rPr>
                <w:rFonts w:ascii="Times New Roman"/>
                <w:sz w:val="24"/>
              </w:rPr>
              <w:t>、氨氮、</w:t>
            </w:r>
            <w:r>
              <w:rPr>
                <w:rFonts w:ascii="Times New Roman" w:hAnsi="Times New Roman"/>
                <w:sz w:val="24"/>
              </w:rPr>
              <w:t>TP</w:t>
            </w:r>
            <w:r>
              <w:rPr>
                <w:rFonts w:ascii="Times New Roman"/>
                <w:sz w:val="24"/>
              </w:rPr>
              <w:t>、</w:t>
            </w:r>
            <w:r>
              <w:rPr>
                <w:rFonts w:ascii="Times New Roman" w:hAnsi="Times New Roman"/>
                <w:sz w:val="24"/>
              </w:rPr>
              <w:t>TN</w:t>
            </w:r>
            <w:r>
              <w:rPr>
                <w:rFonts w:ascii="Times New Roman"/>
                <w:sz w:val="24"/>
              </w:rPr>
              <w:t>、动植物油排放量分别为</w:t>
            </w:r>
            <w:r>
              <w:rPr>
                <w:rFonts w:hint="eastAsia" w:ascii="Times New Roman" w:hAnsi="Times New Roman"/>
                <w:sz w:val="24"/>
              </w:rPr>
              <w:t>0.</w:t>
            </w:r>
            <w:r>
              <w:rPr>
                <w:rFonts w:hint="eastAsia" w:ascii="Times New Roman" w:hAnsi="Times New Roman"/>
                <w:sz w:val="24"/>
                <w:lang w:val="en-US" w:eastAsia="zh-CN"/>
              </w:rPr>
              <w:t>23</w:t>
            </w:r>
            <w:r>
              <w:rPr>
                <w:rFonts w:ascii="Times New Roman" w:hAnsi="Times New Roman"/>
                <w:sz w:val="24"/>
              </w:rPr>
              <w:t>t/a</w:t>
            </w:r>
            <w:r>
              <w:rPr>
                <w:rFonts w:ascii="Times New Roman"/>
                <w:sz w:val="24"/>
              </w:rPr>
              <w:t>、</w:t>
            </w:r>
            <w:r>
              <w:rPr>
                <w:rFonts w:hint="eastAsia" w:ascii="Times New Roman" w:hAnsi="Times New Roman"/>
                <w:sz w:val="24"/>
              </w:rPr>
              <w:t>0.</w:t>
            </w:r>
            <w:r>
              <w:rPr>
                <w:rFonts w:hint="eastAsia" w:ascii="Times New Roman" w:hAnsi="Times New Roman"/>
                <w:sz w:val="24"/>
                <w:lang w:val="en-US" w:eastAsia="zh-CN"/>
              </w:rPr>
              <w:t>173</w:t>
            </w:r>
            <w:r>
              <w:rPr>
                <w:rFonts w:ascii="Times New Roman" w:hAnsi="Times New Roman"/>
                <w:sz w:val="24"/>
              </w:rPr>
              <w:t>t/a</w:t>
            </w:r>
            <w:r>
              <w:rPr>
                <w:rFonts w:ascii="Times New Roman"/>
                <w:sz w:val="24"/>
              </w:rPr>
              <w:t>、</w:t>
            </w:r>
            <w:r>
              <w:rPr>
                <w:rFonts w:hint="eastAsia" w:ascii="Times New Roman" w:hAnsi="Times New Roman"/>
                <w:sz w:val="24"/>
              </w:rPr>
              <w:t>0.0</w:t>
            </w:r>
            <w:r>
              <w:rPr>
                <w:rFonts w:hint="eastAsia" w:ascii="Times New Roman" w:hAnsi="Times New Roman"/>
                <w:sz w:val="24"/>
                <w:lang w:val="en-US" w:eastAsia="zh-CN"/>
              </w:rPr>
              <w:t>144</w:t>
            </w:r>
            <w:r>
              <w:rPr>
                <w:rFonts w:ascii="Times New Roman" w:hAnsi="Times New Roman"/>
                <w:sz w:val="24"/>
              </w:rPr>
              <w:t>t/a</w:t>
            </w:r>
            <w:r>
              <w:rPr>
                <w:rFonts w:ascii="Times New Roman"/>
                <w:sz w:val="24"/>
              </w:rPr>
              <w:t>、</w:t>
            </w:r>
            <w:r>
              <w:rPr>
                <w:rFonts w:ascii="Times New Roman" w:hAnsi="Times New Roman"/>
                <w:sz w:val="24"/>
              </w:rPr>
              <w:t>0.</w:t>
            </w:r>
            <w:r>
              <w:rPr>
                <w:rFonts w:hint="eastAsia" w:ascii="Times New Roman" w:hAnsi="Times New Roman"/>
                <w:sz w:val="24"/>
              </w:rPr>
              <w:t>0</w:t>
            </w:r>
            <w:r>
              <w:rPr>
                <w:rFonts w:ascii="Times New Roman" w:hAnsi="Times New Roman"/>
                <w:sz w:val="24"/>
              </w:rPr>
              <w:t>0</w:t>
            </w:r>
            <w:r>
              <w:rPr>
                <w:rFonts w:hint="eastAsia" w:ascii="Times New Roman" w:hAnsi="Times New Roman"/>
                <w:sz w:val="24"/>
                <w:lang w:val="en-US" w:eastAsia="zh-CN"/>
              </w:rPr>
              <w:t>288</w:t>
            </w:r>
            <w:r>
              <w:rPr>
                <w:rFonts w:ascii="Times New Roman" w:hAnsi="Times New Roman"/>
                <w:sz w:val="24"/>
              </w:rPr>
              <w:t>t/a</w:t>
            </w:r>
            <w:r>
              <w:rPr>
                <w:rFonts w:ascii="Times New Roman"/>
                <w:sz w:val="24"/>
              </w:rPr>
              <w:t>、</w:t>
            </w:r>
            <w:r>
              <w:rPr>
                <w:rFonts w:ascii="Times New Roman" w:hAnsi="Times New Roman"/>
                <w:sz w:val="24"/>
              </w:rPr>
              <w:t>0.</w:t>
            </w:r>
            <w:r>
              <w:rPr>
                <w:rFonts w:hint="eastAsia" w:ascii="Times New Roman" w:hAnsi="Times New Roman"/>
                <w:sz w:val="24"/>
              </w:rPr>
              <w:t>0</w:t>
            </w:r>
            <w:r>
              <w:rPr>
                <w:rFonts w:hint="eastAsia" w:ascii="Times New Roman" w:hAnsi="Times New Roman"/>
                <w:sz w:val="24"/>
                <w:lang w:val="en-US" w:eastAsia="zh-CN"/>
              </w:rPr>
              <w:t>288</w:t>
            </w:r>
            <w:r>
              <w:rPr>
                <w:rFonts w:ascii="Times New Roman" w:hAnsi="Times New Roman"/>
                <w:sz w:val="24"/>
              </w:rPr>
              <w:t>t/a</w:t>
            </w:r>
            <w:r>
              <w:rPr>
                <w:rFonts w:ascii="Times New Roman"/>
                <w:sz w:val="24"/>
              </w:rPr>
              <w:t>、动植物油</w:t>
            </w:r>
            <w:r>
              <w:rPr>
                <w:rFonts w:ascii="Times New Roman" w:hAnsi="Times New Roman"/>
                <w:sz w:val="24"/>
              </w:rPr>
              <w:t>0.0</w:t>
            </w:r>
            <w:r>
              <w:rPr>
                <w:rFonts w:hint="eastAsia" w:ascii="Times New Roman" w:hAnsi="Times New Roman"/>
                <w:sz w:val="24"/>
                <w:lang w:val="en-US" w:eastAsia="zh-CN"/>
              </w:rPr>
              <w:t>23</w:t>
            </w:r>
            <w:r>
              <w:rPr>
                <w:rFonts w:ascii="Times New Roman" w:hAnsi="Times New Roman"/>
                <w:sz w:val="24"/>
              </w:rPr>
              <w:t>t/a</w:t>
            </w:r>
            <w:r>
              <w:rPr>
                <w:rFonts w:ascii="Times New Roman"/>
                <w:sz w:val="24"/>
              </w:rPr>
              <w:t>。符合《污水排入城镇下水道水质标准》（</w:t>
            </w:r>
            <w:r>
              <w:rPr>
                <w:rFonts w:ascii="Times New Roman" w:hAnsi="Times New Roman"/>
                <w:sz w:val="24"/>
              </w:rPr>
              <w:t>GB/T 31962-2015</w:t>
            </w:r>
            <w:r>
              <w:rPr>
                <w:rFonts w:ascii="Times New Roman"/>
                <w:sz w:val="24"/>
              </w:rPr>
              <w:t>）表</w:t>
            </w:r>
            <w:r>
              <w:rPr>
                <w:rFonts w:ascii="Times New Roman" w:hAnsi="Times New Roman"/>
                <w:sz w:val="24"/>
              </w:rPr>
              <w:t>1B</w:t>
            </w:r>
            <w:r>
              <w:rPr>
                <w:rFonts w:ascii="Times New Roman"/>
                <w:sz w:val="24"/>
              </w:rPr>
              <w:t>等级标准，</w:t>
            </w:r>
            <w:r>
              <w:rPr>
                <w:rFonts w:hint="eastAsia" w:ascii="Times New Roman"/>
                <w:sz w:val="24"/>
              </w:rPr>
              <w:t>食堂废水经隔油池处理后与</w:t>
            </w:r>
            <w:r>
              <w:rPr>
                <w:rFonts w:ascii="Times New Roman"/>
                <w:sz w:val="24"/>
              </w:rPr>
              <w:t>生活污水接入污水管网经武南污水处理厂集中处理，达标尾</w:t>
            </w:r>
            <w:r>
              <w:rPr>
                <w:rFonts w:ascii="Times New Roman" w:hAnsi="Times New Roman"/>
                <w:sz w:val="24"/>
              </w:rPr>
              <w:t>水排放至武南河。</w:t>
            </w:r>
          </w:p>
          <w:p>
            <w:pPr>
              <w:pStyle w:val="5"/>
              <w:keepNext w:val="0"/>
              <w:keepLines w:val="0"/>
              <w:suppressLineNumbers w:val="0"/>
              <w:spacing w:before="0" w:beforeAutospacing="0" w:after="0" w:afterAutospacing="0" w:line="360" w:lineRule="auto"/>
              <w:ind w:left="0" w:right="0" w:firstLine="480" w:firstLineChars="200"/>
              <w:jc w:val="left"/>
            </w:pPr>
            <w:r>
              <w:rPr>
                <w:rFonts w:ascii="Times New Roman"/>
                <w:sz w:val="24"/>
              </w:rPr>
              <w:t>本项目建成后食堂废水和生活污水排放量为</w:t>
            </w:r>
            <w:r>
              <w:rPr>
                <w:rFonts w:hint="eastAsia" w:ascii="Times New Roman" w:hAnsi="Times New Roman"/>
                <w:sz w:val="24"/>
                <w:lang w:val="en-US" w:eastAsia="zh-CN"/>
              </w:rPr>
              <w:t>11.52</w:t>
            </w:r>
            <w:r>
              <w:rPr>
                <w:rFonts w:ascii="Times New Roman" w:hAnsi="Times New Roman"/>
                <w:sz w:val="24"/>
              </w:rPr>
              <w:t>t/d</w:t>
            </w:r>
            <w:r>
              <w:rPr>
                <w:rFonts w:ascii="Times New Roman"/>
                <w:sz w:val="24"/>
              </w:rPr>
              <w:t>，武南污水处理厂尚有能力接纳本项目废水，从接管量上接管可行。污水水质简单，废水中的污染物浓度低，可生化性好，经武南污水处理厂处理达标后排放，对受纳水体武南河影</w:t>
            </w:r>
            <w:r>
              <w:rPr>
                <w:sz w:val="24"/>
              </w:rPr>
              <w:t>响很小，水质功能可维持现状。</w:t>
            </w:r>
          </w:p>
          <w:p>
            <w:pPr>
              <w:keepNext w:val="0"/>
              <w:keepLines w:val="0"/>
              <w:suppressLineNumbers w:val="0"/>
              <w:adjustRightInd w:val="0"/>
              <w:snapToGrid w:val="0"/>
              <w:spacing w:before="0" w:beforeAutospacing="0" w:after="0" w:afterAutospacing="0" w:line="360" w:lineRule="auto"/>
              <w:ind w:left="0" w:right="0" w:firstLine="480" w:firstLineChars="200"/>
              <w:rPr>
                <w:bCs/>
                <w:sz w:val="24"/>
              </w:rPr>
            </w:pPr>
            <w:r>
              <w:rPr>
                <w:bCs/>
                <w:sz w:val="24"/>
              </w:rPr>
              <w:t>本项目废水类别、污染物及污染治理设施信息表见下表。</w:t>
            </w:r>
          </w:p>
          <w:p>
            <w:pPr>
              <w:pStyle w:val="2"/>
              <w:keepNext w:val="0"/>
              <w:keepLines w:val="0"/>
              <w:suppressLineNumbers w:val="0"/>
              <w:spacing w:before="0" w:beforeAutospacing="0" w:after="0" w:afterAutospacing="0"/>
              <w:ind w:left="0" w:leftChars="0" w:right="0" w:rightChars="0"/>
              <w:jc w:val="center"/>
              <w:rPr>
                <w:rFonts w:ascii="Times New Roman"/>
                <w:b/>
                <w:sz w:val="24"/>
              </w:rPr>
            </w:pPr>
          </w:p>
          <w:p>
            <w:pPr>
              <w:pStyle w:val="2"/>
              <w:keepNext w:val="0"/>
              <w:keepLines w:val="0"/>
              <w:suppressLineNumbers w:val="0"/>
              <w:spacing w:before="0" w:beforeAutospacing="0" w:after="0" w:afterAutospacing="0"/>
              <w:ind w:left="0" w:leftChars="0" w:right="0" w:rightChars="0"/>
              <w:jc w:val="center"/>
              <w:rPr>
                <w:rFonts w:ascii="Times New Roman"/>
                <w:b/>
                <w:sz w:val="24"/>
              </w:rPr>
            </w:pPr>
          </w:p>
          <w:p>
            <w:pPr>
              <w:pStyle w:val="2"/>
              <w:keepNext w:val="0"/>
              <w:keepLines w:val="0"/>
              <w:suppressLineNumbers w:val="0"/>
              <w:spacing w:before="0" w:beforeAutospacing="0" w:after="0" w:afterAutospacing="0"/>
              <w:ind w:left="0" w:leftChars="0" w:right="0" w:rightChars="0"/>
              <w:jc w:val="center"/>
              <w:rPr>
                <w:rFonts w:ascii="Times New Roman"/>
                <w:b/>
                <w:sz w:val="24"/>
              </w:rPr>
            </w:pPr>
          </w:p>
          <w:p>
            <w:pPr>
              <w:pStyle w:val="2"/>
              <w:keepNext w:val="0"/>
              <w:keepLines w:val="0"/>
              <w:suppressLineNumbers w:val="0"/>
              <w:spacing w:before="0" w:beforeAutospacing="0" w:after="0" w:afterAutospacing="0"/>
              <w:ind w:left="0" w:leftChars="0" w:right="0" w:rightChars="0"/>
              <w:jc w:val="center"/>
              <w:rPr>
                <w:rFonts w:ascii="Times New Roman"/>
                <w:b/>
                <w:sz w:val="24"/>
              </w:rPr>
            </w:pPr>
          </w:p>
          <w:p>
            <w:pPr>
              <w:pStyle w:val="2"/>
              <w:keepNext w:val="0"/>
              <w:keepLines w:val="0"/>
              <w:suppressLineNumbers w:val="0"/>
              <w:spacing w:before="0" w:beforeAutospacing="0" w:after="0" w:afterAutospacing="0"/>
              <w:ind w:left="0" w:leftChars="0" w:right="0" w:rightChars="0"/>
              <w:jc w:val="center"/>
              <w:rPr>
                <w:rFonts w:ascii="Times New Roman"/>
                <w:b/>
                <w:sz w:val="24"/>
              </w:rPr>
            </w:pPr>
          </w:p>
          <w:p>
            <w:pPr>
              <w:pStyle w:val="2"/>
              <w:keepNext w:val="0"/>
              <w:keepLines w:val="0"/>
              <w:suppressLineNumbers w:val="0"/>
              <w:spacing w:before="0" w:beforeAutospacing="0" w:after="0" w:afterAutospacing="0"/>
              <w:ind w:left="0" w:leftChars="0" w:right="0" w:rightChars="0"/>
              <w:jc w:val="center"/>
              <w:rPr>
                <w:rFonts w:ascii="Times New Roman"/>
                <w:b/>
                <w:sz w:val="24"/>
              </w:rPr>
            </w:pPr>
          </w:p>
          <w:p>
            <w:pPr>
              <w:pStyle w:val="2"/>
              <w:keepNext w:val="0"/>
              <w:keepLines w:val="0"/>
              <w:suppressLineNumbers w:val="0"/>
              <w:spacing w:before="0" w:beforeAutospacing="0" w:after="0" w:afterAutospacing="0"/>
              <w:ind w:left="0" w:leftChars="0" w:right="0" w:rightChars="0"/>
              <w:jc w:val="center"/>
              <w:rPr>
                <w:rFonts w:ascii="Times New Roman"/>
                <w:b/>
                <w:sz w:val="24"/>
              </w:rPr>
            </w:pPr>
          </w:p>
          <w:p>
            <w:pPr>
              <w:pStyle w:val="2"/>
              <w:keepNext w:val="0"/>
              <w:keepLines w:val="0"/>
              <w:suppressLineNumbers w:val="0"/>
              <w:spacing w:before="0" w:beforeAutospacing="0" w:after="0" w:afterAutospacing="0"/>
              <w:ind w:left="0" w:leftChars="0" w:right="0" w:rightChars="0"/>
              <w:jc w:val="center"/>
              <w:rPr>
                <w:rFonts w:ascii="Times New Roman"/>
                <w:b/>
                <w:sz w:val="24"/>
              </w:rPr>
            </w:pPr>
          </w:p>
          <w:p>
            <w:pPr>
              <w:pStyle w:val="2"/>
              <w:keepNext w:val="0"/>
              <w:keepLines w:val="0"/>
              <w:suppressLineNumbers w:val="0"/>
              <w:spacing w:before="0" w:beforeAutospacing="0" w:after="0" w:afterAutospacing="0"/>
              <w:ind w:left="0" w:leftChars="0" w:right="0" w:rightChars="0"/>
              <w:jc w:val="center"/>
              <w:rPr>
                <w:rFonts w:ascii="Times New Roman"/>
                <w:b/>
                <w:sz w:val="24"/>
              </w:rPr>
            </w:pPr>
          </w:p>
          <w:p>
            <w:pPr>
              <w:pStyle w:val="2"/>
              <w:keepNext w:val="0"/>
              <w:keepLines w:val="0"/>
              <w:suppressLineNumbers w:val="0"/>
              <w:spacing w:before="0" w:beforeAutospacing="0" w:after="0" w:afterAutospacing="0"/>
              <w:ind w:left="0" w:leftChars="0" w:right="0" w:rightChars="0"/>
              <w:jc w:val="center"/>
              <w:rPr>
                <w:rFonts w:ascii="Times New Roman"/>
                <w:b/>
                <w:sz w:val="24"/>
              </w:rPr>
            </w:pPr>
          </w:p>
          <w:p>
            <w:pPr>
              <w:pStyle w:val="2"/>
              <w:keepNext w:val="0"/>
              <w:keepLines w:val="0"/>
              <w:suppressLineNumbers w:val="0"/>
              <w:spacing w:before="0" w:beforeAutospacing="0" w:after="0" w:afterAutospacing="0"/>
              <w:ind w:left="0" w:leftChars="0" w:right="0" w:rightChars="0"/>
              <w:jc w:val="center"/>
              <w:rPr>
                <w:rFonts w:ascii="Times New Roman"/>
                <w:b/>
                <w:sz w:val="24"/>
              </w:rPr>
            </w:pPr>
          </w:p>
          <w:p>
            <w:pPr>
              <w:pStyle w:val="2"/>
              <w:keepNext w:val="0"/>
              <w:keepLines w:val="0"/>
              <w:suppressLineNumbers w:val="0"/>
              <w:spacing w:before="0" w:beforeAutospacing="0" w:after="0" w:afterAutospacing="0"/>
              <w:ind w:left="0" w:leftChars="0" w:right="0" w:rightChars="0"/>
              <w:jc w:val="center"/>
              <w:rPr>
                <w:rFonts w:ascii="Times New Roman"/>
                <w:b/>
                <w:sz w:val="24"/>
              </w:rPr>
            </w:pPr>
          </w:p>
          <w:p>
            <w:pPr>
              <w:pStyle w:val="2"/>
              <w:keepNext w:val="0"/>
              <w:keepLines w:val="0"/>
              <w:suppressLineNumbers w:val="0"/>
              <w:spacing w:before="0" w:beforeAutospacing="0" w:after="0" w:afterAutospacing="0"/>
              <w:ind w:left="0" w:leftChars="0" w:right="0" w:rightChars="0"/>
              <w:jc w:val="center"/>
              <w:rPr>
                <w:rFonts w:ascii="Times New Roman"/>
                <w:b/>
                <w:sz w:val="24"/>
              </w:rPr>
            </w:pPr>
          </w:p>
          <w:p>
            <w:pPr>
              <w:pStyle w:val="2"/>
              <w:keepNext w:val="0"/>
              <w:keepLines w:val="0"/>
              <w:suppressLineNumbers w:val="0"/>
              <w:spacing w:before="0" w:beforeAutospacing="0" w:after="0" w:afterAutospacing="0"/>
              <w:ind w:left="0" w:leftChars="0" w:right="0" w:rightChars="0"/>
              <w:jc w:val="center"/>
              <w:rPr>
                <w:rFonts w:ascii="Times New Roman"/>
                <w:b/>
                <w:sz w:val="24"/>
              </w:rPr>
            </w:pPr>
          </w:p>
          <w:p>
            <w:pPr>
              <w:pStyle w:val="2"/>
              <w:keepNext w:val="0"/>
              <w:keepLines w:val="0"/>
              <w:suppressLineNumbers w:val="0"/>
              <w:spacing w:before="0" w:beforeAutospacing="0" w:after="0" w:afterAutospacing="0"/>
              <w:ind w:left="0" w:leftChars="0" w:right="0" w:rightChars="0"/>
              <w:jc w:val="center"/>
              <w:rPr>
                <w:rFonts w:ascii="Times New Roman"/>
                <w:b/>
                <w:sz w:val="24"/>
              </w:rPr>
            </w:pPr>
            <w:r>
              <w:rPr>
                <w:rFonts w:ascii="Times New Roman"/>
                <w:b/>
                <w:sz w:val="24"/>
              </w:rPr>
              <w:t>表</w:t>
            </w:r>
            <w:r>
              <w:rPr>
                <w:rFonts w:ascii="Times New Roman" w:hAnsi="Times New Roman"/>
                <w:b/>
                <w:sz w:val="24"/>
              </w:rPr>
              <w:t>4-1</w:t>
            </w:r>
            <w:r>
              <w:rPr>
                <w:rFonts w:hint="eastAsia" w:ascii="Times New Roman" w:hAnsi="Times New Roman"/>
                <w:b/>
                <w:sz w:val="24"/>
              </w:rPr>
              <w:t>3</w:t>
            </w:r>
            <w:r>
              <w:rPr>
                <w:rFonts w:ascii="Times New Roman" w:hAnsi="Times New Roman"/>
                <w:b/>
                <w:sz w:val="24"/>
              </w:rPr>
              <w:t xml:space="preserve"> </w:t>
            </w:r>
            <w:r>
              <w:rPr>
                <w:rFonts w:ascii="Times New Roman"/>
                <w:b/>
                <w:sz w:val="24"/>
              </w:rPr>
              <w:t>废水类别、污染物及污染治理设施信息表</w:t>
            </w:r>
          </w:p>
          <w:tbl>
            <w:tblPr>
              <w:tblStyle w:val="22"/>
              <w:tblW w:w="808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1" w:type="dxa"/>
                <w:bottom w:w="0" w:type="dxa"/>
                <w:right w:w="51" w:type="dxa"/>
              </w:tblCellMar>
            </w:tblPr>
            <w:tblGrid>
              <w:gridCol w:w="357"/>
              <w:gridCol w:w="638"/>
              <w:gridCol w:w="764"/>
              <w:gridCol w:w="654"/>
              <w:gridCol w:w="765"/>
              <w:gridCol w:w="605"/>
              <w:gridCol w:w="605"/>
              <w:gridCol w:w="606"/>
              <w:gridCol w:w="819"/>
              <w:gridCol w:w="684"/>
              <w:gridCol w:w="158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400" w:hRule="atLeast"/>
                <w:jc w:val="center"/>
              </w:trPr>
              <w:tc>
                <w:tcPr>
                  <w:tcW w:w="357" w:type="dxa"/>
                  <w:vMerge w:val="restart"/>
                  <w:vAlign w:val="center"/>
                </w:tcPr>
                <w:p>
                  <w:pPr>
                    <w:keepNext w:val="0"/>
                    <w:keepLines w:val="0"/>
                    <w:suppressLineNumbers w:val="0"/>
                    <w:spacing w:before="0" w:beforeAutospacing="0" w:after="0" w:afterAutospacing="0" w:line="280" w:lineRule="exact"/>
                    <w:ind w:left="0" w:right="0"/>
                    <w:jc w:val="center"/>
                    <w:rPr>
                      <w:b/>
                      <w:bCs/>
                      <w:szCs w:val="21"/>
                    </w:rPr>
                  </w:pPr>
                  <w:r>
                    <w:rPr>
                      <w:b/>
                      <w:bCs/>
                      <w:szCs w:val="21"/>
                    </w:rPr>
                    <w:t>序号</w:t>
                  </w:r>
                </w:p>
              </w:tc>
              <w:tc>
                <w:tcPr>
                  <w:tcW w:w="638" w:type="dxa"/>
                  <w:vMerge w:val="restart"/>
                  <w:vAlign w:val="center"/>
                </w:tcPr>
                <w:p>
                  <w:pPr>
                    <w:keepNext w:val="0"/>
                    <w:keepLines w:val="0"/>
                    <w:suppressLineNumbers w:val="0"/>
                    <w:spacing w:before="0" w:beforeAutospacing="0" w:after="0" w:afterAutospacing="0" w:line="280" w:lineRule="exact"/>
                    <w:ind w:left="0" w:right="0"/>
                    <w:jc w:val="center"/>
                    <w:rPr>
                      <w:b/>
                      <w:bCs/>
                      <w:szCs w:val="21"/>
                    </w:rPr>
                  </w:pPr>
                  <w:r>
                    <w:rPr>
                      <w:b/>
                      <w:bCs/>
                      <w:szCs w:val="21"/>
                    </w:rPr>
                    <w:t>废水类型</w:t>
                  </w:r>
                </w:p>
              </w:tc>
              <w:tc>
                <w:tcPr>
                  <w:tcW w:w="764" w:type="dxa"/>
                  <w:vMerge w:val="restart"/>
                  <w:vAlign w:val="center"/>
                </w:tcPr>
                <w:p>
                  <w:pPr>
                    <w:keepNext w:val="0"/>
                    <w:keepLines w:val="0"/>
                    <w:suppressLineNumbers w:val="0"/>
                    <w:spacing w:before="0" w:beforeAutospacing="0" w:after="0" w:afterAutospacing="0" w:line="280" w:lineRule="exact"/>
                    <w:ind w:left="0" w:right="0"/>
                    <w:jc w:val="center"/>
                    <w:rPr>
                      <w:b/>
                      <w:bCs/>
                      <w:szCs w:val="21"/>
                    </w:rPr>
                  </w:pPr>
                  <w:r>
                    <w:rPr>
                      <w:b/>
                      <w:bCs/>
                      <w:szCs w:val="21"/>
                    </w:rPr>
                    <w:t>污染物种类</w:t>
                  </w:r>
                </w:p>
              </w:tc>
              <w:tc>
                <w:tcPr>
                  <w:tcW w:w="654" w:type="dxa"/>
                  <w:vMerge w:val="restart"/>
                  <w:vAlign w:val="center"/>
                </w:tcPr>
                <w:p>
                  <w:pPr>
                    <w:keepNext w:val="0"/>
                    <w:keepLines w:val="0"/>
                    <w:suppressLineNumbers w:val="0"/>
                    <w:spacing w:before="0" w:beforeAutospacing="0" w:after="0" w:afterAutospacing="0" w:line="280" w:lineRule="exact"/>
                    <w:ind w:left="0" w:right="0"/>
                    <w:jc w:val="center"/>
                    <w:rPr>
                      <w:b/>
                      <w:bCs/>
                      <w:szCs w:val="21"/>
                    </w:rPr>
                  </w:pPr>
                  <w:r>
                    <w:rPr>
                      <w:b/>
                      <w:bCs/>
                      <w:szCs w:val="21"/>
                    </w:rPr>
                    <w:t>排放去向</w:t>
                  </w:r>
                </w:p>
              </w:tc>
              <w:tc>
                <w:tcPr>
                  <w:tcW w:w="765" w:type="dxa"/>
                  <w:vMerge w:val="restart"/>
                  <w:vAlign w:val="center"/>
                </w:tcPr>
                <w:p>
                  <w:pPr>
                    <w:keepNext w:val="0"/>
                    <w:keepLines w:val="0"/>
                    <w:suppressLineNumbers w:val="0"/>
                    <w:spacing w:before="0" w:beforeAutospacing="0" w:after="0" w:afterAutospacing="0" w:line="280" w:lineRule="exact"/>
                    <w:ind w:left="0" w:right="0"/>
                    <w:jc w:val="center"/>
                    <w:rPr>
                      <w:b/>
                      <w:bCs/>
                      <w:szCs w:val="21"/>
                    </w:rPr>
                  </w:pPr>
                  <w:r>
                    <w:rPr>
                      <w:b/>
                      <w:bCs/>
                      <w:szCs w:val="21"/>
                    </w:rPr>
                    <w:t>排放</w:t>
                  </w:r>
                </w:p>
                <w:p>
                  <w:pPr>
                    <w:keepNext w:val="0"/>
                    <w:keepLines w:val="0"/>
                    <w:suppressLineNumbers w:val="0"/>
                    <w:spacing w:before="0" w:beforeAutospacing="0" w:after="0" w:afterAutospacing="0" w:line="280" w:lineRule="exact"/>
                    <w:ind w:left="0" w:right="0"/>
                    <w:jc w:val="center"/>
                    <w:rPr>
                      <w:b/>
                      <w:bCs/>
                      <w:szCs w:val="21"/>
                    </w:rPr>
                  </w:pPr>
                  <w:r>
                    <w:rPr>
                      <w:b/>
                      <w:bCs/>
                      <w:szCs w:val="21"/>
                    </w:rPr>
                    <w:t>规律</w:t>
                  </w:r>
                </w:p>
              </w:tc>
              <w:tc>
                <w:tcPr>
                  <w:tcW w:w="1816" w:type="dxa"/>
                  <w:gridSpan w:val="3"/>
                  <w:vAlign w:val="center"/>
                </w:tcPr>
                <w:p>
                  <w:pPr>
                    <w:keepNext w:val="0"/>
                    <w:keepLines w:val="0"/>
                    <w:suppressLineNumbers w:val="0"/>
                    <w:spacing w:before="0" w:beforeAutospacing="0" w:after="0" w:afterAutospacing="0" w:line="280" w:lineRule="exact"/>
                    <w:ind w:left="0" w:right="0"/>
                    <w:jc w:val="center"/>
                    <w:rPr>
                      <w:b/>
                      <w:bCs/>
                      <w:szCs w:val="21"/>
                    </w:rPr>
                  </w:pPr>
                  <w:r>
                    <w:rPr>
                      <w:b/>
                      <w:bCs/>
                      <w:szCs w:val="21"/>
                    </w:rPr>
                    <w:t>污染治理设施</w:t>
                  </w:r>
                </w:p>
              </w:tc>
              <w:tc>
                <w:tcPr>
                  <w:tcW w:w="819" w:type="dxa"/>
                  <w:vMerge w:val="restart"/>
                  <w:vAlign w:val="center"/>
                </w:tcPr>
                <w:p>
                  <w:pPr>
                    <w:keepNext w:val="0"/>
                    <w:keepLines w:val="0"/>
                    <w:suppressLineNumbers w:val="0"/>
                    <w:spacing w:before="120" w:beforeAutospacing="0" w:after="0" w:afterAutospacing="0" w:line="280" w:lineRule="exact"/>
                    <w:ind w:left="0" w:right="0"/>
                    <w:jc w:val="center"/>
                    <w:rPr>
                      <w:b/>
                      <w:bCs/>
                      <w:szCs w:val="21"/>
                    </w:rPr>
                  </w:pPr>
                  <w:r>
                    <w:rPr>
                      <w:b/>
                      <w:bCs/>
                      <w:szCs w:val="21"/>
                    </w:rPr>
                    <w:t>排放口编号</w:t>
                  </w:r>
                </w:p>
              </w:tc>
              <w:tc>
                <w:tcPr>
                  <w:tcW w:w="684" w:type="dxa"/>
                  <w:vMerge w:val="restart"/>
                  <w:vAlign w:val="center"/>
                </w:tcPr>
                <w:p>
                  <w:pPr>
                    <w:keepNext w:val="0"/>
                    <w:keepLines w:val="0"/>
                    <w:suppressLineNumbers w:val="0"/>
                    <w:spacing w:before="120" w:beforeAutospacing="0" w:after="0" w:afterAutospacing="0" w:line="280" w:lineRule="exact"/>
                    <w:ind w:left="0" w:right="0"/>
                    <w:jc w:val="center"/>
                    <w:rPr>
                      <w:b/>
                      <w:bCs/>
                      <w:szCs w:val="21"/>
                    </w:rPr>
                  </w:pPr>
                  <w:r>
                    <w:rPr>
                      <w:b/>
                      <w:bCs/>
                      <w:szCs w:val="21"/>
                    </w:rPr>
                    <w:t>排放口设置是否符合要求</w:t>
                  </w:r>
                </w:p>
              </w:tc>
              <w:tc>
                <w:tcPr>
                  <w:tcW w:w="1584" w:type="dxa"/>
                  <w:vMerge w:val="restart"/>
                  <w:vAlign w:val="center"/>
                </w:tcPr>
                <w:p>
                  <w:pPr>
                    <w:keepNext w:val="0"/>
                    <w:keepLines w:val="0"/>
                    <w:suppressLineNumbers w:val="0"/>
                    <w:spacing w:before="0" w:beforeAutospacing="0" w:after="0" w:afterAutospacing="0" w:line="280" w:lineRule="exact"/>
                    <w:ind w:left="0" w:right="0"/>
                    <w:jc w:val="center"/>
                    <w:rPr>
                      <w:b/>
                      <w:bCs/>
                      <w:szCs w:val="21"/>
                    </w:rPr>
                  </w:pPr>
                  <w:r>
                    <w:rPr>
                      <w:b/>
                      <w:bCs/>
                      <w:szCs w:val="21"/>
                    </w:rPr>
                    <w:t>排放口类型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1568" w:hRule="atLeast"/>
                <w:jc w:val="center"/>
              </w:trPr>
              <w:tc>
                <w:tcPr>
                  <w:tcW w:w="357" w:type="dxa"/>
                  <w:vMerge w:val="continue"/>
                  <w:vAlign w:val="center"/>
                </w:tcPr>
                <w:p>
                  <w:pPr>
                    <w:keepNext w:val="0"/>
                    <w:keepLines w:val="0"/>
                    <w:suppressLineNumbers w:val="0"/>
                    <w:spacing w:before="0" w:beforeAutospacing="0" w:after="0" w:afterAutospacing="0"/>
                    <w:ind w:left="0" w:right="0"/>
                    <w:rPr>
                      <w:b/>
                      <w:bCs/>
                      <w:sz w:val="20"/>
                    </w:rPr>
                  </w:pPr>
                </w:p>
              </w:tc>
              <w:tc>
                <w:tcPr>
                  <w:tcW w:w="638" w:type="dxa"/>
                  <w:vMerge w:val="continue"/>
                  <w:vAlign w:val="center"/>
                </w:tcPr>
                <w:p>
                  <w:pPr>
                    <w:keepNext w:val="0"/>
                    <w:keepLines w:val="0"/>
                    <w:suppressLineNumbers w:val="0"/>
                    <w:spacing w:before="0" w:beforeAutospacing="0" w:after="0" w:afterAutospacing="0"/>
                    <w:ind w:left="0" w:right="0"/>
                    <w:rPr>
                      <w:b/>
                      <w:bCs/>
                      <w:sz w:val="20"/>
                    </w:rPr>
                  </w:pPr>
                </w:p>
              </w:tc>
              <w:tc>
                <w:tcPr>
                  <w:tcW w:w="764" w:type="dxa"/>
                  <w:vMerge w:val="continue"/>
                  <w:vAlign w:val="center"/>
                </w:tcPr>
                <w:p>
                  <w:pPr>
                    <w:keepNext w:val="0"/>
                    <w:keepLines w:val="0"/>
                    <w:suppressLineNumbers w:val="0"/>
                    <w:spacing w:before="0" w:beforeAutospacing="0" w:after="0" w:afterAutospacing="0"/>
                    <w:ind w:left="0" w:right="0"/>
                    <w:rPr>
                      <w:b/>
                      <w:bCs/>
                      <w:sz w:val="20"/>
                    </w:rPr>
                  </w:pPr>
                </w:p>
              </w:tc>
              <w:tc>
                <w:tcPr>
                  <w:tcW w:w="654" w:type="dxa"/>
                  <w:vMerge w:val="continue"/>
                  <w:vAlign w:val="center"/>
                </w:tcPr>
                <w:p>
                  <w:pPr>
                    <w:keepNext w:val="0"/>
                    <w:keepLines w:val="0"/>
                    <w:suppressLineNumbers w:val="0"/>
                    <w:spacing w:before="0" w:beforeAutospacing="0" w:after="0" w:afterAutospacing="0"/>
                    <w:ind w:left="0" w:right="0"/>
                    <w:rPr>
                      <w:b/>
                      <w:bCs/>
                      <w:sz w:val="20"/>
                    </w:rPr>
                  </w:pPr>
                </w:p>
              </w:tc>
              <w:tc>
                <w:tcPr>
                  <w:tcW w:w="765" w:type="dxa"/>
                  <w:vMerge w:val="continue"/>
                  <w:vAlign w:val="center"/>
                </w:tcPr>
                <w:p>
                  <w:pPr>
                    <w:keepNext w:val="0"/>
                    <w:keepLines w:val="0"/>
                    <w:suppressLineNumbers w:val="0"/>
                    <w:spacing w:before="0" w:beforeAutospacing="0" w:after="0" w:afterAutospacing="0"/>
                    <w:ind w:left="0" w:right="0"/>
                    <w:rPr>
                      <w:b/>
                      <w:bCs/>
                      <w:sz w:val="20"/>
                    </w:rPr>
                  </w:pPr>
                </w:p>
              </w:tc>
              <w:tc>
                <w:tcPr>
                  <w:tcW w:w="605" w:type="dxa"/>
                  <w:vAlign w:val="center"/>
                </w:tcPr>
                <w:p>
                  <w:pPr>
                    <w:keepNext w:val="0"/>
                    <w:keepLines w:val="0"/>
                    <w:suppressLineNumbers w:val="0"/>
                    <w:spacing w:before="0" w:beforeAutospacing="0" w:after="0" w:afterAutospacing="0" w:line="280" w:lineRule="exact"/>
                    <w:ind w:left="0" w:right="0"/>
                    <w:jc w:val="center"/>
                    <w:rPr>
                      <w:b/>
                      <w:bCs/>
                      <w:szCs w:val="21"/>
                    </w:rPr>
                  </w:pPr>
                  <w:r>
                    <w:rPr>
                      <w:b/>
                      <w:bCs/>
                      <w:szCs w:val="21"/>
                    </w:rPr>
                    <w:t>污染治理设施编号</w:t>
                  </w:r>
                </w:p>
              </w:tc>
              <w:tc>
                <w:tcPr>
                  <w:tcW w:w="605" w:type="dxa"/>
                  <w:vAlign w:val="center"/>
                </w:tcPr>
                <w:p>
                  <w:pPr>
                    <w:keepNext w:val="0"/>
                    <w:keepLines w:val="0"/>
                    <w:suppressLineNumbers w:val="0"/>
                    <w:spacing w:before="0" w:beforeAutospacing="0" w:after="0" w:afterAutospacing="0" w:line="280" w:lineRule="exact"/>
                    <w:ind w:left="0" w:right="0"/>
                    <w:jc w:val="center"/>
                    <w:rPr>
                      <w:b/>
                      <w:bCs/>
                      <w:szCs w:val="21"/>
                    </w:rPr>
                  </w:pPr>
                  <w:r>
                    <w:rPr>
                      <w:b/>
                      <w:bCs/>
                      <w:szCs w:val="21"/>
                    </w:rPr>
                    <w:t>污染治理设施名称</w:t>
                  </w:r>
                </w:p>
              </w:tc>
              <w:tc>
                <w:tcPr>
                  <w:tcW w:w="606" w:type="dxa"/>
                  <w:vAlign w:val="center"/>
                </w:tcPr>
                <w:p>
                  <w:pPr>
                    <w:keepNext w:val="0"/>
                    <w:keepLines w:val="0"/>
                    <w:suppressLineNumbers w:val="0"/>
                    <w:spacing w:before="0" w:beforeAutospacing="0" w:after="0" w:afterAutospacing="0" w:line="280" w:lineRule="exact"/>
                    <w:ind w:left="0" w:right="0"/>
                    <w:jc w:val="center"/>
                    <w:rPr>
                      <w:b/>
                      <w:bCs/>
                      <w:szCs w:val="21"/>
                    </w:rPr>
                  </w:pPr>
                  <w:r>
                    <w:rPr>
                      <w:b/>
                      <w:bCs/>
                      <w:szCs w:val="21"/>
                    </w:rPr>
                    <w:t>污染治理设施工艺</w:t>
                  </w:r>
                </w:p>
              </w:tc>
              <w:tc>
                <w:tcPr>
                  <w:tcW w:w="819" w:type="dxa"/>
                  <w:vMerge w:val="continue"/>
                  <w:vAlign w:val="center"/>
                </w:tcPr>
                <w:p>
                  <w:pPr>
                    <w:keepNext w:val="0"/>
                    <w:keepLines w:val="0"/>
                    <w:suppressLineNumbers w:val="0"/>
                    <w:spacing w:before="0" w:beforeAutospacing="0" w:after="0" w:afterAutospacing="0"/>
                    <w:ind w:left="0" w:right="0"/>
                    <w:rPr>
                      <w:b/>
                      <w:bCs/>
                      <w:sz w:val="20"/>
                    </w:rPr>
                  </w:pPr>
                </w:p>
              </w:tc>
              <w:tc>
                <w:tcPr>
                  <w:tcW w:w="684" w:type="dxa"/>
                  <w:vMerge w:val="continue"/>
                  <w:vAlign w:val="center"/>
                </w:tcPr>
                <w:p>
                  <w:pPr>
                    <w:keepNext w:val="0"/>
                    <w:keepLines w:val="0"/>
                    <w:suppressLineNumbers w:val="0"/>
                    <w:spacing w:before="0" w:beforeAutospacing="0" w:after="0" w:afterAutospacing="0"/>
                    <w:ind w:left="0" w:right="0"/>
                    <w:rPr>
                      <w:b/>
                      <w:bCs/>
                      <w:sz w:val="20"/>
                    </w:rPr>
                  </w:pPr>
                </w:p>
              </w:tc>
              <w:tc>
                <w:tcPr>
                  <w:tcW w:w="1584" w:type="dxa"/>
                  <w:vMerge w:val="continue"/>
                  <w:vAlign w:val="center"/>
                </w:tcPr>
                <w:p>
                  <w:pPr>
                    <w:keepNext w:val="0"/>
                    <w:keepLines w:val="0"/>
                    <w:suppressLineNumbers w:val="0"/>
                    <w:spacing w:before="0" w:beforeAutospacing="0" w:after="0" w:afterAutospacing="0"/>
                    <w:ind w:left="0" w:right="0"/>
                    <w:rPr>
                      <w:b/>
                      <w:bCs/>
                      <w:sz w:val="20"/>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549" w:hRule="atLeast"/>
                <w:jc w:val="center"/>
              </w:trPr>
              <w:tc>
                <w:tcPr>
                  <w:tcW w:w="357" w:type="dxa"/>
                  <w:vAlign w:val="center"/>
                </w:tcPr>
                <w:p>
                  <w:pPr>
                    <w:keepNext w:val="0"/>
                    <w:keepLines w:val="0"/>
                    <w:suppressLineNumbers w:val="0"/>
                    <w:spacing w:before="0" w:beforeAutospacing="0" w:after="0" w:afterAutospacing="0" w:line="280" w:lineRule="exact"/>
                    <w:ind w:left="0" w:right="0"/>
                    <w:jc w:val="center"/>
                    <w:rPr>
                      <w:szCs w:val="21"/>
                    </w:rPr>
                  </w:pPr>
                  <w:r>
                    <w:rPr>
                      <w:szCs w:val="21"/>
                    </w:rPr>
                    <w:t>1</w:t>
                  </w:r>
                </w:p>
              </w:tc>
              <w:tc>
                <w:tcPr>
                  <w:tcW w:w="638" w:type="dxa"/>
                  <w:vAlign w:val="center"/>
                </w:tcPr>
                <w:p>
                  <w:pPr>
                    <w:keepNext w:val="0"/>
                    <w:keepLines w:val="0"/>
                    <w:suppressLineNumbers w:val="0"/>
                    <w:spacing w:before="0" w:beforeAutospacing="0" w:after="0" w:afterAutospacing="0" w:line="280" w:lineRule="exact"/>
                    <w:ind w:left="0" w:right="0"/>
                    <w:jc w:val="center"/>
                    <w:rPr>
                      <w:szCs w:val="21"/>
                    </w:rPr>
                  </w:pPr>
                  <w:r>
                    <w:rPr>
                      <w:szCs w:val="21"/>
                    </w:rPr>
                    <w:t>生活污水</w:t>
                  </w:r>
                </w:p>
              </w:tc>
              <w:tc>
                <w:tcPr>
                  <w:tcW w:w="764"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COD、SS、氨氮、总磷</w:t>
                  </w:r>
                  <w:r>
                    <w:rPr>
                      <w:rFonts w:hint="eastAsia"/>
                      <w:szCs w:val="21"/>
                    </w:rPr>
                    <w:t>、动植物油</w:t>
                  </w:r>
                </w:p>
              </w:tc>
              <w:tc>
                <w:tcPr>
                  <w:tcW w:w="654" w:type="dxa"/>
                  <w:vAlign w:val="center"/>
                </w:tcPr>
                <w:p>
                  <w:pPr>
                    <w:keepNext w:val="0"/>
                    <w:keepLines w:val="0"/>
                    <w:suppressLineNumbers w:val="0"/>
                    <w:spacing w:before="0" w:beforeAutospacing="0" w:after="0" w:afterAutospacing="0" w:line="280" w:lineRule="exact"/>
                    <w:ind w:left="0" w:right="0"/>
                    <w:jc w:val="center"/>
                    <w:rPr>
                      <w:szCs w:val="21"/>
                    </w:rPr>
                  </w:pPr>
                  <w:r>
                    <w:rPr>
                      <w:szCs w:val="21"/>
                    </w:rPr>
                    <w:t>城市污水处理厂</w:t>
                  </w:r>
                </w:p>
              </w:tc>
              <w:tc>
                <w:tcPr>
                  <w:tcW w:w="765" w:type="dxa"/>
                  <w:vAlign w:val="center"/>
                </w:tcPr>
                <w:p>
                  <w:pPr>
                    <w:keepNext w:val="0"/>
                    <w:keepLines w:val="0"/>
                    <w:suppressLineNumbers w:val="0"/>
                    <w:spacing w:before="0" w:beforeAutospacing="0" w:after="0" w:afterAutospacing="0" w:line="280" w:lineRule="exact"/>
                    <w:ind w:left="0" w:right="0"/>
                    <w:jc w:val="center"/>
                    <w:rPr>
                      <w:szCs w:val="21"/>
                    </w:rPr>
                  </w:pPr>
                  <w:r>
                    <w:rPr>
                      <w:szCs w:val="21"/>
                    </w:rPr>
                    <w:t>间断排放，排放期间流量不稳定，但有周期性规律</w:t>
                  </w:r>
                </w:p>
              </w:tc>
              <w:tc>
                <w:tcPr>
                  <w:tcW w:w="605" w:type="dxa"/>
                  <w:vAlign w:val="center"/>
                </w:tcPr>
                <w:p>
                  <w:pPr>
                    <w:keepNext w:val="0"/>
                    <w:keepLines w:val="0"/>
                    <w:suppressLineNumbers w:val="0"/>
                    <w:spacing w:before="0" w:beforeAutospacing="0" w:after="0" w:afterAutospacing="0" w:line="280" w:lineRule="exact"/>
                    <w:ind w:left="0" w:right="0"/>
                    <w:jc w:val="center"/>
                    <w:rPr>
                      <w:szCs w:val="21"/>
                    </w:rPr>
                  </w:pPr>
                  <w:r>
                    <w:rPr>
                      <w:szCs w:val="21"/>
                    </w:rPr>
                    <w:t>/</w:t>
                  </w:r>
                </w:p>
              </w:tc>
              <w:tc>
                <w:tcPr>
                  <w:tcW w:w="605" w:type="dxa"/>
                  <w:vAlign w:val="center"/>
                </w:tcPr>
                <w:p>
                  <w:pPr>
                    <w:keepNext w:val="0"/>
                    <w:keepLines w:val="0"/>
                    <w:suppressLineNumbers w:val="0"/>
                    <w:spacing w:before="0" w:beforeAutospacing="0" w:after="0" w:afterAutospacing="0" w:line="280" w:lineRule="exact"/>
                    <w:ind w:left="0" w:right="0"/>
                    <w:jc w:val="center"/>
                    <w:rPr>
                      <w:szCs w:val="21"/>
                    </w:rPr>
                  </w:pPr>
                  <w:r>
                    <w:rPr>
                      <w:szCs w:val="21"/>
                    </w:rPr>
                    <w:t>/</w:t>
                  </w:r>
                </w:p>
              </w:tc>
              <w:tc>
                <w:tcPr>
                  <w:tcW w:w="606" w:type="dxa"/>
                  <w:vAlign w:val="center"/>
                </w:tcPr>
                <w:p>
                  <w:pPr>
                    <w:keepNext w:val="0"/>
                    <w:keepLines w:val="0"/>
                    <w:suppressLineNumbers w:val="0"/>
                    <w:spacing w:before="0" w:beforeAutospacing="0" w:after="0" w:afterAutospacing="0" w:line="280" w:lineRule="exact"/>
                    <w:ind w:left="0" w:right="0"/>
                    <w:jc w:val="center"/>
                    <w:rPr>
                      <w:szCs w:val="21"/>
                    </w:rPr>
                  </w:pPr>
                  <w:r>
                    <w:rPr>
                      <w:szCs w:val="21"/>
                    </w:rPr>
                    <w:t>/</w:t>
                  </w:r>
                </w:p>
              </w:tc>
              <w:tc>
                <w:tcPr>
                  <w:tcW w:w="819" w:type="dxa"/>
                  <w:vAlign w:val="center"/>
                </w:tcPr>
                <w:p>
                  <w:pPr>
                    <w:keepNext w:val="0"/>
                    <w:keepLines w:val="0"/>
                    <w:suppressLineNumbers w:val="0"/>
                    <w:spacing w:before="120" w:beforeAutospacing="0" w:after="0" w:afterAutospacing="0" w:line="280" w:lineRule="exact"/>
                    <w:ind w:left="0" w:right="0"/>
                    <w:jc w:val="center"/>
                    <w:rPr>
                      <w:szCs w:val="21"/>
                    </w:rPr>
                  </w:pPr>
                  <w:r>
                    <w:rPr>
                      <w:szCs w:val="21"/>
                    </w:rPr>
                    <w:t>DW001</w:t>
                  </w:r>
                </w:p>
              </w:tc>
              <w:tc>
                <w:tcPr>
                  <w:tcW w:w="684" w:type="dxa"/>
                  <w:vAlign w:val="center"/>
                </w:tcPr>
                <w:p>
                  <w:pPr>
                    <w:keepNext w:val="0"/>
                    <w:keepLines w:val="0"/>
                    <w:suppressLineNumbers w:val="0"/>
                    <w:spacing w:before="120" w:beforeAutospacing="0" w:after="0" w:afterAutospacing="0" w:line="280" w:lineRule="exact"/>
                    <w:ind w:left="0" w:right="0"/>
                    <w:jc w:val="center"/>
                    <w:rPr>
                      <w:szCs w:val="21"/>
                    </w:rPr>
                  </w:pPr>
                  <w:r>
                    <w:rPr>
                      <w:szCs w:val="21"/>
                    </w:rPr>
                    <w:t>√是</w:t>
                  </w:r>
                </w:p>
                <w:p>
                  <w:pPr>
                    <w:pStyle w:val="87"/>
                    <w:keepNext w:val="0"/>
                    <w:keepLines w:val="0"/>
                    <w:widowControl/>
                    <w:suppressLineNumbers w:val="0"/>
                    <w:spacing w:before="120" w:beforeAutospacing="0" w:after="0" w:afterAutospacing="0" w:line="280" w:lineRule="exact"/>
                    <w:ind w:left="0" w:right="0" w:firstLine="0" w:firstLineChars="0"/>
                    <w:jc w:val="center"/>
                    <w:rPr>
                      <w:szCs w:val="21"/>
                    </w:rPr>
                  </w:pPr>
                  <w:r>
                    <w:rPr>
                      <w:szCs w:val="21"/>
                    </w:rPr>
                    <w:t>□否</w:t>
                  </w:r>
                </w:p>
              </w:tc>
              <w:tc>
                <w:tcPr>
                  <w:tcW w:w="1584" w:type="dxa"/>
                  <w:vAlign w:val="center"/>
                </w:tcPr>
                <w:p>
                  <w:pPr>
                    <w:keepNext w:val="0"/>
                    <w:keepLines w:val="0"/>
                    <w:suppressLineNumbers w:val="0"/>
                    <w:spacing w:before="0" w:beforeAutospacing="0" w:after="0" w:afterAutospacing="0" w:line="280" w:lineRule="exact"/>
                    <w:ind w:left="199" w:right="0" w:hanging="199" w:hangingChars="95"/>
                    <w:jc w:val="left"/>
                    <w:rPr>
                      <w:szCs w:val="21"/>
                    </w:rPr>
                  </w:pPr>
                  <w:r>
                    <w:rPr>
                      <w:szCs w:val="21"/>
                    </w:rPr>
                    <w:t>√企业总排口</w:t>
                  </w:r>
                </w:p>
                <w:p>
                  <w:pPr>
                    <w:keepNext w:val="0"/>
                    <w:keepLines w:val="0"/>
                    <w:suppressLineNumbers w:val="0"/>
                    <w:spacing w:before="0" w:beforeAutospacing="0" w:after="0" w:afterAutospacing="0" w:line="280" w:lineRule="exact"/>
                    <w:ind w:left="199" w:right="0" w:hanging="199" w:hangingChars="95"/>
                    <w:jc w:val="left"/>
                    <w:rPr>
                      <w:szCs w:val="21"/>
                    </w:rPr>
                  </w:pPr>
                  <w:r>
                    <w:rPr>
                      <w:szCs w:val="21"/>
                    </w:rPr>
                    <w:t>□雨水排放口</w:t>
                  </w:r>
                </w:p>
                <w:p>
                  <w:pPr>
                    <w:keepNext w:val="0"/>
                    <w:keepLines w:val="0"/>
                    <w:suppressLineNumbers w:val="0"/>
                    <w:spacing w:before="0" w:beforeAutospacing="0" w:after="0" w:afterAutospacing="0" w:line="280" w:lineRule="exact"/>
                    <w:ind w:left="199" w:right="0" w:hanging="199" w:hangingChars="95"/>
                    <w:jc w:val="left"/>
                    <w:rPr>
                      <w:szCs w:val="21"/>
                    </w:rPr>
                  </w:pPr>
                  <w:r>
                    <w:rPr>
                      <w:szCs w:val="21"/>
                    </w:rPr>
                    <w:t>□清净下水排放口</w:t>
                  </w:r>
                </w:p>
                <w:p>
                  <w:pPr>
                    <w:keepNext w:val="0"/>
                    <w:keepLines w:val="0"/>
                    <w:suppressLineNumbers w:val="0"/>
                    <w:spacing w:before="0" w:beforeAutospacing="0" w:after="0" w:afterAutospacing="0" w:line="280" w:lineRule="exact"/>
                    <w:ind w:left="199" w:right="0" w:hanging="199" w:hangingChars="95"/>
                    <w:jc w:val="left"/>
                    <w:rPr>
                      <w:szCs w:val="21"/>
                    </w:rPr>
                  </w:pPr>
                  <w:r>
                    <w:rPr>
                      <w:szCs w:val="21"/>
                    </w:rPr>
                    <w:t>□温排水排放口</w:t>
                  </w:r>
                </w:p>
                <w:p>
                  <w:pPr>
                    <w:keepNext w:val="0"/>
                    <w:keepLines w:val="0"/>
                    <w:suppressLineNumbers w:val="0"/>
                    <w:spacing w:before="0" w:beforeAutospacing="0" w:after="0" w:afterAutospacing="0" w:line="280" w:lineRule="exact"/>
                    <w:ind w:left="199" w:right="0" w:hanging="199" w:hangingChars="95"/>
                    <w:jc w:val="left"/>
                    <w:rPr>
                      <w:szCs w:val="21"/>
                    </w:rPr>
                  </w:pPr>
                  <w:r>
                    <w:rPr>
                      <w:szCs w:val="21"/>
                    </w:rPr>
                    <w:t>□车间或车间处理设施排放口</w:t>
                  </w:r>
                </w:p>
              </w:tc>
            </w:tr>
          </w:tbl>
          <w:p>
            <w:pPr>
              <w:pStyle w:val="48"/>
              <w:keepNext w:val="0"/>
              <w:keepLines w:val="0"/>
              <w:suppressLineNumbers w:val="0"/>
              <w:spacing w:before="78" w:beforeAutospacing="0" w:after="0" w:afterAutospacing="0"/>
              <w:ind w:left="587" w:right="0"/>
            </w:pPr>
            <w:r>
              <w:t>本项目废水间接排放口基本情况表如下。</w:t>
            </w:r>
          </w:p>
          <w:p>
            <w:pPr>
              <w:pStyle w:val="2"/>
              <w:keepNext w:val="0"/>
              <w:keepLines w:val="0"/>
              <w:suppressLineNumbers w:val="0"/>
              <w:spacing w:before="0" w:beforeAutospacing="0" w:after="0" w:afterAutospacing="0"/>
              <w:ind w:left="0" w:leftChars="0" w:right="0" w:rightChars="0"/>
              <w:jc w:val="center"/>
              <w:rPr>
                <w:b/>
                <w:sz w:val="24"/>
              </w:rPr>
            </w:pPr>
            <w:r>
              <w:rPr>
                <w:rFonts w:ascii="Times New Roman"/>
                <w:b/>
                <w:sz w:val="24"/>
              </w:rPr>
              <w:t>表</w:t>
            </w:r>
            <w:r>
              <w:rPr>
                <w:rFonts w:ascii="Times New Roman" w:hAnsi="Times New Roman"/>
                <w:b/>
                <w:sz w:val="24"/>
              </w:rPr>
              <w:t>4-1</w:t>
            </w:r>
            <w:r>
              <w:rPr>
                <w:rFonts w:hint="eastAsia" w:ascii="Times New Roman" w:hAnsi="Times New Roman"/>
                <w:b/>
                <w:sz w:val="24"/>
              </w:rPr>
              <w:t>4</w:t>
            </w:r>
            <w:r>
              <w:rPr>
                <w:rFonts w:ascii="Times New Roman" w:hAnsi="Times New Roman"/>
                <w:b/>
                <w:sz w:val="24"/>
              </w:rPr>
              <w:t xml:space="preserve"> </w:t>
            </w:r>
            <w:r>
              <w:rPr>
                <w:rFonts w:ascii="Times New Roman"/>
                <w:b/>
                <w:sz w:val="24"/>
              </w:rPr>
              <w:t>废水间</w:t>
            </w:r>
            <w:r>
              <w:rPr>
                <w:b/>
                <w:sz w:val="24"/>
              </w:rPr>
              <w:t>接排放口基本情况表</w:t>
            </w:r>
          </w:p>
          <w:tbl>
            <w:tblPr>
              <w:tblStyle w:val="21"/>
              <w:tblW w:w="812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79" w:type="dxa"/>
                <w:bottom w:w="0" w:type="dxa"/>
                <w:right w:w="79" w:type="dxa"/>
              </w:tblCellMar>
            </w:tblPr>
            <w:tblGrid>
              <w:gridCol w:w="350"/>
              <w:gridCol w:w="725"/>
              <w:gridCol w:w="848"/>
              <w:gridCol w:w="752"/>
              <w:gridCol w:w="875"/>
              <w:gridCol w:w="687"/>
              <w:gridCol w:w="806"/>
              <w:gridCol w:w="700"/>
              <w:gridCol w:w="671"/>
              <w:gridCol w:w="682"/>
              <w:gridCol w:w="102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350" w:type="dxa"/>
                  <w:vMerge w:val="restart"/>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序号</w:t>
                  </w:r>
                </w:p>
              </w:tc>
              <w:tc>
                <w:tcPr>
                  <w:tcW w:w="725" w:type="dxa"/>
                  <w:vMerge w:val="restart"/>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排放口编号</w:t>
                  </w:r>
                </w:p>
              </w:tc>
              <w:tc>
                <w:tcPr>
                  <w:tcW w:w="1600" w:type="dxa"/>
                  <w:gridSpan w:val="2"/>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排放口地理坐标</w:t>
                  </w:r>
                </w:p>
              </w:tc>
              <w:tc>
                <w:tcPr>
                  <w:tcW w:w="875" w:type="dxa"/>
                  <w:vMerge w:val="restart"/>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废水排放量/（万t/a）</w:t>
                  </w:r>
                </w:p>
              </w:tc>
              <w:tc>
                <w:tcPr>
                  <w:tcW w:w="687" w:type="dxa"/>
                  <w:vMerge w:val="restart"/>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排放去向</w:t>
                  </w:r>
                </w:p>
              </w:tc>
              <w:tc>
                <w:tcPr>
                  <w:tcW w:w="806" w:type="dxa"/>
                  <w:vMerge w:val="restart"/>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排放规律</w:t>
                  </w:r>
                </w:p>
              </w:tc>
              <w:tc>
                <w:tcPr>
                  <w:tcW w:w="700" w:type="dxa"/>
                  <w:vMerge w:val="restart"/>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间歇排放时段</w:t>
                  </w:r>
                </w:p>
              </w:tc>
              <w:tc>
                <w:tcPr>
                  <w:tcW w:w="2380" w:type="dxa"/>
                  <w:gridSpan w:val="3"/>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收纳污水处理厂信息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1576" w:hRule="atLeast"/>
                <w:jc w:val="center"/>
              </w:trPr>
              <w:tc>
                <w:tcPr>
                  <w:tcW w:w="350" w:type="dxa"/>
                  <w:vMerge w:val="continue"/>
                  <w:vAlign w:val="center"/>
                </w:tcPr>
                <w:p>
                  <w:pPr>
                    <w:keepNext w:val="0"/>
                    <w:keepLines w:val="0"/>
                    <w:suppressLineNumbers w:val="0"/>
                    <w:adjustRightInd w:val="0"/>
                    <w:snapToGrid w:val="0"/>
                    <w:spacing w:before="0" w:beforeAutospacing="0" w:after="0" w:afterAutospacing="0"/>
                    <w:ind w:left="0" w:right="0"/>
                    <w:jc w:val="center"/>
                    <w:rPr>
                      <w:b/>
                      <w:bCs/>
                      <w:szCs w:val="21"/>
                    </w:rPr>
                  </w:pPr>
                </w:p>
              </w:tc>
              <w:tc>
                <w:tcPr>
                  <w:tcW w:w="725" w:type="dxa"/>
                  <w:vMerge w:val="continue"/>
                  <w:vAlign w:val="center"/>
                </w:tcPr>
                <w:p>
                  <w:pPr>
                    <w:keepNext w:val="0"/>
                    <w:keepLines w:val="0"/>
                    <w:suppressLineNumbers w:val="0"/>
                    <w:adjustRightInd w:val="0"/>
                    <w:snapToGrid w:val="0"/>
                    <w:spacing w:before="0" w:beforeAutospacing="0" w:after="0" w:afterAutospacing="0"/>
                    <w:ind w:left="0" w:right="0"/>
                    <w:jc w:val="center"/>
                    <w:rPr>
                      <w:b/>
                      <w:bCs/>
                      <w:szCs w:val="21"/>
                    </w:rPr>
                  </w:pPr>
                </w:p>
              </w:tc>
              <w:tc>
                <w:tcPr>
                  <w:tcW w:w="848" w:type="dxa"/>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经度</w:t>
                  </w:r>
                </w:p>
              </w:tc>
              <w:tc>
                <w:tcPr>
                  <w:tcW w:w="752" w:type="dxa"/>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纬度</w:t>
                  </w:r>
                </w:p>
              </w:tc>
              <w:tc>
                <w:tcPr>
                  <w:tcW w:w="875" w:type="dxa"/>
                  <w:vMerge w:val="continue"/>
                  <w:vAlign w:val="center"/>
                </w:tcPr>
                <w:p>
                  <w:pPr>
                    <w:keepNext w:val="0"/>
                    <w:keepLines w:val="0"/>
                    <w:suppressLineNumbers w:val="0"/>
                    <w:adjustRightInd w:val="0"/>
                    <w:snapToGrid w:val="0"/>
                    <w:spacing w:before="0" w:beforeAutospacing="0" w:after="0" w:afterAutospacing="0"/>
                    <w:ind w:left="0" w:right="0"/>
                    <w:jc w:val="center"/>
                    <w:rPr>
                      <w:b/>
                      <w:bCs/>
                      <w:szCs w:val="21"/>
                    </w:rPr>
                  </w:pPr>
                </w:p>
              </w:tc>
              <w:tc>
                <w:tcPr>
                  <w:tcW w:w="687" w:type="dxa"/>
                  <w:vMerge w:val="continue"/>
                  <w:vAlign w:val="center"/>
                </w:tcPr>
                <w:p>
                  <w:pPr>
                    <w:keepNext w:val="0"/>
                    <w:keepLines w:val="0"/>
                    <w:suppressLineNumbers w:val="0"/>
                    <w:adjustRightInd w:val="0"/>
                    <w:snapToGrid w:val="0"/>
                    <w:spacing w:before="0" w:beforeAutospacing="0" w:after="0" w:afterAutospacing="0"/>
                    <w:ind w:left="0" w:right="0"/>
                    <w:jc w:val="center"/>
                    <w:rPr>
                      <w:b/>
                      <w:bCs/>
                      <w:szCs w:val="21"/>
                    </w:rPr>
                  </w:pPr>
                </w:p>
              </w:tc>
              <w:tc>
                <w:tcPr>
                  <w:tcW w:w="806" w:type="dxa"/>
                  <w:vMerge w:val="continue"/>
                  <w:vAlign w:val="center"/>
                </w:tcPr>
                <w:p>
                  <w:pPr>
                    <w:keepNext w:val="0"/>
                    <w:keepLines w:val="0"/>
                    <w:suppressLineNumbers w:val="0"/>
                    <w:adjustRightInd w:val="0"/>
                    <w:snapToGrid w:val="0"/>
                    <w:spacing w:before="0" w:beforeAutospacing="0" w:after="0" w:afterAutospacing="0"/>
                    <w:ind w:left="0" w:right="0"/>
                    <w:jc w:val="center"/>
                    <w:rPr>
                      <w:b/>
                      <w:bCs/>
                      <w:szCs w:val="21"/>
                    </w:rPr>
                  </w:pPr>
                </w:p>
              </w:tc>
              <w:tc>
                <w:tcPr>
                  <w:tcW w:w="700" w:type="dxa"/>
                  <w:vMerge w:val="continue"/>
                  <w:vAlign w:val="center"/>
                </w:tcPr>
                <w:p>
                  <w:pPr>
                    <w:keepNext w:val="0"/>
                    <w:keepLines w:val="0"/>
                    <w:suppressLineNumbers w:val="0"/>
                    <w:adjustRightInd w:val="0"/>
                    <w:snapToGrid w:val="0"/>
                    <w:spacing w:before="0" w:beforeAutospacing="0" w:after="0" w:afterAutospacing="0"/>
                    <w:ind w:left="0" w:right="0"/>
                    <w:jc w:val="center"/>
                    <w:rPr>
                      <w:b/>
                      <w:bCs/>
                      <w:szCs w:val="21"/>
                    </w:rPr>
                  </w:pPr>
                </w:p>
              </w:tc>
              <w:tc>
                <w:tcPr>
                  <w:tcW w:w="671" w:type="dxa"/>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名称</w:t>
                  </w:r>
                </w:p>
              </w:tc>
              <w:tc>
                <w:tcPr>
                  <w:tcW w:w="682" w:type="dxa"/>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污染物种类</w:t>
                  </w:r>
                </w:p>
              </w:tc>
              <w:tc>
                <w:tcPr>
                  <w:tcW w:w="1027" w:type="dxa"/>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国家或地方污染物排放标准浓度限值/（mg/L）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454" w:hRule="atLeast"/>
                <w:jc w:val="center"/>
              </w:trPr>
              <w:tc>
                <w:tcPr>
                  <w:tcW w:w="350" w:type="dxa"/>
                  <w:vMerge w:val="restar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1</w:t>
                  </w:r>
                </w:p>
              </w:tc>
              <w:tc>
                <w:tcPr>
                  <w:tcW w:w="725" w:type="dxa"/>
                  <w:vMerge w:val="restar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DW001</w:t>
                  </w:r>
                </w:p>
              </w:tc>
              <w:tc>
                <w:tcPr>
                  <w:tcW w:w="848" w:type="dxa"/>
                  <w:vMerge w:val="restar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120.</w:t>
                  </w:r>
                  <w:r>
                    <w:rPr>
                      <w:rFonts w:hint="eastAsia"/>
                      <w:szCs w:val="21"/>
                    </w:rPr>
                    <w:t>06°</w:t>
                  </w:r>
                </w:p>
              </w:tc>
              <w:tc>
                <w:tcPr>
                  <w:tcW w:w="752" w:type="dxa"/>
                  <w:vMerge w:val="restar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31.6</w:t>
                  </w:r>
                  <w:r>
                    <w:rPr>
                      <w:rFonts w:hint="eastAsia"/>
                      <w:szCs w:val="21"/>
                    </w:rPr>
                    <w:t>5°</w:t>
                  </w:r>
                </w:p>
              </w:tc>
              <w:tc>
                <w:tcPr>
                  <w:tcW w:w="875" w:type="dxa"/>
                  <w:vMerge w:val="restart"/>
                  <w:vAlign w:val="center"/>
                </w:tcPr>
                <w:p>
                  <w:pPr>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szCs w:val="21"/>
                    </w:rPr>
                    <w:t>0.</w:t>
                  </w:r>
                  <w:r>
                    <w:rPr>
                      <w:rFonts w:hint="eastAsia"/>
                      <w:szCs w:val="21"/>
                    </w:rPr>
                    <w:t>3</w:t>
                  </w:r>
                  <w:r>
                    <w:rPr>
                      <w:rFonts w:hint="eastAsia"/>
                      <w:szCs w:val="21"/>
                      <w:lang w:val="en-US" w:eastAsia="zh-CN"/>
                    </w:rPr>
                    <w:t>456</w:t>
                  </w:r>
                </w:p>
              </w:tc>
              <w:tc>
                <w:tcPr>
                  <w:tcW w:w="687" w:type="dxa"/>
                  <w:vMerge w:val="restar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进入城市污水处理厂</w:t>
                  </w:r>
                </w:p>
              </w:tc>
              <w:tc>
                <w:tcPr>
                  <w:tcW w:w="806" w:type="dxa"/>
                  <w:vMerge w:val="restart"/>
                  <w:vAlign w:val="center"/>
                </w:tcPr>
                <w:p>
                  <w:pPr>
                    <w:keepNext w:val="0"/>
                    <w:keepLines w:val="0"/>
                    <w:suppressLineNumbers w:val="0"/>
                    <w:spacing w:before="0" w:beforeAutospacing="0" w:after="0" w:afterAutospacing="0" w:line="280" w:lineRule="exact"/>
                    <w:ind w:left="0" w:right="0"/>
                    <w:jc w:val="center"/>
                    <w:rPr>
                      <w:szCs w:val="21"/>
                    </w:rPr>
                  </w:pPr>
                  <w:r>
                    <w:rPr>
                      <w:szCs w:val="21"/>
                    </w:rPr>
                    <w:t>间断排放，排放期间流量不稳定，但有周期性规律</w:t>
                  </w:r>
                </w:p>
              </w:tc>
              <w:tc>
                <w:tcPr>
                  <w:tcW w:w="700" w:type="dxa"/>
                  <w:vMerge w:val="restar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上班时</w:t>
                  </w:r>
                </w:p>
              </w:tc>
              <w:tc>
                <w:tcPr>
                  <w:tcW w:w="671" w:type="dxa"/>
                  <w:vMerge w:val="restar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武南</w:t>
                  </w:r>
                  <w:r>
                    <w:rPr>
                      <w:szCs w:val="21"/>
                    </w:rPr>
                    <w:t>污水处理厂</w:t>
                  </w:r>
                </w:p>
              </w:tc>
              <w:tc>
                <w:tcPr>
                  <w:tcW w:w="682"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COD</w:t>
                  </w:r>
                </w:p>
              </w:tc>
              <w:tc>
                <w:tcPr>
                  <w:tcW w:w="1027"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454" w:hRule="atLeast"/>
                <w:jc w:val="center"/>
              </w:trPr>
              <w:tc>
                <w:tcPr>
                  <w:tcW w:w="350"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725"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848"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752"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875"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687"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806"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700"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671" w:type="dxa"/>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682"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SS</w:t>
                  </w:r>
                </w:p>
              </w:tc>
              <w:tc>
                <w:tcPr>
                  <w:tcW w:w="1027"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454" w:hRule="atLeast"/>
                <w:jc w:val="center"/>
              </w:trPr>
              <w:tc>
                <w:tcPr>
                  <w:tcW w:w="350"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725"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848"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752"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875"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687"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806"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700"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671" w:type="dxa"/>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682"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氨氮</w:t>
                  </w:r>
                </w:p>
              </w:tc>
              <w:tc>
                <w:tcPr>
                  <w:tcW w:w="1027"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4（6）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454" w:hRule="atLeast"/>
                <w:jc w:val="center"/>
              </w:trPr>
              <w:tc>
                <w:tcPr>
                  <w:tcW w:w="350"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725"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848"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752"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875"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687"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806"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700"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671" w:type="dxa"/>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682"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总氮</w:t>
                  </w:r>
                </w:p>
              </w:tc>
              <w:tc>
                <w:tcPr>
                  <w:tcW w:w="1027"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12（15）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454" w:hRule="atLeast"/>
                <w:jc w:val="center"/>
              </w:trPr>
              <w:tc>
                <w:tcPr>
                  <w:tcW w:w="350"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725"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848"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752"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875"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687"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806"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700"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671" w:type="dxa"/>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682"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总磷</w:t>
                  </w:r>
                </w:p>
              </w:tc>
              <w:tc>
                <w:tcPr>
                  <w:tcW w:w="1027"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454" w:hRule="atLeast"/>
                <w:jc w:val="center"/>
              </w:trPr>
              <w:tc>
                <w:tcPr>
                  <w:tcW w:w="350"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725"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848"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752"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875"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687"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806"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700" w:type="dxa"/>
                  <w:vMerge w:val="continue"/>
                  <w:vAlign w:val="center"/>
                </w:tcPr>
                <w:p>
                  <w:pPr>
                    <w:keepNext w:val="0"/>
                    <w:keepLines w:val="0"/>
                    <w:suppressLineNumbers w:val="0"/>
                    <w:adjustRightInd w:val="0"/>
                    <w:snapToGrid w:val="0"/>
                    <w:spacing w:before="0" w:beforeAutospacing="0" w:after="0" w:afterAutospacing="0"/>
                    <w:ind w:left="0" w:right="0"/>
                    <w:rPr>
                      <w:szCs w:val="21"/>
                    </w:rPr>
                  </w:pPr>
                </w:p>
              </w:tc>
              <w:tc>
                <w:tcPr>
                  <w:tcW w:w="671" w:type="dxa"/>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682"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动植物油</w:t>
                  </w:r>
                </w:p>
              </w:tc>
              <w:tc>
                <w:tcPr>
                  <w:tcW w:w="1027"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1</w:t>
                  </w:r>
                </w:p>
              </w:tc>
            </w:tr>
          </w:tbl>
          <w:p>
            <w:pPr>
              <w:pStyle w:val="2"/>
              <w:keepNext w:val="0"/>
              <w:keepLines w:val="0"/>
              <w:suppressLineNumbers w:val="0"/>
              <w:spacing w:before="0" w:beforeAutospacing="0" w:after="0" w:afterAutospacing="0"/>
              <w:ind w:left="0" w:leftChars="0" w:right="0" w:rightChars="0"/>
              <w:jc w:val="center"/>
              <w:rPr>
                <w:b/>
                <w:sz w:val="24"/>
              </w:rPr>
            </w:pPr>
          </w:p>
          <w:p>
            <w:pPr>
              <w:pStyle w:val="2"/>
              <w:keepNext w:val="0"/>
              <w:keepLines w:val="0"/>
              <w:suppressLineNumbers w:val="0"/>
              <w:spacing w:before="0" w:beforeAutospacing="0" w:after="0" w:afterAutospacing="0"/>
              <w:ind w:left="0" w:leftChars="0" w:right="0" w:rightChars="0"/>
              <w:jc w:val="center"/>
              <w:rPr>
                <w:b/>
                <w:sz w:val="24"/>
              </w:rPr>
            </w:pPr>
          </w:p>
          <w:p>
            <w:pPr>
              <w:pStyle w:val="2"/>
              <w:keepNext w:val="0"/>
              <w:keepLines w:val="0"/>
              <w:suppressLineNumbers w:val="0"/>
              <w:spacing w:before="0" w:beforeAutospacing="0" w:after="0" w:afterAutospacing="0"/>
              <w:ind w:left="0" w:leftChars="0" w:right="0" w:rightChars="0"/>
              <w:jc w:val="center"/>
              <w:rPr>
                <w:b/>
                <w:sz w:val="24"/>
              </w:rPr>
            </w:pPr>
          </w:p>
          <w:p>
            <w:pPr>
              <w:pStyle w:val="2"/>
              <w:keepNext w:val="0"/>
              <w:keepLines w:val="0"/>
              <w:suppressLineNumbers w:val="0"/>
              <w:spacing w:before="0" w:beforeAutospacing="0" w:after="0" w:afterAutospacing="0"/>
              <w:ind w:left="0" w:leftChars="0" w:right="0" w:rightChars="0"/>
              <w:jc w:val="center"/>
              <w:rPr>
                <w:b/>
                <w:sz w:val="24"/>
              </w:rPr>
            </w:pPr>
          </w:p>
          <w:p>
            <w:pPr>
              <w:pStyle w:val="2"/>
              <w:keepNext w:val="0"/>
              <w:keepLines w:val="0"/>
              <w:suppressLineNumbers w:val="0"/>
              <w:spacing w:before="0" w:beforeAutospacing="0" w:after="0" w:afterAutospacing="0"/>
              <w:ind w:left="0" w:leftChars="0" w:right="0" w:rightChars="0"/>
              <w:jc w:val="center"/>
              <w:rPr>
                <w:b/>
                <w:sz w:val="24"/>
              </w:rPr>
            </w:pPr>
          </w:p>
          <w:p>
            <w:pPr>
              <w:pStyle w:val="2"/>
              <w:keepNext w:val="0"/>
              <w:keepLines w:val="0"/>
              <w:suppressLineNumbers w:val="0"/>
              <w:spacing w:before="0" w:beforeAutospacing="0" w:after="0" w:afterAutospacing="0"/>
              <w:ind w:left="0" w:leftChars="0" w:right="0" w:rightChars="0"/>
              <w:jc w:val="center"/>
              <w:rPr>
                <w:b/>
                <w:sz w:val="24"/>
              </w:rPr>
            </w:pPr>
          </w:p>
          <w:p>
            <w:pPr>
              <w:pStyle w:val="2"/>
              <w:keepNext w:val="0"/>
              <w:keepLines w:val="0"/>
              <w:suppressLineNumbers w:val="0"/>
              <w:spacing w:before="0" w:beforeAutospacing="0" w:after="0" w:afterAutospacing="0"/>
              <w:ind w:left="0" w:leftChars="0" w:right="0" w:rightChars="0"/>
              <w:jc w:val="center"/>
              <w:rPr>
                <w:b/>
                <w:sz w:val="24"/>
              </w:rPr>
            </w:pPr>
          </w:p>
          <w:p>
            <w:pPr>
              <w:pStyle w:val="48"/>
              <w:keepNext w:val="0"/>
              <w:keepLines w:val="0"/>
              <w:suppressLineNumbers w:val="0"/>
              <w:spacing w:before="76" w:beforeAutospacing="0" w:after="0" w:afterAutospacing="0"/>
              <w:ind w:left="587" w:right="0"/>
            </w:pPr>
            <w:r>
              <w:t>本项目废水污染物排放执行标准表如下。</w:t>
            </w:r>
          </w:p>
          <w:p>
            <w:pPr>
              <w:pStyle w:val="2"/>
              <w:keepNext w:val="0"/>
              <w:keepLines w:val="0"/>
              <w:suppressLineNumbers w:val="0"/>
              <w:spacing w:before="0" w:beforeAutospacing="0" w:after="0" w:afterAutospacing="0"/>
              <w:ind w:left="0" w:leftChars="0" w:right="0" w:rightChars="0"/>
              <w:jc w:val="center"/>
            </w:pPr>
            <w:r>
              <w:rPr>
                <w:rFonts w:ascii="Times New Roman"/>
                <w:b/>
                <w:sz w:val="24"/>
              </w:rPr>
              <w:t>表</w:t>
            </w:r>
            <w:r>
              <w:rPr>
                <w:rFonts w:ascii="Times New Roman" w:hAnsi="Times New Roman"/>
                <w:b/>
                <w:sz w:val="24"/>
              </w:rPr>
              <w:t>4-1</w:t>
            </w:r>
            <w:r>
              <w:rPr>
                <w:rFonts w:hint="eastAsia" w:ascii="Times New Roman" w:hAnsi="Times New Roman"/>
                <w:b/>
                <w:sz w:val="24"/>
              </w:rPr>
              <w:t>5</w:t>
            </w:r>
            <w:r>
              <w:rPr>
                <w:rFonts w:ascii="Times New Roman" w:hAnsi="Times New Roman"/>
                <w:b/>
                <w:sz w:val="24"/>
              </w:rPr>
              <w:t xml:space="preserve"> </w:t>
            </w:r>
            <w:r>
              <w:rPr>
                <w:rFonts w:ascii="Times New Roman"/>
                <w:b/>
                <w:sz w:val="24"/>
              </w:rPr>
              <w:t>废水污染物排放执</w:t>
            </w:r>
            <w:r>
              <w:rPr>
                <w:b/>
                <w:sz w:val="24"/>
              </w:rPr>
              <w:t>行标准表</w:t>
            </w:r>
          </w:p>
          <w:tbl>
            <w:tblPr>
              <w:tblStyle w:val="21"/>
              <w:tblW w:w="813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79" w:type="dxa"/>
                <w:bottom w:w="0" w:type="dxa"/>
                <w:right w:w="79" w:type="dxa"/>
              </w:tblCellMar>
            </w:tblPr>
            <w:tblGrid>
              <w:gridCol w:w="707"/>
              <w:gridCol w:w="1115"/>
              <w:gridCol w:w="1419"/>
              <w:gridCol w:w="3077"/>
              <w:gridCol w:w="182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576" w:hRule="atLeast"/>
                <w:jc w:val="center"/>
              </w:trPr>
              <w:tc>
                <w:tcPr>
                  <w:tcW w:w="707" w:type="dxa"/>
                  <w:vMerge w:val="restart"/>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序号</w:t>
                  </w:r>
                </w:p>
              </w:tc>
              <w:tc>
                <w:tcPr>
                  <w:tcW w:w="1115" w:type="dxa"/>
                  <w:vMerge w:val="restart"/>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排放口</w:t>
                  </w:r>
                </w:p>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编号</w:t>
                  </w:r>
                </w:p>
              </w:tc>
              <w:tc>
                <w:tcPr>
                  <w:tcW w:w="1419" w:type="dxa"/>
                  <w:vMerge w:val="restart"/>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污染物种类</w:t>
                  </w:r>
                </w:p>
              </w:tc>
              <w:tc>
                <w:tcPr>
                  <w:tcW w:w="4897" w:type="dxa"/>
                  <w:gridSpan w:val="2"/>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国家或地方污染物排放标准及其他按规定商定的排放协议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51" w:hRule="atLeast"/>
                <w:jc w:val="center"/>
              </w:trPr>
              <w:tc>
                <w:tcPr>
                  <w:tcW w:w="707" w:type="dxa"/>
                  <w:vMerge w:val="continue"/>
                  <w:vAlign w:val="center"/>
                </w:tcPr>
                <w:p>
                  <w:pPr>
                    <w:keepNext w:val="0"/>
                    <w:keepLines w:val="0"/>
                    <w:suppressLineNumbers w:val="0"/>
                    <w:adjustRightInd w:val="0"/>
                    <w:snapToGrid w:val="0"/>
                    <w:spacing w:before="0" w:beforeAutospacing="0" w:after="0" w:afterAutospacing="0"/>
                    <w:ind w:left="0" w:right="0"/>
                    <w:jc w:val="center"/>
                    <w:rPr>
                      <w:b/>
                      <w:bCs/>
                    </w:rPr>
                  </w:pPr>
                </w:p>
              </w:tc>
              <w:tc>
                <w:tcPr>
                  <w:tcW w:w="1115" w:type="dxa"/>
                  <w:vMerge w:val="continue"/>
                  <w:vAlign w:val="center"/>
                </w:tcPr>
                <w:p>
                  <w:pPr>
                    <w:keepNext w:val="0"/>
                    <w:keepLines w:val="0"/>
                    <w:suppressLineNumbers w:val="0"/>
                    <w:adjustRightInd w:val="0"/>
                    <w:snapToGrid w:val="0"/>
                    <w:spacing w:before="0" w:beforeAutospacing="0" w:after="0" w:afterAutospacing="0"/>
                    <w:ind w:left="0" w:right="0"/>
                    <w:jc w:val="center"/>
                    <w:rPr>
                      <w:b/>
                      <w:bCs/>
                    </w:rPr>
                  </w:pPr>
                </w:p>
              </w:tc>
              <w:tc>
                <w:tcPr>
                  <w:tcW w:w="1419" w:type="dxa"/>
                  <w:vMerge w:val="continue"/>
                  <w:vAlign w:val="center"/>
                </w:tcPr>
                <w:p>
                  <w:pPr>
                    <w:keepNext w:val="0"/>
                    <w:keepLines w:val="0"/>
                    <w:suppressLineNumbers w:val="0"/>
                    <w:adjustRightInd w:val="0"/>
                    <w:snapToGrid w:val="0"/>
                    <w:spacing w:before="0" w:beforeAutospacing="0" w:after="0" w:afterAutospacing="0"/>
                    <w:ind w:left="0" w:right="0"/>
                    <w:jc w:val="center"/>
                    <w:rPr>
                      <w:b/>
                      <w:bCs/>
                    </w:rPr>
                  </w:pPr>
                </w:p>
              </w:tc>
              <w:tc>
                <w:tcPr>
                  <w:tcW w:w="3077" w:type="dxa"/>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名称</w:t>
                  </w:r>
                </w:p>
              </w:tc>
              <w:tc>
                <w:tcPr>
                  <w:tcW w:w="1820" w:type="dxa"/>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浓度限值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51" w:hRule="atLeast"/>
                <w:jc w:val="center"/>
              </w:trPr>
              <w:tc>
                <w:tcPr>
                  <w:tcW w:w="707"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1</w:t>
                  </w:r>
                </w:p>
              </w:tc>
              <w:tc>
                <w:tcPr>
                  <w:tcW w:w="1115" w:type="dxa"/>
                  <w:vMerge w:val="restar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DW001</w:t>
                  </w:r>
                </w:p>
              </w:tc>
              <w:tc>
                <w:tcPr>
                  <w:tcW w:w="1419"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COD</w:t>
                  </w:r>
                </w:p>
              </w:tc>
              <w:tc>
                <w:tcPr>
                  <w:tcW w:w="3077" w:type="dxa"/>
                  <w:vMerge w:val="restart"/>
                  <w:vAlign w:val="center"/>
                </w:tcPr>
                <w:p>
                  <w:pPr>
                    <w:keepNext w:val="0"/>
                    <w:keepLines w:val="0"/>
                    <w:suppressLineNumbers w:val="0"/>
                    <w:adjustRightInd w:val="0"/>
                    <w:snapToGrid w:val="0"/>
                    <w:spacing w:before="0" w:beforeAutospacing="0" w:after="0" w:afterAutospacing="0"/>
                    <w:ind w:left="0" w:right="0"/>
                    <w:rPr>
                      <w:szCs w:val="21"/>
                    </w:rPr>
                  </w:pPr>
                  <w:r>
                    <w:rPr>
                      <w:bCs/>
                      <w:szCs w:val="21"/>
                    </w:rPr>
                    <w:t>《污水排入城镇下水道水质标准》（GB/T31962-2015）</w:t>
                  </w:r>
                </w:p>
              </w:tc>
              <w:tc>
                <w:tcPr>
                  <w:tcW w:w="1820"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51" w:hRule="atLeast"/>
                <w:jc w:val="center"/>
              </w:trPr>
              <w:tc>
                <w:tcPr>
                  <w:tcW w:w="707"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2</w:t>
                  </w:r>
                </w:p>
              </w:tc>
              <w:tc>
                <w:tcPr>
                  <w:tcW w:w="1115" w:type="dxa"/>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1419"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氨氮</w:t>
                  </w:r>
                </w:p>
              </w:tc>
              <w:tc>
                <w:tcPr>
                  <w:tcW w:w="3077" w:type="dxa"/>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1820"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51" w:hRule="atLeast"/>
                <w:jc w:val="center"/>
              </w:trPr>
              <w:tc>
                <w:tcPr>
                  <w:tcW w:w="707"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3</w:t>
                  </w:r>
                </w:p>
              </w:tc>
              <w:tc>
                <w:tcPr>
                  <w:tcW w:w="1115" w:type="dxa"/>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1419"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总磷</w:t>
                  </w:r>
                </w:p>
              </w:tc>
              <w:tc>
                <w:tcPr>
                  <w:tcW w:w="3077" w:type="dxa"/>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1820"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51" w:hRule="atLeast"/>
                <w:jc w:val="center"/>
              </w:trPr>
              <w:tc>
                <w:tcPr>
                  <w:tcW w:w="707"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4</w:t>
                  </w:r>
                </w:p>
              </w:tc>
              <w:tc>
                <w:tcPr>
                  <w:tcW w:w="1115" w:type="dxa"/>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1419"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总氮</w:t>
                  </w:r>
                </w:p>
              </w:tc>
              <w:tc>
                <w:tcPr>
                  <w:tcW w:w="3077" w:type="dxa"/>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1820"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70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51" w:hRule="atLeast"/>
                <w:jc w:val="center"/>
              </w:trPr>
              <w:tc>
                <w:tcPr>
                  <w:tcW w:w="707"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5</w:t>
                  </w:r>
                </w:p>
              </w:tc>
              <w:tc>
                <w:tcPr>
                  <w:tcW w:w="1115" w:type="dxa"/>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1419"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SS</w:t>
                  </w:r>
                </w:p>
              </w:tc>
              <w:tc>
                <w:tcPr>
                  <w:tcW w:w="3077" w:type="dxa"/>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1820"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81" w:hRule="atLeast"/>
                <w:jc w:val="center"/>
              </w:trPr>
              <w:tc>
                <w:tcPr>
                  <w:tcW w:w="707"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6</w:t>
                  </w:r>
                </w:p>
              </w:tc>
              <w:tc>
                <w:tcPr>
                  <w:tcW w:w="1115" w:type="dxa"/>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1419"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动植物油</w:t>
                  </w:r>
                </w:p>
              </w:tc>
              <w:tc>
                <w:tcPr>
                  <w:tcW w:w="3077" w:type="dxa"/>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1820"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100</w:t>
                  </w:r>
                </w:p>
              </w:tc>
            </w:tr>
          </w:tbl>
          <w:p>
            <w:pPr>
              <w:keepNext w:val="0"/>
              <w:keepLines w:val="0"/>
              <w:suppressLineNumbers w:val="0"/>
              <w:spacing w:before="0" w:beforeAutospacing="0" w:after="0" w:afterAutospacing="0" w:line="360" w:lineRule="auto"/>
              <w:ind w:left="0" w:right="0" w:firstLine="480" w:firstLineChars="200"/>
              <w:rPr>
                <w:bCs/>
                <w:sz w:val="24"/>
              </w:rPr>
            </w:pPr>
            <w:r>
              <w:rPr>
                <w:sz w:val="24"/>
              </w:rPr>
              <w:t>综上，本项目所产生的废水对周围环境无直接影响。</w:t>
            </w:r>
          </w:p>
          <w:p>
            <w:pPr>
              <w:keepNext w:val="0"/>
              <w:keepLines w:val="0"/>
              <w:suppressLineNumbers w:val="0"/>
              <w:adjustRightInd w:val="0"/>
              <w:snapToGrid w:val="0"/>
              <w:spacing w:before="0" w:beforeAutospacing="0" w:after="0" w:afterAutospacing="0" w:line="360" w:lineRule="auto"/>
              <w:ind w:left="0" w:right="0" w:firstLine="482" w:firstLineChars="200"/>
              <w:rPr>
                <w:b/>
                <w:sz w:val="24"/>
              </w:rPr>
            </w:pPr>
            <w:r>
              <w:rPr>
                <w:rFonts w:hint="eastAsia"/>
                <w:b/>
                <w:sz w:val="24"/>
              </w:rPr>
              <w:t>（4）废水监测计划</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rFonts w:hAnsi="宋体"/>
                <w:sz w:val="24"/>
              </w:rPr>
              <w:t>监测点位：本项目生活污水排放口。</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rFonts w:hAnsi="宋体"/>
                <w:sz w:val="24"/>
              </w:rPr>
              <w:t>监测频次：按照</w:t>
            </w:r>
            <w:r>
              <w:rPr>
                <w:rFonts w:hint="eastAsia" w:ascii="宋体" w:hAnsi="宋体"/>
                <w:sz w:val="24"/>
              </w:rPr>
              <w:t>《</w:t>
            </w:r>
            <w:r>
              <w:fldChar w:fldCharType="begin"/>
            </w:r>
            <w:r>
              <w:instrText xml:space="preserve"> HYPERLINK "https://www.mee.gov.cn/ywgz/fgbz/bz/bzwb/jcffbz/202001/W020200113417476489912.pdf" </w:instrText>
            </w:r>
            <w:r>
              <w:fldChar w:fldCharType="separate"/>
            </w:r>
            <w:r>
              <w:rPr>
                <w:rFonts w:hint="eastAsia" w:ascii="宋体" w:hAnsi="宋体"/>
                <w:sz w:val="24"/>
              </w:rPr>
              <w:t xml:space="preserve">排污单位自行监测技术指南 </w:t>
            </w:r>
            <w:r>
              <w:rPr>
                <w:rFonts w:hint="eastAsia" w:ascii="宋体" w:hAnsi="宋体"/>
                <w:sz w:val="24"/>
                <w:lang w:eastAsia="zh-CN"/>
              </w:rPr>
              <w:t>总则</w:t>
            </w:r>
            <w:r>
              <w:rPr>
                <w:rFonts w:hint="eastAsia" w:ascii="宋体" w:hAnsi="宋体"/>
                <w:sz w:val="24"/>
              </w:rPr>
              <w:t>》</w:t>
            </w:r>
            <w:r>
              <w:rPr>
                <w:rFonts w:hAnsi="宋体"/>
                <w:sz w:val="24"/>
              </w:rPr>
              <w:t>（</w:t>
            </w:r>
            <w:r>
              <w:rPr>
                <w:sz w:val="24"/>
              </w:rPr>
              <w:t xml:space="preserve">HJ </w:t>
            </w:r>
            <w:r>
              <w:rPr>
                <w:rFonts w:hint="eastAsia"/>
                <w:sz w:val="24"/>
                <w:lang w:val="en-US" w:eastAsia="zh-CN"/>
              </w:rPr>
              <w:t>819</w:t>
            </w:r>
            <w:r>
              <w:rPr>
                <w:sz w:val="24"/>
              </w:rPr>
              <w:t>—20</w:t>
            </w:r>
            <w:r>
              <w:rPr>
                <w:rFonts w:hint="eastAsia"/>
                <w:sz w:val="24"/>
                <w:lang w:val="en-US" w:eastAsia="zh-CN"/>
              </w:rPr>
              <w:t>17</w:t>
            </w:r>
            <w:r>
              <w:rPr>
                <w:rFonts w:hAnsi="宋体"/>
                <w:sz w:val="24"/>
              </w:rPr>
              <w:t>）</w:t>
            </w:r>
            <w:r>
              <w:rPr>
                <w:rFonts w:hAnsi="宋体"/>
                <w:sz w:val="24"/>
              </w:rPr>
              <w:fldChar w:fldCharType="end"/>
            </w:r>
            <w:r>
              <w:rPr>
                <w:rFonts w:hint="eastAsia" w:hAnsi="宋体"/>
                <w:sz w:val="24"/>
                <w:lang w:eastAsia="zh-CN"/>
              </w:rPr>
              <w:t>、</w:t>
            </w:r>
            <w:r>
              <w:rPr>
                <w:rFonts w:hint="eastAsia" w:ascii="宋体" w:hAnsi="宋体"/>
                <w:sz w:val="24"/>
              </w:rPr>
              <w:t>《</w:t>
            </w:r>
            <w:r>
              <w:fldChar w:fldCharType="begin"/>
            </w:r>
            <w:r>
              <w:instrText xml:space="preserve"> HYPERLINK "https://www.mee.gov.cn/ywgz/fgbz/bz/bzwb/jcffbz/202001/W020200113417476489912.pdf" </w:instrText>
            </w:r>
            <w:r>
              <w:fldChar w:fldCharType="separate"/>
            </w:r>
            <w:r>
              <w:rPr>
                <w:rFonts w:hint="eastAsia" w:ascii="宋体" w:hAnsi="宋体"/>
                <w:sz w:val="24"/>
              </w:rPr>
              <w:t>排污单位自行监测技术指南 涂装》</w:t>
            </w:r>
            <w:r>
              <w:rPr>
                <w:rFonts w:hAnsi="宋体"/>
                <w:sz w:val="24"/>
              </w:rPr>
              <w:t>（</w:t>
            </w:r>
            <w:r>
              <w:rPr>
                <w:sz w:val="24"/>
              </w:rPr>
              <w:t>HJ 1086—2020</w:t>
            </w:r>
            <w:r>
              <w:rPr>
                <w:rFonts w:hAnsi="宋体"/>
                <w:sz w:val="24"/>
              </w:rPr>
              <w:t>）</w:t>
            </w:r>
            <w:r>
              <w:rPr>
                <w:rFonts w:hAnsi="宋体"/>
                <w:sz w:val="24"/>
              </w:rPr>
              <w:fldChar w:fldCharType="end"/>
            </w:r>
            <w:r>
              <w:rPr>
                <w:rFonts w:hAnsi="宋体"/>
                <w:sz w:val="24"/>
              </w:rPr>
              <w:t>中相关要求。</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rFonts w:hAnsi="宋体"/>
                <w:sz w:val="24"/>
              </w:rPr>
              <w:t>监测因子：</w:t>
            </w:r>
            <w:r>
              <w:rPr>
                <w:sz w:val="24"/>
              </w:rPr>
              <w:t>COD</w:t>
            </w:r>
            <w:r>
              <w:rPr>
                <w:rFonts w:hAnsi="宋体"/>
                <w:sz w:val="24"/>
              </w:rPr>
              <w:t>、</w:t>
            </w:r>
            <w:r>
              <w:rPr>
                <w:sz w:val="24"/>
              </w:rPr>
              <w:t>SS</w:t>
            </w:r>
            <w:r>
              <w:rPr>
                <w:rFonts w:hAnsi="宋体"/>
                <w:sz w:val="24"/>
              </w:rPr>
              <w:t>、氨氮、总磷、总氮</w:t>
            </w:r>
            <w:r>
              <w:rPr>
                <w:rFonts w:hint="eastAsia" w:hAnsi="宋体"/>
                <w:sz w:val="24"/>
              </w:rPr>
              <w:t>、动植物油</w:t>
            </w:r>
            <w:r>
              <w:rPr>
                <w:rFonts w:hAnsi="宋体"/>
                <w:sz w:val="24"/>
              </w:rPr>
              <w:t>。</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rFonts w:hAnsi="宋体"/>
                <w:sz w:val="24"/>
              </w:rPr>
              <w:t>废水监测位置、监测因子、频率等详见</w:t>
            </w:r>
            <w:r>
              <w:rPr>
                <w:rFonts w:hint="eastAsia" w:hAnsi="宋体"/>
                <w:sz w:val="24"/>
              </w:rPr>
              <w:t>下</w:t>
            </w:r>
            <w:r>
              <w:rPr>
                <w:rFonts w:hAnsi="宋体"/>
                <w:sz w:val="24"/>
              </w:rPr>
              <w:t>表。</w:t>
            </w:r>
          </w:p>
          <w:p>
            <w:pPr>
              <w:pStyle w:val="77"/>
              <w:keepNext w:val="0"/>
              <w:keepLines w:val="0"/>
              <w:suppressLineNumbers w:val="0"/>
              <w:spacing w:before="0" w:beforeLines="0" w:beforeAutospacing="0" w:after="0" w:afterAutospacing="0" w:line="240" w:lineRule="auto"/>
              <w:ind w:left="0" w:right="0" w:firstLine="0" w:firstLineChars="0"/>
              <w:jc w:val="center"/>
              <w:rPr>
                <w:rFonts w:cs="Times New Roman"/>
                <w:b/>
              </w:rPr>
            </w:pPr>
            <w:r>
              <w:rPr>
                <w:rFonts w:hAnsi="宋体" w:cs="Times New Roman"/>
                <w:b/>
              </w:rPr>
              <w:t>表</w:t>
            </w:r>
            <w:r>
              <w:rPr>
                <w:rFonts w:hint="eastAsia" w:cs="Times New Roman"/>
                <w:b/>
              </w:rPr>
              <w:t>4-16</w:t>
            </w:r>
            <w:r>
              <w:rPr>
                <w:rFonts w:cs="Times New Roman"/>
                <w:b/>
              </w:rPr>
              <w:t xml:space="preserve"> </w:t>
            </w:r>
            <w:r>
              <w:rPr>
                <w:rFonts w:hAnsi="宋体" w:cs="Times New Roman"/>
                <w:b/>
              </w:rPr>
              <w:t>废水监测因子及频次表</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96"/>
              <w:gridCol w:w="1790"/>
              <w:gridCol w:w="3484"/>
              <w:gridCol w:w="171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1" w:type="pct"/>
                  <w:vAlign w:val="center"/>
                </w:tcPr>
                <w:p>
                  <w:pPr>
                    <w:keepNext w:val="0"/>
                    <w:keepLines w:val="0"/>
                    <w:suppressLineNumbers w:val="0"/>
                    <w:adjustRightInd w:val="0"/>
                    <w:snapToGrid w:val="0"/>
                    <w:spacing w:before="0" w:beforeAutospacing="0" w:after="0" w:afterAutospacing="0"/>
                    <w:ind w:left="0" w:right="0"/>
                    <w:jc w:val="center"/>
                    <w:rPr>
                      <w:b/>
                      <w:szCs w:val="21"/>
                    </w:rPr>
                  </w:pPr>
                  <w:r>
                    <w:rPr>
                      <w:b/>
                      <w:szCs w:val="21"/>
                    </w:rPr>
                    <w:t>污染种类</w:t>
                  </w:r>
                </w:p>
              </w:tc>
              <w:tc>
                <w:tcPr>
                  <w:tcW w:w="1094" w:type="pct"/>
                  <w:vAlign w:val="center"/>
                </w:tcPr>
                <w:p>
                  <w:pPr>
                    <w:keepNext w:val="0"/>
                    <w:keepLines w:val="0"/>
                    <w:suppressLineNumbers w:val="0"/>
                    <w:adjustRightInd w:val="0"/>
                    <w:snapToGrid w:val="0"/>
                    <w:spacing w:before="0" w:beforeAutospacing="0" w:after="0" w:afterAutospacing="0"/>
                    <w:ind w:left="0" w:right="0"/>
                    <w:jc w:val="center"/>
                    <w:rPr>
                      <w:b/>
                      <w:szCs w:val="21"/>
                    </w:rPr>
                  </w:pPr>
                  <w:r>
                    <w:rPr>
                      <w:b/>
                      <w:szCs w:val="21"/>
                    </w:rPr>
                    <w:t>监测点位</w:t>
                  </w:r>
                </w:p>
              </w:tc>
              <w:tc>
                <w:tcPr>
                  <w:tcW w:w="2129" w:type="pct"/>
                  <w:vAlign w:val="center"/>
                </w:tcPr>
                <w:p>
                  <w:pPr>
                    <w:keepNext w:val="0"/>
                    <w:keepLines w:val="0"/>
                    <w:suppressLineNumbers w:val="0"/>
                    <w:adjustRightInd w:val="0"/>
                    <w:snapToGrid w:val="0"/>
                    <w:spacing w:before="0" w:beforeAutospacing="0" w:after="0" w:afterAutospacing="0"/>
                    <w:ind w:left="0" w:right="0"/>
                    <w:jc w:val="center"/>
                    <w:rPr>
                      <w:b/>
                      <w:szCs w:val="21"/>
                    </w:rPr>
                  </w:pPr>
                  <w:r>
                    <w:rPr>
                      <w:b/>
                      <w:szCs w:val="21"/>
                    </w:rPr>
                    <w:t>监测项目</w:t>
                  </w:r>
                </w:p>
              </w:tc>
              <w:tc>
                <w:tcPr>
                  <w:tcW w:w="1046" w:type="pct"/>
                  <w:vAlign w:val="center"/>
                </w:tcPr>
                <w:p>
                  <w:pPr>
                    <w:keepNext w:val="0"/>
                    <w:keepLines w:val="0"/>
                    <w:suppressLineNumbers w:val="0"/>
                    <w:adjustRightInd w:val="0"/>
                    <w:snapToGrid w:val="0"/>
                    <w:spacing w:before="0" w:beforeAutospacing="0" w:after="0" w:afterAutospacing="0"/>
                    <w:ind w:left="0" w:right="0"/>
                    <w:jc w:val="center"/>
                    <w:rPr>
                      <w:b/>
                      <w:szCs w:val="21"/>
                    </w:rPr>
                  </w:pPr>
                  <w:r>
                    <w:rPr>
                      <w:b/>
                      <w:szCs w:val="21"/>
                    </w:rPr>
                    <w:t>监测频率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1"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rPr>
                    <w:t>生活污</w:t>
                  </w:r>
                  <w:r>
                    <w:t>水</w:t>
                  </w:r>
                </w:p>
              </w:tc>
              <w:tc>
                <w:tcPr>
                  <w:tcW w:w="1094" w:type="pct"/>
                  <w:vAlign w:val="center"/>
                </w:tcPr>
                <w:p>
                  <w:pPr>
                    <w:keepNext w:val="0"/>
                    <w:keepLines w:val="0"/>
                    <w:suppressLineNumbers w:val="0"/>
                    <w:adjustRightInd w:val="0"/>
                    <w:snapToGrid w:val="0"/>
                    <w:spacing w:before="0" w:beforeAutospacing="0" w:after="0" w:afterAutospacing="0"/>
                    <w:ind w:left="0" w:right="0"/>
                    <w:jc w:val="center"/>
                    <w:rPr>
                      <w:szCs w:val="21"/>
                    </w:rPr>
                  </w:pPr>
                  <w:r>
                    <w:t>污水排放口</w:t>
                  </w:r>
                </w:p>
              </w:tc>
              <w:tc>
                <w:tcPr>
                  <w:tcW w:w="2129" w:type="pct"/>
                  <w:vAlign w:val="center"/>
                </w:tcPr>
                <w:p>
                  <w:pPr>
                    <w:keepNext w:val="0"/>
                    <w:keepLines w:val="0"/>
                    <w:suppressLineNumbers w:val="0"/>
                    <w:adjustRightInd w:val="0"/>
                    <w:snapToGrid w:val="0"/>
                    <w:spacing w:before="0" w:beforeAutospacing="0" w:after="0" w:afterAutospacing="0"/>
                    <w:ind w:left="0" w:right="0"/>
                    <w:jc w:val="center"/>
                    <w:rPr>
                      <w:szCs w:val="21"/>
                    </w:rPr>
                  </w:pPr>
                  <w:r>
                    <w:t>COD、SS、氨氮、TP、TN</w:t>
                  </w:r>
                  <w:r>
                    <w:rPr>
                      <w:rFonts w:hint="eastAsia"/>
                    </w:rPr>
                    <w:t>、动植物油</w:t>
                  </w:r>
                </w:p>
              </w:tc>
              <w:tc>
                <w:tcPr>
                  <w:tcW w:w="1046" w:type="pct"/>
                  <w:vAlign w:val="center"/>
                </w:tcPr>
                <w:p>
                  <w:pPr>
                    <w:keepNext w:val="0"/>
                    <w:keepLines w:val="0"/>
                    <w:suppressLineNumbers w:val="0"/>
                    <w:adjustRightInd w:val="0"/>
                    <w:snapToGrid w:val="0"/>
                    <w:spacing w:before="0" w:beforeAutospacing="0" w:after="0" w:afterAutospacing="0"/>
                    <w:ind w:left="0" w:right="0"/>
                    <w:jc w:val="center"/>
                    <w:rPr>
                      <w:rFonts w:hint="eastAsia" w:eastAsia="宋体"/>
                      <w:szCs w:val="21"/>
                      <w:lang w:eastAsia="zh-CN"/>
                    </w:rPr>
                  </w:pPr>
                  <w:r>
                    <w:rPr>
                      <w:rFonts w:hint="eastAsia"/>
                      <w:highlight w:val="none"/>
                      <w:lang w:eastAsia="zh-CN"/>
                    </w:rPr>
                    <w:t>一年一次</w:t>
                  </w:r>
                </w:p>
              </w:tc>
            </w:tr>
          </w:tbl>
          <w:p>
            <w:pPr>
              <w:keepNext w:val="0"/>
              <w:keepLines w:val="0"/>
              <w:suppressLineNumbers w:val="0"/>
              <w:adjustRightInd w:val="0"/>
              <w:snapToGrid w:val="0"/>
              <w:spacing w:before="0" w:beforeAutospacing="0" w:after="0" w:afterAutospacing="0" w:line="360" w:lineRule="auto"/>
              <w:ind w:left="0" w:right="0" w:firstLine="482" w:firstLineChars="200"/>
              <w:rPr>
                <w:b/>
                <w:bCs/>
                <w:sz w:val="24"/>
              </w:rPr>
            </w:pPr>
            <w:r>
              <w:rPr>
                <w:rFonts w:hint="eastAsia"/>
                <w:b/>
                <w:bCs/>
                <w:sz w:val="24"/>
              </w:rPr>
              <w:t>（5）小结</w:t>
            </w:r>
          </w:p>
          <w:p>
            <w:pPr>
              <w:keepNext w:val="0"/>
              <w:keepLines w:val="0"/>
              <w:suppressLineNumbers w:val="0"/>
              <w:autoSpaceDE w:val="0"/>
              <w:snapToGrid w:val="0"/>
              <w:spacing w:before="0" w:beforeAutospacing="0" w:after="0" w:afterAutospacing="0" w:line="360" w:lineRule="auto"/>
              <w:ind w:left="0" w:right="0" w:firstLine="480" w:firstLineChars="200"/>
              <w:rPr>
                <w:rFonts w:ascii="宋体" w:hAnsi="宋体"/>
                <w:bCs/>
                <w:sz w:val="24"/>
              </w:rPr>
            </w:pPr>
            <w:r>
              <w:rPr>
                <w:rFonts w:hint="eastAsia" w:ascii="宋体" w:hAnsi="宋体"/>
                <w:bCs/>
                <w:sz w:val="24"/>
              </w:rPr>
              <w:t>综上，本项目废水产生量较小，</w:t>
            </w:r>
            <w:r>
              <w:rPr>
                <w:rFonts w:hint="eastAsia"/>
                <w:bCs/>
                <w:sz w:val="24"/>
                <w:szCs w:val="22"/>
              </w:rPr>
              <w:t>食堂废水经隔油池处理后与</w:t>
            </w:r>
            <w:r>
              <w:rPr>
                <w:bCs/>
                <w:sz w:val="24"/>
                <w:szCs w:val="22"/>
              </w:rPr>
              <w:t>生活污水</w:t>
            </w:r>
            <w:r>
              <w:rPr>
                <w:rFonts w:hint="eastAsia"/>
                <w:bCs/>
                <w:sz w:val="24"/>
                <w:szCs w:val="22"/>
              </w:rPr>
              <w:t>一并</w:t>
            </w:r>
            <w:r>
              <w:rPr>
                <w:bCs/>
                <w:sz w:val="24"/>
                <w:szCs w:val="22"/>
              </w:rPr>
              <w:t>接入武南污水处理厂</w:t>
            </w:r>
            <w:r>
              <w:rPr>
                <w:rFonts w:hint="eastAsia" w:ascii="宋体" w:hAnsi="宋体"/>
                <w:bCs/>
                <w:sz w:val="24"/>
              </w:rPr>
              <w:t>，处理达标后排放，尾水达标排入武南河。因此，本项目废水对周围环境影响较小。</w:t>
            </w:r>
          </w:p>
          <w:p>
            <w:pPr>
              <w:keepNext w:val="0"/>
              <w:keepLines w:val="0"/>
              <w:suppressLineNumbers w:val="0"/>
              <w:adjustRightInd w:val="0"/>
              <w:snapToGrid w:val="0"/>
              <w:spacing w:before="0" w:beforeAutospacing="0" w:after="0" w:afterAutospacing="0" w:line="360" w:lineRule="auto"/>
              <w:ind w:left="0" w:right="0"/>
              <w:rPr>
                <w:b/>
                <w:bCs/>
                <w:sz w:val="24"/>
              </w:rPr>
            </w:pPr>
            <w:r>
              <w:rPr>
                <w:rFonts w:hint="eastAsia"/>
                <w:b/>
                <w:sz w:val="24"/>
              </w:rPr>
              <w:t>3</w:t>
            </w:r>
            <w:r>
              <w:rPr>
                <w:b/>
                <w:sz w:val="24"/>
              </w:rPr>
              <w:t>、噪声</w:t>
            </w:r>
          </w:p>
          <w:p>
            <w:pPr>
              <w:keepNext w:val="0"/>
              <w:keepLines w:val="0"/>
              <w:suppressLineNumbers w:val="0"/>
              <w:adjustRightInd w:val="0"/>
              <w:snapToGrid w:val="0"/>
              <w:spacing w:before="0" w:beforeAutospacing="0" w:after="0" w:afterAutospacing="0" w:line="360" w:lineRule="auto"/>
              <w:ind w:left="0" w:right="0" w:firstLine="482" w:firstLineChars="200"/>
              <w:rPr>
                <w:b/>
                <w:bCs/>
                <w:sz w:val="24"/>
              </w:rPr>
            </w:pPr>
            <w:r>
              <w:rPr>
                <w:rFonts w:hAnsi="宋体"/>
                <w:b/>
                <w:bCs/>
                <w:sz w:val="24"/>
              </w:rPr>
              <w:t>（</w:t>
            </w:r>
            <w:r>
              <w:rPr>
                <w:b/>
                <w:bCs/>
                <w:sz w:val="24"/>
              </w:rPr>
              <w:t>1</w:t>
            </w:r>
            <w:r>
              <w:rPr>
                <w:rFonts w:hAnsi="宋体"/>
                <w:b/>
                <w:bCs/>
                <w:sz w:val="24"/>
              </w:rPr>
              <w:t>）源强分析</w:t>
            </w:r>
          </w:p>
          <w:p>
            <w:pPr>
              <w:keepNext w:val="0"/>
              <w:keepLines w:val="0"/>
              <w:suppressLineNumbers w:val="0"/>
              <w:adjustRightInd w:val="0"/>
              <w:snapToGrid w:val="0"/>
              <w:spacing w:before="0" w:beforeAutospacing="0" w:after="0" w:afterAutospacing="0" w:line="360" w:lineRule="auto"/>
              <w:ind w:left="0" w:right="0" w:firstLine="480" w:firstLineChars="200"/>
              <w:rPr>
                <w:rFonts w:ascii="宋体" w:hAnsi="宋体"/>
                <w:bCs/>
                <w:sz w:val="24"/>
              </w:rPr>
            </w:pPr>
            <w:r>
              <w:rPr>
                <w:rFonts w:hint="eastAsia" w:ascii="宋体" w:hAnsi="宋体"/>
                <w:bCs/>
                <w:sz w:val="24"/>
              </w:rPr>
              <w:t>本项目主要为设备运行时产生的机械噪声，噪声源强</w:t>
            </w:r>
            <w:r>
              <w:rPr>
                <w:bCs/>
                <w:sz w:val="24"/>
              </w:rPr>
              <w:t>约为</w:t>
            </w:r>
            <w:r>
              <w:rPr>
                <w:rFonts w:hint="eastAsia"/>
                <w:bCs/>
                <w:sz w:val="24"/>
              </w:rPr>
              <w:t>75</w:t>
            </w:r>
            <w:r>
              <w:rPr>
                <w:bCs/>
                <w:sz w:val="24"/>
              </w:rPr>
              <w:t>-85</w:t>
            </w:r>
            <w:r>
              <w:rPr>
                <w:rFonts w:hint="eastAsia"/>
                <w:bCs/>
                <w:sz w:val="24"/>
              </w:rPr>
              <w:t>dB</w:t>
            </w:r>
            <w:r>
              <w:rPr>
                <w:rFonts w:hint="eastAsia" w:ascii="宋体" w:hAnsi="宋体"/>
                <w:bCs/>
                <w:sz w:val="24"/>
              </w:rPr>
              <w:t>(</w:t>
            </w:r>
            <w:r>
              <w:rPr>
                <w:rFonts w:hint="eastAsia"/>
                <w:bCs/>
                <w:sz w:val="24"/>
              </w:rPr>
              <w:t>A</w:t>
            </w:r>
            <w:r>
              <w:rPr>
                <w:rFonts w:hint="eastAsia" w:ascii="宋体" w:hAnsi="宋体"/>
                <w:bCs/>
                <w:sz w:val="24"/>
              </w:rPr>
              <w:t>)。项目主要噪声污染源强见下表。</w:t>
            </w:r>
          </w:p>
          <w:p>
            <w:pPr>
              <w:keepNext w:val="0"/>
              <w:keepLines w:val="0"/>
              <w:suppressLineNumbers w:val="0"/>
              <w:adjustRightInd w:val="0"/>
              <w:snapToGrid w:val="0"/>
              <w:spacing w:before="0" w:beforeAutospacing="0" w:after="0" w:afterAutospacing="0"/>
              <w:ind w:left="0" w:right="0"/>
              <w:jc w:val="center"/>
              <w:rPr>
                <w:rFonts w:hint="eastAsia" w:ascii="宋体" w:hAnsi="宋体"/>
                <w:b/>
                <w:sz w:val="24"/>
              </w:rPr>
            </w:pPr>
          </w:p>
          <w:p>
            <w:pPr>
              <w:keepNext w:val="0"/>
              <w:keepLines w:val="0"/>
              <w:suppressLineNumbers w:val="0"/>
              <w:adjustRightInd w:val="0"/>
              <w:snapToGrid w:val="0"/>
              <w:spacing w:before="0" w:beforeAutospacing="0" w:after="0" w:afterAutospacing="0"/>
              <w:ind w:left="0" w:right="0"/>
              <w:jc w:val="center"/>
              <w:rPr>
                <w:rFonts w:hint="eastAsia" w:ascii="宋体" w:hAnsi="宋体"/>
                <w:b/>
                <w:sz w:val="24"/>
              </w:rPr>
            </w:pPr>
          </w:p>
          <w:p>
            <w:pPr>
              <w:keepNext w:val="0"/>
              <w:keepLines w:val="0"/>
              <w:suppressLineNumbers w:val="0"/>
              <w:adjustRightInd w:val="0"/>
              <w:snapToGrid w:val="0"/>
              <w:spacing w:before="0" w:beforeAutospacing="0" w:after="0" w:afterAutospacing="0"/>
              <w:ind w:left="0" w:right="0"/>
              <w:jc w:val="center"/>
              <w:rPr>
                <w:rFonts w:ascii="宋体"/>
                <w:b/>
                <w:sz w:val="24"/>
              </w:rPr>
            </w:pPr>
            <w:r>
              <w:rPr>
                <w:rFonts w:hint="eastAsia" w:ascii="宋体" w:hAnsi="宋体"/>
                <w:b/>
                <w:sz w:val="24"/>
              </w:rPr>
              <w:t>表</w:t>
            </w:r>
            <w:r>
              <w:rPr>
                <w:rFonts w:hint="eastAsia"/>
                <w:b/>
                <w:sz w:val="24"/>
              </w:rPr>
              <w:t xml:space="preserve">4-17 </w:t>
            </w:r>
            <w:r>
              <w:rPr>
                <w:rFonts w:hint="eastAsia" w:ascii="宋体"/>
                <w:b/>
                <w:sz w:val="24"/>
              </w:rPr>
              <w:t>主要噪声污染源强一览表</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79" w:type="dxa"/>
                <w:bottom w:w="0" w:type="dxa"/>
                <w:right w:w="79" w:type="dxa"/>
              </w:tblCellMar>
            </w:tblPr>
            <w:tblGrid>
              <w:gridCol w:w="491"/>
              <w:gridCol w:w="1548"/>
              <w:gridCol w:w="1072"/>
              <w:gridCol w:w="1011"/>
              <w:gridCol w:w="1208"/>
              <w:gridCol w:w="774"/>
              <w:gridCol w:w="1006"/>
              <w:gridCol w:w="107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592" w:hRule="atLeast"/>
                <w:jc w:val="center"/>
              </w:trPr>
              <w:tc>
                <w:tcPr>
                  <w:tcW w:w="300" w:type="pct"/>
                  <w:vAlign w:val="center"/>
                </w:tcPr>
                <w:p>
                  <w:pPr>
                    <w:keepNext w:val="0"/>
                    <w:keepLines w:val="0"/>
                    <w:suppressLineNumbers w:val="0"/>
                    <w:snapToGrid w:val="0"/>
                    <w:spacing w:before="0" w:beforeAutospacing="0" w:after="0" w:afterAutospacing="0"/>
                    <w:ind w:left="0" w:right="0"/>
                    <w:jc w:val="center"/>
                    <w:rPr>
                      <w:b/>
                      <w:bCs/>
                      <w:szCs w:val="21"/>
                    </w:rPr>
                  </w:pPr>
                  <w:r>
                    <w:rPr>
                      <w:b/>
                      <w:bCs/>
                      <w:szCs w:val="21"/>
                    </w:rPr>
                    <w:t>序号</w:t>
                  </w:r>
                </w:p>
              </w:tc>
              <w:tc>
                <w:tcPr>
                  <w:tcW w:w="945" w:type="pct"/>
                  <w:vAlign w:val="center"/>
                </w:tcPr>
                <w:p>
                  <w:pPr>
                    <w:keepNext w:val="0"/>
                    <w:keepLines w:val="0"/>
                    <w:suppressLineNumbers w:val="0"/>
                    <w:snapToGrid w:val="0"/>
                    <w:spacing w:before="0" w:beforeAutospacing="0" w:after="0" w:afterAutospacing="0"/>
                    <w:ind w:left="0" w:right="0"/>
                    <w:jc w:val="center"/>
                    <w:rPr>
                      <w:b/>
                      <w:bCs/>
                      <w:szCs w:val="21"/>
                    </w:rPr>
                  </w:pPr>
                  <w:r>
                    <w:rPr>
                      <w:b/>
                      <w:bCs/>
                      <w:szCs w:val="21"/>
                    </w:rPr>
                    <w:t>名称</w:t>
                  </w:r>
                </w:p>
              </w:tc>
              <w:tc>
                <w:tcPr>
                  <w:tcW w:w="655" w:type="pct"/>
                  <w:vAlign w:val="center"/>
                </w:tcPr>
                <w:p>
                  <w:pPr>
                    <w:keepNext w:val="0"/>
                    <w:keepLines w:val="0"/>
                    <w:suppressLineNumbers w:val="0"/>
                    <w:snapToGrid w:val="0"/>
                    <w:spacing w:before="0" w:beforeAutospacing="0" w:after="0" w:afterAutospacing="0"/>
                    <w:ind w:left="0" w:right="0"/>
                    <w:jc w:val="center"/>
                    <w:rPr>
                      <w:b/>
                      <w:bCs/>
                      <w:szCs w:val="21"/>
                    </w:rPr>
                  </w:pPr>
                  <w:r>
                    <w:rPr>
                      <w:b/>
                      <w:bCs/>
                      <w:szCs w:val="21"/>
                    </w:rPr>
                    <w:t>数量</w:t>
                  </w:r>
                </w:p>
                <w:p>
                  <w:pPr>
                    <w:keepNext w:val="0"/>
                    <w:keepLines w:val="0"/>
                    <w:suppressLineNumbers w:val="0"/>
                    <w:snapToGrid w:val="0"/>
                    <w:spacing w:before="0" w:beforeAutospacing="0" w:after="0" w:afterAutospacing="0"/>
                    <w:ind w:left="0" w:right="0"/>
                    <w:jc w:val="center"/>
                    <w:rPr>
                      <w:b/>
                      <w:bCs/>
                      <w:szCs w:val="21"/>
                    </w:rPr>
                  </w:pPr>
                  <w:r>
                    <w:rPr>
                      <w:b/>
                      <w:bCs/>
                      <w:szCs w:val="21"/>
                    </w:rPr>
                    <w:t>（台/套）</w:t>
                  </w:r>
                </w:p>
              </w:tc>
              <w:tc>
                <w:tcPr>
                  <w:tcW w:w="617" w:type="pct"/>
                  <w:vAlign w:val="center"/>
                </w:tcPr>
                <w:p>
                  <w:pPr>
                    <w:keepNext w:val="0"/>
                    <w:keepLines w:val="0"/>
                    <w:suppressLineNumbers w:val="0"/>
                    <w:snapToGrid w:val="0"/>
                    <w:spacing w:before="0" w:beforeAutospacing="0" w:after="0" w:afterAutospacing="0"/>
                    <w:ind w:left="0" w:right="0"/>
                    <w:jc w:val="center"/>
                    <w:rPr>
                      <w:b/>
                      <w:bCs/>
                    </w:rPr>
                  </w:pPr>
                  <w:r>
                    <w:rPr>
                      <w:b/>
                      <w:bCs/>
                    </w:rPr>
                    <w:t>产生源强dB(A)</w:t>
                  </w:r>
                </w:p>
              </w:tc>
              <w:tc>
                <w:tcPr>
                  <w:tcW w:w="738" w:type="pct"/>
                  <w:vAlign w:val="center"/>
                </w:tcPr>
                <w:p>
                  <w:pPr>
                    <w:keepNext w:val="0"/>
                    <w:keepLines w:val="0"/>
                    <w:suppressLineNumbers w:val="0"/>
                    <w:snapToGrid w:val="0"/>
                    <w:spacing w:before="0" w:beforeAutospacing="0" w:after="0" w:afterAutospacing="0"/>
                    <w:ind w:left="0" w:right="0"/>
                    <w:jc w:val="center"/>
                    <w:rPr>
                      <w:b/>
                      <w:bCs/>
                    </w:rPr>
                  </w:pPr>
                  <w:r>
                    <w:rPr>
                      <w:rFonts w:hint="eastAsia"/>
                      <w:b/>
                      <w:bCs/>
                    </w:rPr>
                    <w:t>距最近厂界距离（m）</w:t>
                  </w:r>
                </w:p>
              </w:tc>
              <w:tc>
                <w:tcPr>
                  <w:tcW w:w="472" w:type="pct"/>
                  <w:vAlign w:val="center"/>
                </w:tcPr>
                <w:p>
                  <w:pPr>
                    <w:keepNext w:val="0"/>
                    <w:keepLines w:val="0"/>
                    <w:suppressLineNumbers w:val="0"/>
                    <w:snapToGrid w:val="0"/>
                    <w:spacing w:before="0" w:beforeAutospacing="0" w:after="0" w:afterAutospacing="0"/>
                    <w:ind w:left="0" w:right="0"/>
                    <w:jc w:val="center"/>
                    <w:rPr>
                      <w:b/>
                      <w:bCs/>
                    </w:rPr>
                  </w:pPr>
                  <w:r>
                    <w:rPr>
                      <w:b/>
                      <w:bCs/>
                    </w:rPr>
                    <w:t>治理措施</w:t>
                  </w:r>
                </w:p>
              </w:tc>
              <w:tc>
                <w:tcPr>
                  <w:tcW w:w="614" w:type="pct"/>
                  <w:vAlign w:val="center"/>
                </w:tcPr>
                <w:p>
                  <w:pPr>
                    <w:keepNext w:val="0"/>
                    <w:keepLines w:val="0"/>
                    <w:suppressLineNumbers w:val="0"/>
                    <w:adjustRightInd w:val="0"/>
                    <w:snapToGrid w:val="0"/>
                    <w:spacing w:before="0" w:beforeAutospacing="0" w:after="0" w:afterAutospacing="0"/>
                    <w:ind w:left="0" w:right="0"/>
                    <w:jc w:val="center"/>
                    <w:rPr>
                      <w:b/>
                      <w:bCs/>
                    </w:rPr>
                  </w:pPr>
                  <w:r>
                    <w:rPr>
                      <w:rFonts w:hint="eastAsia"/>
                      <w:b/>
                      <w:bCs/>
                    </w:rPr>
                    <w:t>降噪效果</w:t>
                  </w:r>
                  <w:r>
                    <w:rPr>
                      <w:b/>
                      <w:bCs/>
                    </w:rPr>
                    <w:t>dB(A)</w:t>
                  </w:r>
                </w:p>
              </w:tc>
              <w:tc>
                <w:tcPr>
                  <w:tcW w:w="655" w:type="pct"/>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持续时间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300" w:type="pct"/>
                  <w:vAlign w:val="center"/>
                </w:tcPr>
                <w:p>
                  <w:pPr>
                    <w:keepNext w:val="0"/>
                    <w:keepLines w:val="0"/>
                    <w:suppressLineNumbers w:val="0"/>
                    <w:snapToGrid w:val="0"/>
                    <w:spacing w:before="0" w:beforeAutospacing="0" w:after="0" w:afterAutospacing="0"/>
                    <w:ind w:left="0" w:right="0"/>
                    <w:jc w:val="center"/>
                    <w:rPr>
                      <w:szCs w:val="21"/>
                    </w:rPr>
                  </w:pPr>
                  <w:r>
                    <w:rPr>
                      <w:szCs w:val="21"/>
                    </w:rPr>
                    <w:t>1</w:t>
                  </w:r>
                </w:p>
              </w:tc>
              <w:tc>
                <w:tcPr>
                  <w:tcW w:w="94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高速冲床</w:t>
                  </w:r>
                </w:p>
              </w:tc>
              <w:tc>
                <w:tcPr>
                  <w:tcW w:w="655" w:type="pct"/>
                  <w:vAlign w:val="center"/>
                </w:tcPr>
                <w:p>
                  <w:pPr>
                    <w:keepNext w:val="0"/>
                    <w:keepLines w:val="0"/>
                    <w:widowControl/>
                    <w:suppressLineNumbers w:val="0"/>
                    <w:spacing w:before="0" w:beforeAutospacing="0" w:after="0" w:afterAutospacing="0"/>
                    <w:ind w:left="0" w:right="0"/>
                    <w:jc w:val="center"/>
                    <w:rPr>
                      <w:szCs w:val="21"/>
                      <w:highlight w:val="yellow"/>
                    </w:rPr>
                  </w:pPr>
                  <w:r>
                    <w:rPr>
                      <w:rFonts w:hint="eastAsia"/>
                      <w:szCs w:val="21"/>
                    </w:rPr>
                    <w:t>15</w:t>
                  </w:r>
                </w:p>
              </w:tc>
              <w:tc>
                <w:tcPr>
                  <w:tcW w:w="617" w:type="pct"/>
                  <w:vAlign w:val="center"/>
                </w:tcPr>
                <w:p>
                  <w:pPr>
                    <w:keepNext w:val="0"/>
                    <w:keepLines w:val="0"/>
                    <w:suppressLineNumbers w:val="0"/>
                    <w:adjustRightInd w:val="0"/>
                    <w:snapToGrid w:val="0"/>
                    <w:spacing w:before="0" w:beforeAutospacing="0" w:after="0" w:afterAutospacing="0"/>
                    <w:ind w:left="0" w:right="0"/>
                    <w:jc w:val="center"/>
                    <w:rPr>
                      <w:kern w:val="0"/>
                      <w:szCs w:val="21"/>
                    </w:rPr>
                  </w:pPr>
                  <w:r>
                    <w:rPr>
                      <w:rFonts w:hint="eastAsia"/>
                      <w:szCs w:val="21"/>
                    </w:rPr>
                    <w:t>85</w:t>
                  </w:r>
                </w:p>
              </w:tc>
              <w:tc>
                <w:tcPr>
                  <w:tcW w:w="738"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rPr>
                    <w:t>W，10</w:t>
                  </w:r>
                </w:p>
              </w:tc>
              <w:tc>
                <w:tcPr>
                  <w:tcW w:w="472" w:type="pct"/>
                  <w:vMerge w:val="restart"/>
                  <w:vAlign w:val="center"/>
                </w:tcPr>
                <w:p>
                  <w:pPr>
                    <w:keepNext w:val="0"/>
                    <w:keepLines w:val="0"/>
                    <w:suppressLineNumbers w:val="0"/>
                    <w:snapToGrid w:val="0"/>
                    <w:spacing w:before="0" w:beforeAutospacing="0" w:after="0" w:afterAutospacing="0"/>
                    <w:ind w:left="0" w:right="0"/>
                    <w:jc w:val="center"/>
                  </w:pPr>
                  <w:r>
                    <w:rPr>
                      <w:szCs w:val="21"/>
                    </w:rPr>
                    <w:t>减振</w:t>
                  </w:r>
                  <w:r>
                    <w:rPr>
                      <w:rFonts w:hint="eastAsia"/>
                      <w:szCs w:val="21"/>
                    </w:rPr>
                    <w:t>、</w:t>
                  </w:r>
                  <w:r>
                    <w:rPr>
                      <w:szCs w:val="21"/>
                    </w:rPr>
                    <w:t>隔声</w:t>
                  </w:r>
                </w:p>
              </w:tc>
              <w:tc>
                <w:tcPr>
                  <w:tcW w:w="614" w:type="pct"/>
                  <w:vAlign w:val="center"/>
                </w:tcPr>
                <w:p>
                  <w:pPr>
                    <w:keepNext w:val="0"/>
                    <w:keepLines w:val="0"/>
                    <w:suppressLineNumbers w:val="0"/>
                    <w:adjustRightInd w:val="0"/>
                    <w:snapToGrid w:val="0"/>
                    <w:spacing w:before="0" w:beforeAutospacing="0" w:after="0" w:afterAutospacing="0"/>
                    <w:ind w:left="0" w:right="0"/>
                    <w:jc w:val="center"/>
                    <w:rPr>
                      <w:szCs w:val="22"/>
                    </w:rPr>
                  </w:pPr>
                  <w:r>
                    <w:rPr>
                      <w:rFonts w:hint="eastAsia"/>
                      <w:szCs w:val="22"/>
                    </w:rPr>
                    <w:t>25</w:t>
                  </w:r>
                </w:p>
              </w:tc>
              <w:tc>
                <w:tcPr>
                  <w:tcW w:w="655"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lang w:eastAsia="zh-CN"/>
                    </w:rPr>
                    <w:t>4800</w:t>
                  </w:r>
                  <w:r>
                    <w:rPr>
                      <w:szCs w:val="21"/>
                    </w:rPr>
                    <w:t>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300" w:type="pct"/>
                  <w:vAlign w:val="center"/>
                </w:tcPr>
                <w:p>
                  <w:pPr>
                    <w:keepNext w:val="0"/>
                    <w:keepLines w:val="0"/>
                    <w:suppressLineNumbers w:val="0"/>
                    <w:snapToGrid w:val="0"/>
                    <w:spacing w:before="0" w:beforeAutospacing="0" w:after="0" w:afterAutospacing="0"/>
                    <w:ind w:left="0" w:right="0"/>
                    <w:jc w:val="center"/>
                    <w:rPr>
                      <w:szCs w:val="21"/>
                    </w:rPr>
                  </w:pPr>
                  <w:r>
                    <w:rPr>
                      <w:szCs w:val="21"/>
                    </w:rPr>
                    <w:t>2</w:t>
                  </w:r>
                </w:p>
              </w:tc>
              <w:tc>
                <w:tcPr>
                  <w:tcW w:w="94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普通冲床</w:t>
                  </w:r>
                </w:p>
              </w:tc>
              <w:tc>
                <w:tcPr>
                  <w:tcW w:w="65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27</w:t>
                  </w:r>
                </w:p>
              </w:tc>
              <w:tc>
                <w:tcPr>
                  <w:tcW w:w="617"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85</w:t>
                  </w:r>
                </w:p>
              </w:tc>
              <w:tc>
                <w:tcPr>
                  <w:tcW w:w="738"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rPr>
                    <w:t>W，10</w:t>
                  </w:r>
                </w:p>
              </w:tc>
              <w:tc>
                <w:tcPr>
                  <w:tcW w:w="472" w:type="pct"/>
                  <w:vMerge w:val="continue"/>
                  <w:vAlign w:val="center"/>
                </w:tcPr>
                <w:p>
                  <w:pPr>
                    <w:keepNext w:val="0"/>
                    <w:keepLines w:val="0"/>
                    <w:suppressLineNumbers w:val="0"/>
                    <w:snapToGrid w:val="0"/>
                    <w:spacing w:before="0" w:beforeAutospacing="0" w:after="0" w:afterAutospacing="0"/>
                    <w:ind w:left="0" w:right="0"/>
                    <w:jc w:val="center"/>
                    <w:rPr>
                      <w:b/>
                      <w:bCs/>
                    </w:rPr>
                  </w:pPr>
                </w:p>
              </w:tc>
              <w:tc>
                <w:tcPr>
                  <w:tcW w:w="614" w:type="pct"/>
                  <w:vAlign w:val="center"/>
                </w:tcPr>
                <w:p>
                  <w:pPr>
                    <w:keepNext w:val="0"/>
                    <w:keepLines w:val="0"/>
                    <w:suppressLineNumbers w:val="0"/>
                    <w:snapToGrid w:val="0"/>
                    <w:spacing w:before="0" w:beforeAutospacing="0" w:after="0" w:afterAutospacing="0"/>
                    <w:ind w:left="0" w:right="0"/>
                    <w:jc w:val="center"/>
                    <w:rPr>
                      <w:szCs w:val="22"/>
                    </w:rPr>
                  </w:pPr>
                  <w:r>
                    <w:rPr>
                      <w:rFonts w:hint="eastAsia"/>
                      <w:szCs w:val="22"/>
                    </w:rPr>
                    <w:t>25</w:t>
                  </w:r>
                </w:p>
              </w:tc>
              <w:tc>
                <w:tcPr>
                  <w:tcW w:w="655"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lang w:eastAsia="zh-CN"/>
                    </w:rPr>
                    <w:t>4800</w:t>
                  </w:r>
                  <w:r>
                    <w:rPr>
                      <w:szCs w:val="21"/>
                    </w:rPr>
                    <w:t>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300" w:type="pct"/>
                  <w:vAlign w:val="center"/>
                </w:tcPr>
                <w:p>
                  <w:pPr>
                    <w:keepNext w:val="0"/>
                    <w:keepLines w:val="0"/>
                    <w:suppressLineNumbers w:val="0"/>
                    <w:snapToGrid w:val="0"/>
                    <w:spacing w:before="0" w:beforeAutospacing="0" w:after="0" w:afterAutospacing="0"/>
                    <w:ind w:left="0" w:right="0"/>
                    <w:jc w:val="center"/>
                    <w:rPr>
                      <w:szCs w:val="21"/>
                    </w:rPr>
                  </w:pPr>
                  <w:r>
                    <w:rPr>
                      <w:szCs w:val="21"/>
                    </w:rPr>
                    <w:t>3</w:t>
                  </w:r>
                </w:p>
              </w:tc>
              <w:tc>
                <w:tcPr>
                  <w:tcW w:w="94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机壳精冲机</w:t>
                  </w:r>
                </w:p>
              </w:tc>
              <w:tc>
                <w:tcPr>
                  <w:tcW w:w="65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11</w:t>
                  </w:r>
                </w:p>
              </w:tc>
              <w:tc>
                <w:tcPr>
                  <w:tcW w:w="617"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85</w:t>
                  </w:r>
                </w:p>
              </w:tc>
              <w:tc>
                <w:tcPr>
                  <w:tcW w:w="738"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W，10</w:t>
                  </w:r>
                </w:p>
              </w:tc>
              <w:tc>
                <w:tcPr>
                  <w:tcW w:w="472" w:type="pct"/>
                  <w:vMerge w:val="continue"/>
                  <w:vAlign w:val="center"/>
                </w:tcPr>
                <w:p>
                  <w:pPr>
                    <w:keepNext w:val="0"/>
                    <w:keepLines w:val="0"/>
                    <w:suppressLineNumbers w:val="0"/>
                    <w:snapToGrid w:val="0"/>
                    <w:spacing w:before="0" w:beforeAutospacing="0" w:after="0" w:afterAutospacing="0"/>
                    <w:ind w:left="0" w:right="0"/>
                    <w:jc w:val="center"/>
                  </w:pPr>
                </w:p>
              </w:tc>
              <w:tc>
                <w:tcPr>
                  <w:tcW w:w="614"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2"/>
                    </w:rPr>
                    <w:t>25</w:t>
                  </w:r>
                </w:p>
              </w:tc>
              <w:tc>
                <w:tcPr>
                  <w:tcW w:w="655"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lang w:eastAsia="zh-CN"/>
                    </w:rPr>
                    <w:t>4800</w:t>
                  </w:r>
                  <w:r>
                    <w:rPr>
                      <w:szCs w:val="21"/>
                    </w:rPr>
                    <w:t>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300" w:type="pct"/>
                  <w:vAlign w:val="center"/>
                </w:tcPr>
                <w:p>
                  <w:pPr>
                    <w:keepNext w:val="0"/>
                    <w:keepLines w:val="0"/>
                    <w:suppressLineNumbers w:val="0"/>
                    <w:snapToGrid w:val="0"/>
                    <w:spacing w:before="0" w:beforeAutospacing="0" w:after="0" w:afterAutospacing="0"/>
                    <w:ind w:left="0" w:right="0"/>
                    <w:jc w:val="center"/>
                    <w:rPr>
                      <w:szCs w:val="21"/>
                    </w:rPr>
                  </w:pPr>
                  <w:r>
                    <w:rPr>
                      <w:szCs w:val="21"/>
                    </w:rPr>
                    <w:t>4</w:t>
                  </w:r>
                </w:p>
              </w:tc>
              <w:tc>
                <w:tcPr>
                  <w:tcW w:w="94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定子迭压焊机</w:t>
                  </w:r>
                </w:p>
              </w:tc>
              <w:tc>
                <w:tcPr>
                  <w:tcW w:w="65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617"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85</w:t>
                  </w:r>
                </w:p>
              </w:tc>
              <w:tc>
                <w:tcPr>
                  <w:tcW w:w="738" w:type="pct"/>
                  <w:vAlign w:val="center"/>
                </w:tcPr>
                <w:p>
                  <w:pPr>
                    <w:keepNext w:val="0"/>
                    <w:keepLines w:val="0"/>
                    <w:suppressLineNumbers w:val="0"/>
                    <w:spacing w:before="0" w:beforeAutospacing="0" w:after="0" w:afterAutospacing="0"/>
                    <w:ind w:left="0" w:right="0"/>
                    <w:jc w:val="center"/>
                  </w:pPr>
                  <w:r>
                    <w:rPr>
                      <w:rFonts w:hint="eastAsia"/>
                      <w:szCs w:val="21"/>
                    </w:rPr>
                    <w:t>W，16</w:t>
                  </w:r>
                </w:p>
              </w:tc>
              <w:tc>
                <w:tcPr>
                  <w:tcW w:w="472" w:type="pct"/>
                  <w:vMerge w:val="continue"/>
                  <w:vAlign w:val="center"/>
                </w:tcPr>
                <w:p>
                  <w:pPr>
                    <w:keepNext w:val="0"/>
                    <w:keepLines w:val="0"/>
                    <w:suppressLineNumbers w:val="0"/>
                    <w:snapToGrid w:val="0"/>
                    <w:spacing w:before="0" w:beforeAutospacing="0" w:after="0" w:afterAutospacing="0"/>
                    <w:ind w:left="0" w:right="0"/>
                    <w:jc w:val="center"/>
                    <w:rPr>
                      <w:szCs w:val="21"/>
                    </w:rPr>
                  </w:pPr>
                </w:p>
              </w:tc>
              <w:tc>
                <w:tcPr>
                  <w:tcW w:w="614" w:type="pct"/>
                  <w:vAlign w:val="center"/>
                </w:tcPr>
                <w:p>
                  <w:pPr>
                    <w:keepNext w:val="0"/>
                    <w:keepLines w:val="0"/>
                    <w:suppressLineNumbers w:val="0"/>
                    <w:snapToGrid w:val="0"/>
                    <w:spacing w:before="0" w:beforeAutospacing="0" w:after="0" w:afterAutospacing="0"/>
                    <w:ind w:left="0" w:right="0"/>
                    <w:jc w:val="center"/>
                  </w:pPr>
                  <w:r>
                    <w:rPr>
                      <w:rFonts w:hint="eastAsia"/>
                      <w:szCs w:val="22"/>
                    </w:rPr>
                    <w:t>25</w:t>
                  </w:r>
                </w:p>
              </w:tc>
              <w:tc>
                <w:tcPr>
                  <w:tcW w:w="655"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rPr>
                    <w:t>3</w:t>
                  </w:r>
                  <w:r>
                    <w:rPr>
                      <w:rFonts w:hint="eastAsia"/>
                      <w:szCs w:val="21"/>
                      <w:lang w:val="en-US" w:eastAsia="zh-CN"/>
                    </w:rPr>
                    <w:t>0</w:t>
                  </w:r>
                  <w:r>
                    <w:rPr>
                      <w:szCs w:val="21"/>
                    </w:rPr>
                    <w:t>00h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300" w:type="pct"/>
                  <w:vAlign w:val="center"/>
                </w:tcPr>
                <w:p>
                  <w:pPr>
                    <w:keepNext w:val="0"/>
                    <w:keepLines w:val="0"/>
                    <w:suppressLineNumbers w:val="0"/>
                    <w:snapToGrid w:val="0"/>
                    <w:spacing w:before="0" w:beforeAutospacing="0" w:after="0" w:afterAutospacing="0"/>
                    <w:ind w:left="0" w:right="0"/>
                    <w:jc w:val="center"/>
                    <w:rPr>
                      <w:szCs w:val="21"/>
                    </w:rPr>
                  </w:pPr>
                  <w:r>
                    <w:rPr>
                      <w:szCs w:val="21"/>
                    </w:rPr>
                    <w:t>5</w:t>
                  </w:r>
                </w:p>
              </w:tc>
              <w:tc>
                <w:tcPr>
                  <w:tcW w:w="94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氩弧焊机</w:t>
                  </w:r>
                </w:p>
              </w:tc>
              <w:tc>
                <w:tcPr>
                  <w:tcW w:w="65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2</w:t>
                  </w:r>
                </w:p>
              </w:tc>
              <w:tc>
                <w:tcPr>
                  <w:tcW w:w="617"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85</w:t>
                  </w:r>
                </w:p>
              </w:tc>
              <w:tc>
                <w:tcPr>
                  <w:tcW w:w="738"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W，16</w:t>
                  </w:r>
                </w:p>
              </w:tc>
              <w:tc>
                <w:tcPr>
                  <w:tcW w:w="472" w:type="pct"/>
                  <w:vMerge w:val="continue"/>
                  <w:vAlign w:val="center"/>
                </w:tcPr>
                <w:p>
                  <w:pPr>
                    <w:keepNext w:val="0"/>
                    <w:keepLines w:val="0"/>
                    <w:suppressLineNumbers w:val="0"/>
                    <w:snapToGrid w:val="0"/>
                    <w:spacing w:before="0" w:beforeAutospacing="0" w:after="0" w:afterAutospacing="0"/>
                    <w:ind w:left="0" w:right="0"/>
                    <w:jc w:val="center"/>
                  </w:pPr>
                </w:p>
              </w:tc>
              <w:tc>
                <w:tcPr>
                  <w:tcW w:w="614" w:type="pct"/>
                  <w:vAlign w:val="center"/>
                </w:tcPr>
                <w:p>
                  <w:pPr>
                    <w:keepNext w:val="0"/>
                    <w:keepLines w:val="0"/>
                    <w:suppressLineNumbers w:val="0"/>
                    <w:snapToGrid w:val="0"/>
                    <w:spacing w:before="0" w:beforeAutospacing="0" w:after="0" w:afterAutospacing="0"/>
                    <w:ind w:left="0" w:right="0"/>
                    <w:jc w:val="center"/>
                  </w:pPr>
                  <w:r>
                    <w:rPr>
                      <w:rFonts w:hint="eastAsia"/>
                      <w:szCs w:val="22"/>
                    </w:rPr>
                    <w:t>25</w:t>
                  </w:r>
                </w:p>
              </w:tc>
              <w:tc>
                <w:tcPr>
                  <w:tcW w:w="655"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rPr>
                    <w:t>3</w:t>
                  </w:r>
                  <w:r>
                    <w:rPr>
                      <w:rFonts w:hint="eastAsia"/>
                      <w:szCs w:val="21"/>
                      <w:lang w:val="en-US" w:eastAsia="zh-CN"/>
                    </w:rPr>
                    <w:t>0</w:t>
                  </w:r>
                  <w:r>
                    <w:rPr>
                      <w:szCs w:val="21"/>
                    </w:rPr>
                    <w:t>00h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300"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rPr>
                    <w:t>6</w:t>
                  </w:r>
                </w:p>
              </w:tc>
              <w:tc>
                <w:tcPr>
                  <w:tcW w:w="94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金属纵剪机</w:t>
                  </w:r>
                </w:p>
              </w:tc>
              <w:tc>
                <w:tcPr>
                  <w:tcW w:w="65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3</w:t>
                  </w:r>
                </w:p>
              </w:tc>
              <w:tc>
                <w:tcPr>
                  <w:tcW w:w="617"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80</w:t>
                  </w:r>
                </w:p>
              </w:tc>
              <w:tc>
                <w:tcPr>
                  <w:tcW w:w="738"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E，25</w:t>
                  </w:r>
                </w:p>
              </w:tc>
              <w:tc>
                <w:tcPr>
                  <w:tcW w:w="472" w:type="pct"/>
                  <w:vMerge w:val="continue"/>
                  <w:vAlign w:val="center"/>
                </w:tcPr>
                <w:p>
                  <w:pPr>
                    <w:keepNext w:val="0"/>
                    <w:keepLines w:val="0"/>
                    <w:suppressLineNumbers w:val="0"/>
                    <w:snapToGrid w:val="0"/>
                    <w:spacing w:before="0" w:beforeAutospacing="0" w:after="0" w:afterAutospacing="0"/>
                    <w:ind w:left="0" w:right="0"/>
                    <w:jc w:val="center"/>
                  </w:pPr>
                </w:p>
              </w:tc>
              <w:tc>
                <w:tcPr>
                  <w:tcW w:w="614" w:type="pct"/>
                  <w:vAlign w:val="center"/>
                </w:tcPr>
                <w:p>
                  <w:pPr>
                    <w:keepNext w:val="0"/>
                    <w:keepLines w:val="0"/>
                    <w:suppressLineNumbers w:val="0"/>
                    <w:adjustRightInd w:val="0"/>
                    <w:snapToGrid w:val="0"/>
                    <w:spacing w:before="0" w:beforeAutospacing="0" w:after="0" w:afterAutospacing="0"/>
                    <w:ind w:left="0" w:right="0"/>
                    <w:jc w:val="center"/>
                    <w:rPr>
                      <w:szCs w:val="22"/>
                    </w:rPr>
                  </w:pPr>
                  <w:r>
                    <w:rPr>
                      <w:rFonts w:hint="eastAsia"/>
                      <w:szCs w:val="22"/>
                    </w:rPr>
                    <w:t>25</w:t>
                  </w:r>
                </w:p>
              </w:tc>
              <w:tc>
                <w:tcPr>
                  <w:tcW w:w="655"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lang w:eastAsia="zh-CN"/>
                    </w:rPr>
                    <w:t>4800</w:t>
                  </w:r>
                  <w:r>
                    <w:rPr>
                      <w:szCs w:val="21"/>
                    </w:rPr>
                    <w:t>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300"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rPr>
                    <w:t>7</w:t>
                  </w:r>
                </w:p>
              </w:tc>
              <w:tc>
                <w:tcPr>
                  <w:tcW w:w="94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攻丝机</w:t>
                  </w:r>
                </w:p>
              </w:tc>
              <w:tc>
                <w:tcPr>
                  <w:tcW w:w="65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5</w:t>
                  </w:r>
                </w:p>
              </w:tc>
              <w:tc>
                <w:tcPr>
                  <w:tcW w:w="617"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80</w:t>
                  </w:r>
                </w:p>
              </w:tc>
              <w:tc>
                <w:tcPr>
                  <w:tcW w:w="738"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N，30</w:t>
                  </w:r>
                </w:p>
              </w:tc>
              <w:tc>
                <w:tcPr>
                  <w:tcW w:w="472" w:type="pct"/>
                  <w:vMerge w:val="continue"/>
                  <w:vAlign w:val="center"/>
                </w:tcPr>
                <w:p>
                  <w:pPr>
                    <w:keepNext w:val="0"/>
                    <w:keepLines w:val="0"/>
                    <w:suppressLineNumbers w:val="0"/>
                    <w:snapToGrid w:val="0"/>
                    <w:spacing w:before="0" w:beforeAutospacing="0" w:after="0" w:afterAutospacing="0"/>
                    <w:ind w:left="0" w:right="0"/>
                    <w:jc w:val="center"/>
                  </w:pPr>
                </w:p>
              </w:tc>
              <w:tc>
                <w:tcPr>
                  <w:tcW w:w="614" w:type="pct"/>
                  <w:vAlign w:val="center"/>
                </w:tcPr>
                <w:p>
                  <w:pPr>
                    <w:keepNext w:val="0"/>
                    <w:keepLines w:val="0"/>
                    <w:suppressLineNumbers w:val="0"/>
                    <w:snapToGrid w:val="0"/>
                    <w:spacing w:before="0" w:beforeAutospacing="0" w:after="0" w:afterAutospacing="0"/>
                    <w:ind w:left="0" w:right="0"/>
                    <w:jc w:val="center"/>
                    <w:rPr>
                      <w:szCs w:val="22"/>
                    </w:rPr>
                  </w:pPr>
                  <w:r>
                    <w:rPr>
                      <w:rFonts w:hint="eastAsia"/>
                      <w:szCs w:val="22"/>
                    </w:rPr>
                    <w:t>25</w:t>
                  </w:r>
                </w:p>
              </w:tc>
              <w:tc>
                <w:tcPr>
                  <w:tcW w:w="655"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lang w:eastAsia="zh-CN"/>
                    </w:rPr>
                    <w:t>4800</w:t>
                  </w:r>
                  <w:r>
                    <w:rPr>
                      <w:szCs w:val="21"/>
                    </w:rPr>
                    <w:t>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300"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rPr>
                    <w:t>8</w:t>
                  </w:r>
                </w:p>
              </w:tc>
              <w:tc>
                <w:tcPr>
                  <w:tcW w:w="94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铣床</w:t>
                  </w:r>
                </w:p>
              </w:tc>
              <w:tc>
                <w:tcPr>
                  <w:tcW w:w="65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617"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80</w:t>
                  </w:r>
                </w:p>
              </w:tc>
              <w:tc>
                <w:tcPr>
                  <w:tcW w:w="738"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N，15</w:t>
                  </w:r>
                </w:p>
              </w:tc>
              <w:tc>
                <w:tcPr>
                  <w:tcW w:w="472" w:type="pct"/>
                  <w:vMerge w:val="continue"/>
                  <w:vAlign w:val="center"/>
                </w:tcPr>
                <w:p>
                  <w:pPr>
                    <w:keepNext w:val="0"/>
                    <w:keepLines w:val="0"/>
                    <w:suppressLineNumbers w:val="0"/>
                    <w:snapToGrid w:val="0"/>
                    <w:spacing w:before="0" w:beforeAutospacing="0" w:after="0" w:afterAutospacing="0"/>
                    <w:ind w:left="0" w:right="0"/>
                    <w:jc w:val="center"/>
                  </w:pPr>
                </w:p>
              </w:tc>
              <w:tc>
                <w:tcPr>
                  <w:tcW w:w="614"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2"/>
                    </w:rPr>
                    <w:t>25</w:t>
                  </w:r>
                </w:p>
              </w:tc>
              <w:tc>
                <w:tcPr>
                  <w:tcW w:w="655"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lang w:eastAsia="zh-CN"/>
                    </w:rPr>
                    <w:t>4800</w:t>
                  </w:r>
                  <w:r>
                    <w:rPr>
                      <w:szCs w:val="21"/>
                    </w:rPr>
                    <w:t>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300"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rPr>
                    <w:t>9</w:t>
                  </w:r>
                </w:p>
              </w:tc>
              <w:tc>
                <w:tcPr>
                  <w:tcW w:w="94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液压机</w:t>
                  </w:r>
                </w:p>
              </w:tc>
              <w:tc>
                <w:tcPr>
                  <w:tcW w:w="65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42</w:t>
                  </w:r>
                </w:p>
              </w:tc>
              <w:tc>
                <w:tcPr>
                  <w:tcW w:w="617"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85</w:t>
                  </w:r>
                </w:p>
              </w:tc>
              <w:tc>
                <w:tcPr>
                  <w:tcW w:w="738"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N，15</w:t>
                  </w:r>
                </w:p>
              </w:tc>
              <w:tc>
                <w:tcPr>
                  <w:tcW w:w="472" w:type="pct"/>
                  <w:vMerge w:val="continue"/>
                  <w:vAlign w:val="center"/>
                </w:tcPr>
                <w:p>
                  <w:pPr>
                    <w:keepNext w:val="0"/>
                    <w:keepLines w:val="0"/>
                    <w:suppressLineNumbers w:val="0"/>
                    <w:snapToGrid w:val="0"/>
                    <w:spacing w:before="0" w:beforeAutospacing="0" w:after="0" w:afterAutospacing="0"/>
                    <w:ind w:left="0" w:right="0"/>
                    <w:jc w:val="center"/>
                  </w:pPr>
                </w:p>
              </w:tc>
              <w:tc>
                <w:tcPr>
                  <w:tcW w:w="614" w:type="pct"/>
                  <w:vAlign w:val="center"/>
                </w:tcPr>
                <w:p>
                  <w:pPr>
                    <w:keepNext w:val="0"/>
                    <w:keepLines w:val="0"/>
                    <w:suppressLineNumbers w:val="0"/>
                    <w:snapToGrid w:val="0"/>
                    <w:spacing w:before="0" w:beforeAutospacing="0" w:after="0" w:afterAutospacing="0"/>
                    <w:ind w:left="0" w:right="0"/>
                    <w:jc w:val="center"/>
                  </w:pPr>
                  <w:r>
                    <w:rPr>
                      <w:rFonts w:hint="eastAsia"/>
                      <w:szCs w:val="22"/>
                    </w:rPr>
                    <w:t>25</w:t>
                  </w:r>
                </w:p>
              </w:tc>
              <w:tc>
                <w:tcPr>
                  <w:tcW w:w="655"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lang w:eastAsia="zh-CN"/>
                    </w:rPr>
                    <w:t>4800</w:t>
                  </w:r>
                  <w:r>
                    <w:rPr>
                      <w:szCs w:val="21"/>
                    </w:rPr>
                    <w:t>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300"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rPr>
                    <w:t>10</w:t>
                  </w:r>
                </w:p>
              </w:tc>
              <w:tc>
                <w:tcPr>
                  <w:tcW w:w="94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磨床</w:t>
                  </w:r>
                </w:p>
              </w:tc>
              <w:tc>
                <w:tcPr>
                  <w:tcW w:w="65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4</w:t>
                  </w:r>
                </w:p>
              </w:tc>
              <w:tc>
                <w:tcPr>
                  <w:tcW w:w="617"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80</w:t>
                  </w:r>
                </w:p>
              </w:tc>
              <w:tc>
                <w:tcPr>
                  <w:tcW w:w="738"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N，15</w:t>
                  </w:r>
                </w:p>
              </w:tc>
              <w:tc>
                <w:tcPr>
                  <w:tcW w:w="472" w:type="pct"/>
                  <w:vMerge w:val="continue"/>
                  <w:vAlign w:val="center"/>
                </w:tcPr>
                <w:p>
                  <w:pPr>
                    <w:keepNext w:val="0"/>
                    <w:keepLines w:val="0"/>
                    <w:suppressLineNumbers w:val="0"/>
                    <w:snapToGrid w:val="0"/>
                    <w:spacing w:before="0" w:beforeAutospacing="0" w:after="0" w:afterAutospacing="0"/>
                    <w:ind w:left="0" w:right="0"/>
                    <w:jc w:val="center"/>
                  </w:pPr>
                </w:p>
              </w:tc>
              <w:tc>
                <w:tcPr>
                  <w:tcW w:w="614" w:type="pct"/>
                  <w:vAlign w:val="center"/>
                </w:tcPr>
                <w:p>
                  <w:pPr>
                    <w:keepNext w:val="0"/>
                    <w:keepLines w:val="0"/>
                    <w:suppressLineNumbers w:val="0"/>
                    <w:snapToGrid w:val="0"/>
                    <w:spacing w:before="0" w:beforeAutospacing="0" w:after="0" w:afterAutospacing="0"/>
                    <w:ind w:left="0" w:right="0"/>
                    <w:jc w:val="center"/>
                  </w:pPr>
                  <w:r>
                    <w:rPr>
                      <w:rFonts w:hint="eastAsia"/>
                      <w:szCs w:val="22"/>
                    </w:rPr>
                    <w:t>25</w:t>
                  </w:r>
                </w:p>
              </w:tc>
              <w:tc>
                <w:tcPr>
                  <w:tcW w:w="655"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lang w:eastAsia="zh-CN"/>
                    </w:rPr>
                    <w:t>4800</w:t>
                  </w:r>
                  <w:r>
                    <w:rPr>
                      <w:szCs w:val="21"/>
                    </w:rPr>
                    <w:t>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300"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rPr>
                    <w:t>11</w:t>
                  </w:r>
                </w:p>
              </w:tc>
              <w:tc>
                <w:tcPr>
                  <w:tcW w:w="94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摇臂钻床</w:t>
                  </w:r>
                </w:p>
              </w:tc>
              <w:tc>
                <w:tcPr>
                  <w:tcW w:w="65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617"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80</w:t>
                  </w:r>
                </w:p>
              </w:tc>
              <w:tc>
                <w:tcPr>
                  <w:tcW w:w="738"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N，15</w:t>
                  </w:r>
                </w:p>
              </w:tc>
              <w:tc>
                <w:tcPr>
                  <w:tcW w:w="472" w:type="pct"/>
                  <w:vMerge w:val="continue"/>
                  <w:vAlign w:val="center"/>
                </w:tcPr>
                <w:p>
                  <w:pPr>
                    <w:keepNext w:val="0"/>
                    <w:keepLines w:val="0"/>
                    <w:suppressLineNumbers w:val="0"/>
                    <w:snapToGrid w:val="0"/>
                    <w:spacing w:before="0" w:beforeAutospacing="0" w:after="0" w:afterAutospacing="0"/>
                    <w:ind w:left="0" w:right="0"/>
                    <w:jc w:val="center"/>
                  </w:pPr>
                </w:p>
              </w:tc>
              <w:tc>
                <w:tcPr>
                  <w:tcW w:w="614" w:type="pct"/>
                  <w:vAlign w:val="center"/>
                </w:tcPr>
                <w:p>
                  <w:pPr>
                    <w:keepNext w:val="0"/>
                    <w:keepLines w:val="0"/>
                    <w:suppressLineNumbers w:val="0"/>
                    <w:adjustRightInd w:val="0"/>
                    <w:snapToGrid w:val="0"/>
                    <w:spacing w:before="0" w:beforeAutospacing="0" w:after="0" w:afterAutospacing="0"/>
                    <w:ind w:left="0" w:right="0"/>
                    <w:jc w:val="center"/>
                    <w:rPr>
                      <w:szCs w:val="22"/>
                    </w:rPr>
                  </w:pPr>
                  <w:r>
                    <w:rPr>
                      <w:rFonts w:hint="eastAsia"/>
                      <w:szCs w:val="22"/>
                    </w:rPr>
                    <w:t>25</w:t>
                  </w:r>
                </w:p>
              </w:tc>
              <w:tc>
                <w:tcPr>
                  <w:tcW w:w="655"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lang w:eastAsia="zh-CN"/>
                    </w:rPr>
                    <w:t>4800</w:t>
                  </w:r>
                  <w:r>
                    <w:rPr>
                      <w:szCs w:val="21"/>
                    </w:rPr>
                    <w:t>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300"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rPr>
                    <w:t>12</w:t>
                  </w:r>
                </w:p>
              </w:tc>
              <w:tc>
                <w:tcPr>
                  <w:tcW w:w="94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台式钻床</w:t>
                  </w:r>
                </w:p>
              </w:tc>
              <w:tc>
                <w:tcPr>
                  <w:tcW w:w="65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617"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80</w:t>
                  </w:r>
                </w:p>
              </w:tc>
              <w:tc>
                <w:tcPr>
                  <w:tcW w:w="738"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N，15</w:t>
                  </w:r>
                </w:p>
              </w:tc>
              <w:tc>
                <w:tcPr>
                  <w:tcW w:w="472" w:type="pct"/>
                  <w:vMerge w:val="continue"/>
                  <w:vAlign w:val="center"/>
                </w:tcPr>
                <w:p>
                  <w:pPr>
                    <w:keepNext w:val="0"/>
                    <w:keepLines w:val="0"/>
                    <w:suppressLineNumbers w:val="0"/>
                    <w:snapToGrid w:val="0"/>
                    <w:spacing w:before="0" w:beforeAutospacing="0" w:after="0" w:afterAutospacing="0"/>
                    <w:ind w:left="0" w:right="0"/>
                    <w:jc w:val="center"/>
                  </w:pPr>
                </w:p>
              </w:tc>
              <w:tc>
                <w:tcPr>
                  <w:tcW w:w="614" w:type="pct"/>
                  <w:vAlign w:val="center"/>
                </w:tcPr>
                <w:p>
                  <w:pPr>
                    <w:keepNext w:val="0"/>
                    <w:keepLines w:val="0"/>
                    <w:suppressLineNumbers w:val="0"/>
                    <w:snapToGrid w:val="0"/>
                    <w:spacing w:before="0" w:beforeAutospacing="0" w:after="0" w:afterAutospacing="0"/>
                    <w:ind w:left="0" w:right="0"/>
                    <w:jc w:val="center"/>
                    <w:rPr>
                      <w:szCs w:val="22"/>
                    </w:rPr>
                  </w:pPr>
                  <w:r>
                    <w:rPr>
                      <w:rFonts w:hint="eastAsia"/>
                      <w:szCs w:val="22"/>
                    </w:rPr>
                    <w:t>25</w:t>
                  </w:r>
                </w:p>
              </w:tc>
              <w:tc>
                <w:tcPr>
                  <w:tcW w:w="655"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lang w:eastAsia="zh-CN"/>
                    </w:rPr>
                    <w:t>4800</w:t>
                  </w:r>
                  <w:r>
                    <w:rPr>
                      <w:szCs w:val="21"/>
                    </w:rPr>
                    <w:t>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300"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rPr>
                    <w:t>13</w:t>
                  </w:r>
                </w:p>
              </w:tc>
              <w:tc>
                <w:tcPr>
                  <w:tcW w:w="94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车床</w:t>
                  </w:r>
                </w:p>
              </w:tc>
              <w:tc>
                <w:tcPr>
                  <w:tcW w:w="65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2</w:t>
                  </w:r>
                </w:p>
              </w:tc>
              <w:tc>
                <w:tcPr>
                  <w:tcW w:w="617"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85</w:t>
                  </w:r>
                </w:p>
              </w:tc>
              <w:tc>
                <w:tcPr>
                  <w:tcW w:w="738"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N，15</w:t>
                  </w:r>
                </w:p>
              </w:tc>
              <w:tc>
                <w:tcPr>
                  <w:tcW w:w="472" w:type="pct"/>
                  <w:vMerge w:val="continue"/>
                  <w:vAlign w:val="center"/>
                </w:tcPr>
                <w:p>
                  <w:pPr>
                    <w:keepNext w:val="0"/>
                    <w:keepLines w:val="0"/>
                    <w:suppressLineNumbers w:val="0"/>
                    <w:snapToGrid w:val="0"/>
                    <w:spacing w:before="0" w:beforeAutospacing="0" w:after="0" w:afterAutospacing="0"/>
                    <w:ind w:left="0" w:right="0"/>
                    <w:jc w:val="center"/>
                  </w:pPr>
                </w:p>
              </w:tc>
              <w:tc>
                <w:tcPr>
                  <w:tcW w:w="614"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2"/>
                    </w:rPr>
                    <w:t>25</w:t>
                  </w:r>
                </w:p>
              </w:tc>
              <w:tc>
                <w:tcPr>
                  <w:tcW w:w="655"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lang w:eastAsia="zh-CN"/>
                    </w:rPr>
                    <w:t>4800</w:t>
                  </w:r>
                  <w:r>
                    <w:rPr>
                      <w:szCs w:val="21"/>
                    </w:rPr>
                    <w:t>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300"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rPr>
                    <w:t>14</w:t>
                  </w:r>
                </w:p>
              </w:tc>
              <w:tc>
                <w:tcPr>
                  <w:tcW w:w="94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仪表车床</w:t>
                  </w:r>
                </w:p>
              </w:tc>
              <w:tc>
                <w:tcPr>
                  <w:tcW w:w="65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617"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85</w:t>
                  </w:r>
                </w:p>
              </w:tc>
              <w:tc>
                <w:tcPr>
                  <w:tcW w:w="738"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N，15</w:t>
                  </w:r>
                </w:p>
              </w:tc>
              <w:tc>
                <w:tcPr>
                  <w:tcW w:w="472" w:type="pct"/>
                  <w:vMerge w:val="continue"/>
                  <w:vAlign w:val="center"/>
                </w:tcPr>
                <w:p>
                  <w:pPr>
                    <w:keepNext w:val="0"/>
                    <w:keepLines w:val="0"/>
                    <w:suppressLineNumbers w:val="0"/>
                    <w:snapToGrid w:val="0"/>
                    <w:spacing w:before="0" w:beforeAutospacing="0" w:after="0" w:afterAutospacing="0"/>
                    <w:ind w:left="0" w:right="0"/>
                    <w:jc w:val="center"/>
                  </w:pPr>
                </w:p>
              </w:tc>
              <w:tc>
                <w:tcPr>
                  <w:tcW w:w="614" w:type="pct"/>
                  <w:vAlign w:val="center"/>
                </w:tcPr>
                <w:p>
                  <w:pPr>
                    <w:keepNext w:val="0"/>
                    <w:keepLines w:val="0"/>
                    <w:suppressLineNumbers w:val="0"/>
                    <w:snapToGrid w:val="0"/>
                    <w:spacing w:before="0" w:beforeAutospacing="0" w:after="0" w:afterAutospacing="0"/>
                    <w:ind w:left="0" w:right="0"/>
                    <w:jc w:val="center"/>
                  </w:pPr>
                  <w:r>
                    <w:rPr>
                      <w:rFonts w:hint="eastAsia"/>
                      <w:szCs w:val="22"/>
                    </w:rPr>
                    <w:t>25</w:t>
                  </w:r>
                </w:p>
              </w:tc>
              <w:tc>
                <w:tcPr>
                  <w:tcW w:w="655"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lang w:eastAsia="zh-CN"/>
                    </w:rPr>
                    <w:t>4800</w:t>
                  </w:r>
                  <w:r>
                    <w:rPr>
                      <w:szCs w:val="21"/>
                    </w:rPr>
                    <w:t>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300"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rPr>
                    <w:t>15</w:t>
                  </w:r>
                </w:p>
              </w:tc>
              <w:tc>
                <w:tcPr>
                  <w:tcW w:w="94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砂轮机</w:t>
                  </w:r>
                </w:p>
              </w:tc>
              <w:tc>
                <w:tcPr>
                  <w:tcW w:w="65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w:t>
                  </w:r>
                </w:p>
              </w:tc>
              <w:tc>
                <w:tcPr>
                  <w:tcW w:w="617"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80</w:t>
                  </w:r>
                </w:p>
              </w:tc>
              <w:tc>
                <w:tcPr>
                  <w:tcW w:w="738"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N，15</w:t>
                  </w:r>
                </w:p>
              </w:tc>
              <w:tc>
                <w:tcPr>
                  <w:tcW w:w="472" w:type="pct"/>
                  <w:vMerge w:val="continue"/>
                  <w:vAlign w:val="center"/>
                </w:tcPr>
                <w:p>
                  <w:pPr>
                    <w:keepNext w:val="0"/>
                    <w:keepLines w:val="0"/>
                    <w:suppressLineNumbers w:val="0"/>
                    <w:snapToGrid w:val="0"/>
                    <w:spacing w:before="0" w:beforeAutospacing="0" w:after="0" w:afterAutospacing="0"/>
                    <w:ind w:left="0" w:right="0"/>
                    <w:jc w:val="center"/>
                  </w:pPr>
                </w:p>
              </w:tc>
              <w:tc>
                <w:tcPr>
                  <w:tcW w:w="614" w:type="pct"/>
                  <w:vAlign w:val="center"/>
                </w:tcPr>
                <w:p>
                  <w:pPr>
                    <w:keepNext w:val="0"/>
                    <w:keepLines w:val="0"/>
                    <w:suppressLineNumbers w:val="0"/>
                    <w:snapToGrid w:val="0"/>
                    <w:spacing w:before="0" w:beforeAutospacing="0" w:after="0" w:afterAutospacing="0"/>
                    <w:ind w:left="0" w:right="0"/>
                    <w:jc w:val="center"/>
                  </w:pPr>
                  <w:r>
                    <w:rPr>
                      <w:rFonts w:hint="eastAsia"/>
                      <w:szCs w:val="22"/>
                    </w:rPr>
                    <w:t>25</w:t>
                  </w:r>
                </w:p>
              </w:tc>
              <w:tc>
                <w:tcPr>
                  <w:tcW w:w="655"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lang w:eastAsia="zh-CN"/>
                    </w:rPr>
                    <w:t>4800</w:t>
                  </w:r>
                  <w:r>
                    <w:rPr>
                      <w:szCs w:val="21"/>
                    </w:rPr>
                    <w:t>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300"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rPr>
                    <w:t>16</w:t>
                  </w:r>
                </w:p>
              </w:tc>
              <w:tc>
                <w:tcPr>
                  <w:tcW w:w="94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数控机床</w:t>
                  </w:r>
                </w:p>
              </w:tc>
              <w:tc>
                <w:tcPr>
                  <w:tcW w:w="65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10</w:t>
                  </w:r>
                </w:p>
              </w:tc>
              <w:tc>
                <w:tcPr>
                  <w:tcW w:w="617"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85</w:t>
                  </w:r>
                </w:p>
              </w:tc>
              <w:tc>
                <w:tcPr>
                  <w:tcW w:w="738"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N，15</w:t>
                  </w:r>
                </w:p>
              </w:tc>
              <w:tc>
                <w:tcPr>
                  <w:tcW w:w="472" w:type="pct"/>
                  <w:vMerge w:val="continue"/>
                  <w:vAlign w:val="center"/>
                </w:tcPr>
                <w:p>
                  <w:pPr>
                    <w:keepNext w:val="0"/>
                    <w:keepLines w:val="0"/>
                    <w:suppressLineNumbers w:val="0"/>
                    <w:snapToGrid w:val="0"/>
                    <w:spacing w:before="0" w:beforeAutospacing="0" w:after="0" w:afterAutospacing="0"/>
                    <w:ind w:left="0" w:right="0"/>
                    <w:jc w:val="center"/>
                  </w:pPr>
                </w:p>
              </w:tc>
              <w:tc>
                <w:tcPr>
                  <w:tcW w:w="614" w:type="pct"/>
                  <w:vAlign w:val="center"/>
                </w:tcPr>
                <w:p>
                  <w:pPr>
                    <w:keepNext w:val="0"/>
                    <w:keepLines w:val="0"/>
                    <w:suppressLineNumbers w:val="0"/>
                    <w:adjustRightInd w:val="0"/>
                    <w:snapToGrid w:val="0"/>
                    <w:spacing w:before="0" w:beforeAutospacing="0" w:after="0" w:afterAutospacing="0"/>
                    <w:ind w:left="0" w:right="0"/>
                    <w:jc w:val="center"/>
                    <w:rPr>
                      <w:szCs w:val="22"/>
                    </w:rPr>
                  </w:pPr>
                  <w:r>
                    <w:rPr>
                      <w:rFonts w:hint="eastAsia"/>
                      <w:szCs w:val="22"/>
                    </w:rPr>
                    <w:t>25</w:t>
                  </w:r>
                </w:p>
              </w:tc>
              <w:tc>
                <w:tcPr>
                  <w:tcW w:w="655"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lang w:eastAsia="zh-CN"/>
                    </w:rPr>
                    <w:t>4800</w:t>
                  </w:r>
                  <w:r>
                    <w:rPr>
                      <w:szCs w:val="21"/>
                    </w:rPr>
                    <w:t>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300"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rPr>
                    <w:t>17</w:t>
                  </w:r>
                </w:p>
              </w:tc>
              <w:tc>
                <w:tcPr>
                  <w:tcW w:w="94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入轴机</w:t>
                  </w:r>
                </w:p>
              </w:tc>
              <w:tc>
                <w:tcPr>
                  <w:tcW w:w="65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5</w:t>
                  </w:r>
                </w:p>
              </w:tc>
              <w:tc>
                <w:tcPr>
                  <w:tcW w:w="617"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75</w:t>
                  </w:r>
                </w:p>
              </w:tc>
              <w:tc>
                <w:tcPr>
                  <w:tcW w:w="738"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W，5</w:t>
                  </w:r>
                </w:p>
              </w:tc>
              <w:tc>
                <w:tcPr>
                  <w:tcW w:w="472" w:type="pct"/>
                  <w:vMerge w:val="continue"/>
                  <w:vAlign w:val="center"/>
                </w:tcPr>
                <w:p>
                  <w:pPr>
                    <w:keepNext w:val="0"/>
                    <w:keepLines w:val="0"/>
                    <w:suppressLineNumbers w:val="0"/>
                    <w:snapToGrid w:val="0"/>
                    <w:spacing w:before="0" w:beforeAutospacing="0" w:after="0" w:afterAutospacing="0"/>
                    <w:ind w:left="0" w:right="0"/>
                    <w:jc w:val="center"/>
                  </w:pPr>
                </w:p>
              </w:tc>
              <w:tc>
                <w:tcPr>
                  <w:tcW w:w="614" w:type="pct"/>
                  <w:vAlign w:val="center"/>
                </w:tcPr>
                <w:p>
                  <w:pPr>
                    <w:keepNext w:val="0"/>
                    <w:keepLines w:val="0"/>
                    <w:suppressLineNumbers w:val="0"/>
                    <w:snapToGrid w:val="0"/>
                    <w:spacing w:before="0" w:beforeAutospacing="0" w:after="0" w:afterAutospacing="0"/>
                    <w:ind w:left="0" w:right="0"/>
                    <w:jc w:val="center"/>
                    <w:rPr>
                      <w:szCs w:val="22"/>
                    </w:rPr>
                  </w:pPr>
                  <w:r>
                    <w:rPr>
                      <w:rFonts w:hint="eastAsia"/>
                      <w:szCs w:val="22"/>
                    </w:rPr>
                    <w:t>25</w:t>
                  </w:r>
                </w:p>
              </w:tc>
              <w:tc>
                <w:tcPr>
                  <w:tcW w:w="655"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lang w:eastAsia="zh-CN"/>
                    </w:rPr>
                    <w:t>4800</w:t>
                  </w:r>
                  <w:r>
                    <w:rPr>
                      <w:szCs w:val="21"/>
                    </w:rPr>
                    <w:t>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300"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rPr>
                    <w:t>18</w:t>
                  </w:r>
                </w:p>
              </w:tc>
              <w:tc>
                <w:tcPr>
                  <w:tcW w:w="94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注塑机</w:t>
                  </w:r>
                </w:p>
              </w:tc>
              <w:tc>
                <w:tcPr>
                  <w:tcW w:w="65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5</w:t>
                  </w:r>
                </w:p>
              </w:tc>
              <w:tc>
                <w:tcPr>
                  <w:tcW w:w="617"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80</w:t>
                  </w:r>
                </w:p>
              </w:tc>
              <w:tc>
                <w:tcPr>
                  <w:tcW w:w="738"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W，23</w:t>
                  </w:r>
                </w:p>
              </w:tc>
              <w:tc>
                <w:tcPr>
                  <w:tcW w:w="472" w:type="pct"/>
                  <w:vMerge w:val="continue"/>
                  <w:vAlign w:val="center"/>
                </w:tcPr>
                <w:p>
                  <w:pPr>
                    <w:keepNext w:val="0"/>
                    <w:keepLines w:val="0"/>
                    <w:suppressLineNumbers w:val="0"/>
                    <w:snapToGrid w:val="0"/>
                    <w:spacing w:before="0" w:beforeAutospacing="0" w:after="0" w:afterAutospacing="0"/>
                    <w:ind w:left="0" w:right="0"/>
                    <w:jc w:val="center"/>
                  </w:pPr>
                </w:p>
              </w:tc>
              <w:tc>
                <w:tcPr>
                  <w:tcW w:w="614"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2"/>
                    </w:rPr>
                    <w:t>25</w:t>
                  </w:r>
                </w:p>
              </w:tc>
              <w:tc>
                <w:tcPr>
                  <w:tcW w:w="655"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rPr>
                    <w:t>3</w:t>
                  </w:r>
                  <w:r>
                    <w:rPr>
                      <w:rFonts w:hint="eastAsia"/>
                      <w:szCs w:val="21"/>
                      <w:lang w:val="en-US" w:eastAsia="zh-CN"/>
                    </w:rPr>
                    <w:t>0</w:t>
                  </w:r>
                  <w:r>
                    <w:rPr>
                      <w:rFonts w:hint="eastAsia"/>
                      <w:szCs w:val="21"/>
                    </w:rPr>
                    <w:t>00h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300"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rPr>
                    <w:t>19</w:t>
                  </w:r>
                </w:p>
              </w:tc>
              <w:tc>
                <w:tcPr>
                  <w:tcW w:w="94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烘箱</w:t>
                  </w:r>
                </w:p>
              </w:tc>
              <w:tc>
                <w:tcPr>
                  <w:tcW w:w="65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15</w:t>
                  </w:r>
                </w:p>
              </w:tc>
              <w:tc>
                <w:tcPr>
                  <w:tcW w:w="617"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80</w:t>
                  </w:r>
                </w:p>
              </w:tc>
              <w:tc>
                <w:tcPr>
                  <w:tcW w:w="738"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W，25</w:t>
                  </w:r>
                </w:p>
              </w:tc>
              <w:tc>
                <w:tcPr>
                  <w:tcW w:w="472" w:type="pct"/>
                  <w:vMerge w:val="continue"/>
                  <w:vAlign w:val="center"/>
                </w:tcPr>
                <w:p>
                  <w:pPr>
                    <w:keepNext w:val="0"/>
                    <w:keepLines w:val="0"/>
                    <w:suppressLineNumbers w:val="0"/>
                    <w:snapToGrid w:val="0"/>
                    <w:spacing w:before="0" w:beforeAutospacing="0" w:after="0" w:afterAutospacing="0"/>
                    <w:ind w:left="0" w:right="0"/>
                    <w:jc w:val="center"/>
                  </w:pPr>
                </w:p>
              </w:tc>
              <w:tc>
                <w:tcPr>
                  <w:tcW w:w="614" w:type="pct"/>
                  <w:vAlign w:val="center"/>
                </w:tcPr>
                <w:p>
                  <w:pPr>
                    <w:keepNext w:val="0"/>
                    <w:keepLines w:val="0"/>
                    <w:suppressLineNumbers w:val="0"/>
                    <w:snapToGrid w:val="0"/>
                    <w:spacing w:before="0" w:beforeAutospacing="0" w:after="0" w:afterAutospacing="0"/>
                    <w:ind w:left="0" w:right="0"/>
                    <w:jc w:val="center"/>
                  </w:pPr>
                  <w:r>
                    <w:rPr>
                      <w:rFonts w:hint="eastAsia"/>
                      <w:szCs w:val="22"/>
                    </w:rPr>
                    <w:t>25</w:t>
                  </w:r>
                </w:p>
              </w:tc>
              <w:tc>
                <w:tcPr>
                  <w:tcW w:w="655"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rPr>
                    <w:t>3</w:t>
                  </w:r>
                  <w:r>
                    <w:rPr>
                      <w:rFonts w:hint="eastAsia"/>
                      <w:szCs w:val="21"/>
                      <w:lang w:val="en-US" w:eastAsia="zh-CN"/>
                    </w:rPr>
                    <w:t>0</w:t>
                  </w:r>
                  <w:r>
                    <w:rPr>
                      <w:rFonts w:hint="eastAsia"/>
                      <w:szCs w:val="21"/>
                    </w:rPr>
                    <w:t>00h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300"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rPr>
                    <w:t>20</w:t>
                  </w:r>
                </w:p>
              </w:tc>
              <w:tc>
                <w:tcPr>
                  <w:tcW w:w="94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涂敷机</w:t>
                  </w:r>
                </w:p>
              </w:tc>
              <w:tc>
                <w:tcPr>
                  <w:tcW w:w="65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30</w:t>
                  </w:r>
                </w:p>
              </w:tc>
              <w:tc>
                <w:tcPr>
                  <w:tcW w:w="617"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80</w:t>
                  </w:r>
                </w:p>
              </w:tc>
              <w:tc>
                <w:tcPr>
                  <w:tcW w:w="738"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W，25</w:t>
                  </w:r>
                </w:p>
              </w:tc>
              <w:tc>
                <w:tcPr>
                  <w:tcW w:w="472" w:type="pct"/>
                  <w:vMerge w:val="continue"/>
                  <w:vAlign w:val="center"/>
                </w:tcPr>
                <w:p>
                  <w:pPr>
                    <w:keepNext w:val="0"/>
                    <w:keepLines w:val="0"/>
                    <w:suppressLineNumbers w:val="0"/>
                    <w:snapToGrid w:val="0"/>
                    <w:spacing w:before="0" w:beforeAutospacing="0" w:after="0" w:afterAutospacing="0"/>
                    <w:ind w:left="0" w:right="0"/>
                    <w:jc w:val="center"/>
                  </w:pPr>
                </w:p>
              </w:tc>
              <w:tc>
                <w:tcPr>
                  <w:tcW w:w="614" w:type="pct"/>
                  <w:vAlign w:val="center"/>
                </w:tcPr>
                <w:p>
                  <w:pPr>
                    <w:keepNext w:val="0"/>
                    <w:keepLines w:val="0"/>
                    <w:suppressLineNumbers w:val="0"/>
                    <w:snapToGrid w:val="0"/>
                    <w:spacing w:before="0" w:beforeAutospacing="0" w:after="0" w:afterAutospacing="0"/>
                    <w:ind w:left="0" w:right="0"/>
                    <w:jc w:val="center"/>
                  </w:pPr>
                  <w:r>
                    <w:rPr>
                      <w:rFonts w:hint="eastAsia"/>
                      <w:szCs w:val="22"/>
                    </w:rPr>
                    <w:t>25</w:t>
                  </w:r>
                </w:p>
              </w:tc>
              <w:tc>
                <w:tcPr>
                  <w:tcW w:w="655"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rPr>
                    <w:t>3</w:t>
                  </w:r>
                  <w:r>
                    <w:rPr>
                      <w:rFonts w:hint="eastAsia"/>
                      <w:szCs w:val="21"/>
                      <w:lang w:val="en-US" w:eastAsia="zh-CN"/>
                    </w:rPr>
                    <w:t>0</w:t>
                  </w:r>
                  <w:r>
                    <w:rPr>
                      <w:rFonts w:hint="eastAsia"/>
                      <w:szCs w:val="21"/>
                    </w:rPr>
                    <w:t>00h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300"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rPr>
                    <w:t>21</w:t>
                  </w:r>
                </w:p>
              </w:tc>
              <w:tc>
                <w:tcPr>
                  <w:tcW w:w="945" w:type="pct"/>
                  <w:vAlign w:val="center"/>
                </w:tcPr>
                <w:p>
                  <w:pPr>
                    <w:keepNext w:val="0"/>
                    <w:keepLines w:val="0"/>
                    <w:widowControl/>
                    <w:suppressLineNumbers w:val="0"/>
                    <w:spacing w:before="0" w:beforeAutospacing="0" w:after="0" w:afterAutospacing="0"/>
                    <w:ind w:left="0" w:right="0"/>
                    <w:jc w:val="center"/>
                    <w:rPr>
                      <w:szCs w:val="21"/>
                    </w:rPr>
                  </w:pPr>
                  <w:r>
                    <w:rPr>
                      <w:rFonts w:hint="eastAsia"/>
                      <w:szCs w:val="21"/>
                    </w:rPr>
                    <w:t>空压机</w:t>
                  </w:r>
                </w:p>
              </w:tc>
              <w:tc>
                <w:tcPr>
                  <w:tcW w:w="655" w:type="pct"/>
                  <w:vAlign w:val="center"/>
                </w:tcPr>
                <w:p>
                  <w:pPr>
                    <w:keepNext w:val="0"/>
                    <w:keepLines w:val="0"/>
                    <w:widowControl/>
                    <w:suppressLineNumbers w:val="0"/>
                    <w:spacing w:before="0" w:beforeAutospacing="0" w:after="0" w:afterAutospacing="0"/>
                    <w:ind w:left="0" w:right="0"/>
                    <w:jc w:val="center"/>
                    <w:textAlignment w:val="center"/>
                    <w:rPr>
                      <w:szCs w:val="21"/>
                    </w:rPr>
                  </w:pPr>
                  <w:r>
                    <w:rPr>
                      <w:rFonts w:hint="eastAsia"/>
                      <w:szCs w:val="21"/>
                    </w:rPr>
                    <w:t>3</w:t>
                  </w:r>
                </w:p>
              </w:tc>
              <w:tc>
                <w:tcPr>
                  <w:tcW w:w="617"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85</w:t>
                  </w:r>
                </w:p>
              </w:tc>
              <w:tc>
                <w:tcPr>
                  <w:tcW w:w="738"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W，20</w:t>
                  </w:r>
                </w:p>
              </w:tc>
              <w:tc>
                <w:tcPr>
                  <w:tcW w:w="472" w:type="pct"/>
                  <w:vMerge w:val="continue"/>
                  <w:vAlign w:val="center"/>
                </w:tcPr>
                <w:p>
                  <w:pPr>
                    <w:keepNext w:val="0"/>
                    <w:keepLines w:val="0"/>
                    <w:suppressLineNumbers w:val="0"/>
                    <w:snapToGrid w:val="0"/>
                    <w:spacing w:before="0" w:beforeAutospacing="0" w:after="0" w:afterAutospacing="0"/>
                    <w:ind w:left="0" w:right="0"/>
                    <w:jc w:val="center"/>
                  </w:pPr>
                </w:p>
              </w:tc>
              <w:tc>
                <w:tcPr>
                  <w:tcW w:w="614" w:type="pct"/>
                  <w:vAlign w:val="center"/>
                </w:tcPr>
                <w:p>
                  <w:pPr>
                    <w:keepNext w:val="0"/>
                    <w:keepLines w:val="0"/>
                    <w:suppressLineNumbers w:val="0"/>
                    <w:adjustRightInd w:val="0"/>
                    <w:snapToGrid w:val="0"/>
                    <w:spacing w:before="0" w:beforeAutospacing="0" w:after="0" w:afterAutospacing="0"/>
                    <w:ind w:left="0" w:right="0"/>
                    <w:jc w:val="center"/>
                    <w:rPr>
                      <w:szCs w:val="22"/>
                    </w:rPr>
                  </w:pPr>
                  <w:r>
                    <w:rPr>
                      <w:rFonts w:hint="eastAsia"/>
                      <w:szCs w:val="22"/>
                    </w:rPr>
                    <w:t>25</w:t>
                  </w:r>
                </w:p>
              </w:tc>
              <w:tc>
                <w:tcPr>
                  <w:tcW w:w="655" w:type="pct"/>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lang w:eastAsia="zh-CN"/>
                    </w:rPr>
                    <w:t>4800</w:t>
                  </w:r>
                  <w:r>
                    <w:rPr>
                      <w:rFonts w:hint="eastAsia"/>
                      <w:szCs w:val="21"/>
                    </w:rPr>
                    <w:t>h</w:t>
                  </w:r>
                </w:p>
              </w:tc>
            </w:tr>
          </w:tbl>
          <w:p>
            <w:pPr>
              <w:pStyle w:val="5"/>
              <w:keepNext w:val="0"/>
              <w:keepLines w:val="0"/>
              <w:suppressLineNumbers w:val="0"/>
              <w:adjustRightInd w:val="0"/>
              <w:spacing w:before="0" w:beforeAutospacing="0" w:after="0" w:afterAutospacing="0" w:line="360" w:lineRule="auto"/>
              <w:ind w:left="0" w:right="0" w:firstLine="508" w:firstLineChars="211"/>
              <w:rPr>
                <w:rFonts w:ascii="Times New Roman" w:hAnsi="Times New Roman"/>
                <w:b/>
                <w:sz w:val="24"/>
                <w:szCs w:val="24"/>
              </w:rPr>
            </w:pPr>
            <w:r>
              <w:rPr>
                <w:rFonts w:hint="eastAsia" w:ascii="Times New Roman" w:hAnsi="Times New Roman"/>
                <w:b/>
                <w:sz w:val="24"/>
                <w:szCs w:val="24"/>
              </w:rPr>
              <w:t>（2）</w:t>
            </w:r>
            <w:r>
              <w:rPr>
                <w:rFonts w:ascii="Times New Roman" w:hAnsi="Times New Roman"/>
                <w:b/>
                <w:sz w:val="24"/>
                <w:szCs w:val="24"/>
              </w:rPr>
              <w:t>防治措施</w:t>
            </w:r>
          </w:p>
          <w:p>
            <w:pPr>
              <w:pStyle w:val="5"/>
              <w:keepNext w:val="0"/>
              <w:keepLines w:val="0"/>
              <w:suppressLineNumbers w:val="0"/>
              <w:adjustRightInd w:val="0"/>
              <w:spacing w:before="0" w:beforeAutospacing="0" w:after="0" w:afterAutospacing="0" w:line="360" w:lineRule="auto"/>
              <w:ind w:left="0" w:right="0" w:firstLine="506" w:firstLineChars="211"/>
              <w:rPr>
                <w:rFonts w:ascii="Times New Roman" w:hAnsi="Times New Roman"/>
                <w:sz w:val="24"/>
                <w:szCs w:val="24"/>
              </w:rPr>
            </w:pPr>
            <w:r>
              <w:rPr>
                <w:rFonts w:ascii="Times New Roman" w:hAnsi="Times New Roman"/>
                <w:sz w:val="24"/>
                <w:szCs w:val="24"/>
              </w:rPr>
              <w:t>本项目对各噪声源拟采取减振、厂房隔声的措施，并利用车间的厂房对噪声进行隔声。采取的具体噪声措施如下：</w:t>
            </w:r>
          </w:p>
          <w:p>
            <w:pPr>
              <w:pStyle w:val="5"/>
              <w:keepNext w:val="0"/>
              <w:keepLines w:val="0"/>
              <w:suppressLineNumbers w:val="0"/>
              <w:adjustRightInd w:val="0"/>
              <w:spacing w:before="0" w:beforeAutospacing="0" w:after="0" w:afterAutospacing="0" w:line="360" w:lineRule="auto"/>
              <w:ind w:left="0" w:right="0" w:firstLine="506" w:firstLineChars="211"/>
              <w:rPr>
                <w:rFonts w:ascii="Times New Roman" w:hAnsi="Times New Roman"/>
                <w:sz w:val="24"/>
                <w:szCs w:val="24"/>
              </w:rPr>
            </w:pPr>
            <w:r>
              <w:rPr>
                <w:rFonts w:hint="eastAsia" w:ascii="宋体" w:hAnsi="宋体" w:cs="宋体"/>
                <w:sz w:val="24"/>
                <w:szCs w:val="24"/>
              </w:rPr>
              <w:t>①</w:t>
            </w:r>
            <w:r>
              <w:rPr>
                <w:rFonts w:ascii="Times New Roman" w:hAnsi="Times New Roman"/>
                <w:sz w:val="24"/>
                <w:szCs w:val="24"/>
              </w:rPr>
              <w:t>充分利用厂区建筑物隔声、降噪，有利于减少生产噪声对厂外声环境的影响。</w:t>
            </w:r>
          </w:p>
          <w:p>
            <w:pPr>
              <w:pStyle w:val="5"/>
              <w:keepNext w:val="0"/>
              <w:keepLines w:val="0"/>
              <w:suppressLineNumbers w:val="0"/>
              <w:adjustRightInd w:val="0"/>
              <w:spacing w:before="0" w:beforeAutospacing="0" w:after="0" w:afterAutospacing="0" w:line="360" w:lineRule="auto"/>
              <w:ind w:left="0" w:right="0" w:firstLine="506" w:firstLineChars="211"/>
              <w:rPr>
                <w:rFonts w:ascii="Times New Roman" w:hAnsi="Times New Roman"/>
                <w:sz w:val="24"/>
                <w:szCs w:val="24"/>
              </w:rPr>
            </w:pPr>
            <w:r>
              <w:rPr>
                <w:rFonts w:hint="eastAsia" w:ascii="宋体" w:hAnsi="宋体" w:cs="宋体"/>
                <w:sz w:val="24"/>
                <w:szCs w:val="24"/>
              </w:rPr>
              <w:t>②</w:t>
            </w:r>
            <w:r>
              <w:rPr>
                <w:rFonts w:ascii="Times New Roman" w:hAnsi="Times New Roman"/>
                <w:sz w:val="24"/>
                <w:szCs w:val="24"/>
              </w:rPr>
              <w:t>合理布局，闹静分开，使高噪声设备尽量远离敏感点。</w:t>
            </w:r>
          </w:p>
          <w:p>
            <w:pPr>
              <w:pStyle w:val="5"/>
              <w:keepNext w:val="0"/>
              <w:keepLines w:val="0"/>
              <w:suppressLineNumbers w:val="0"/>
              <w:adjustRightInd w:val="0"/>
              <w:spacing w:before="0" w:beforeAutospacing="0" w:after="0" w:afterAutospacing="0" w:line="360" w:lineRule="auto"/>
              <w:ind w:left="0" w:right="0" w:firstLine="506" w:firstLineChars="211"/>
              <w:rPr>
                <w:rFonts w:ascii="Times New Roman" w:hAnsi="Times New Roman"/>
                <w:sz w:val="24"/>
                <w:szCs w:val="24"/>
              </w:rPr>
            </w:pPr>
            <w:r>
              <w:rPr>
                <w:rFonts w:ascii="Times New Roman" w:hAnsi="Times New Roman"/>
                <w:sz w:val="24"/>
                <w:szCs w:val="24"/>
              </w:rPr>
              <w:fldChar w:fldCharType="begin"/>
            </w:r>
            <w:r>
              <w:rPr>
                <w:rFonts w:ascii="Times New Roman" w:hAnsi="Times New Roman"/>
                <w:sz w:val="24"/>
                <w:szCs w:val="24"/>
              </w:rPr>
              <w:instrText xml:space="preserve"> = 3 \* GB3 \* MERGEFORMAT </w:instrText>
            </w:r>
            <w:r>
              <w:rPr>
                <w:rFonts w:ascii="Times New Roman" w:hAnsi="Times New Roman"/>
                <w:sz w:val="24"/>
                <w:szCs w:val="24"/>
              </w:rPr>
              <w:fldChar w:fldCharType="separate"/>
            </w:r>
            <w:r>
              <w:rPr>
                <w:rFonts w:hint="eastAsia" w:ascii="宋体" w:hAnsi="宋体" w:cs="宋体"/>
                <w:sz w:val="24"/>
                <w:szCs w:val="24"/>
              </w:rPr>
              <w:t>③</w:t>
            </w:r>
            <w:r>
              <w:rPr>
                <w:rFonts w:ascii="Times New Roman" w:hAnsi="Times New Roman"/>
                <w:sz w:val="24"/>
                <w:szCs w:val="24"/>
              </w:rPr>
              <w:fldChar w:fldCharType="end"/>
            </w:r>
            <w:r>
              <w:rPr>
                <w:rFonts w:ascii="Times New Roman" w:hAnsi="Times New Roman"/>
                <w:sz w:val="24"/>
                <w:szCs w:val="24"/>
              </w:rPr>
              <w:t>项目设备应加强日常的维护，确保设备的正常运行，避免产生异常噪声。</w:t>
            </w:r>
          </w:p>
          <w:p>
            <w:pPr>
              <w:keepNext w:val="0"/>
              <w:keepLines w:val="0"/>
              <w:suppressLineNumbers w:val="0"/>
              <w:adjustRightInd w:val="0"/>
              <w:snapToGrid w:val="0"/>
              <w:spacing w:before="0" w:beforeAutospacing="0" w:after="0" w:afterAutospacing="0" w:line="360" w:lineRule="auto"/>
              <w:ind w:left="0" w:right="0" w:firstLine="482" w:firstLineChars="200"/>
              <w:rPr>
                <w:b/>
                <w:sz w:val="24"/>
              </w:rPr>
            </w:pPr>
            <w:r>
              <w:rPr>
                <w:rFonts w:hint="eastAsia"/>
                <w:b/>
                <w:sz w:val="24"/>
              </w:rPr>
              <w:t>（3）达标情况分析</w:t>
            </w:r>
          </w:p>
          <w:p>
            <w:pPr>
              <w:pStyle w:val="5"/>
              <w:keepNext w:val="0"/>
              <w:keepLines w:val="0"/>
              <w:suppressLineNumbers w:val="0"/>
              <w:spacing w:before="0" w:beforeAutospacing="0" w:after="0" w:afterAutospacing="0" w:line="360" w:lineRule="auto"/>
              <w:ind w:left="0" w:right="0" w:firstLine="480" w:firstLineChars="200"/>
              <w:rPr>
                <w:rFonts w:ascii="Times New Roman" w:hAnsi="Times New Roman"/>
                <w:b/>
                <w:bCs/>
                <w:sz w:val="24"/>
              </w:rPr>
            </w:pPr>
            <w:r>
              <w:rPr>
                <w:rFonts w:ascii="Times New Roman" w:hAnsi="Times New Roman"/>
                <w:sz w:val="24"/>
              </w:rPr>
              <w:t>经合理布局、减振、厂房隔声、距离衰减后，项目各厂界噪声预测情况见下表：</w:t>
            </w:r>
          </w:p>
          <w:p>
            <w:pPr>
              <w:keepNext w:val="0"/>
              <w:keepLines w:val="0"/>
              <w:suppressLineNumbers w:val="0"/>
              <w:snapToGrid w:val="0"/>
              <w:spacing w:before="0" w:beforeAutospacing="0" w:after="0" w:afterAutospacing="0"/>
              <w:ind w:left="0" w:right="0"/>
              <w:jc w:val="center"/>
              <w:rPr>
                <w:b/>
                <w:bCs/>
                <w:sz w:val="24"/>
              </w:rPr>
            </w:pPr>
            <w:r>
              <w:rPr>
                <w:b/>
                <w:bCs/>
                <w:sz w:val="24"/>
              </w:rPr>
              <w:t>表4-</w:t>
            </w:r>
            <w:r>
              <w:rPr>
                <w:rFonts w:hint="eastAsia"/>
                <w:b/>
                <w:bCs/>
                <w:sz w:val="24"/>
              </w:rPr>
              <w:t>18</w:t>
            </w:r>
            <w:r>
              <w:rPr>
                <w:b/>
                <w:bCs/>
                <w:sz w:val="24"/>
              </w:rPr>
              <w:t xml:space="preserve"> 本项目各厂界噪声预测结果</w:t>
            </w:r>
            <w:r>
              <w:rPr>
                <w:b/>
                <w:sz w:val="24"/>
              </w:rPr>
              <w:t xml:space="preserve">  dB(A)</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46"/>
              <w:gridCol w:w="512"/>
              <w:gridCol w:w="997"/>
              <w:gridCol w:w="710"/>
              <w:gridCol w:w="864"/>
              <w:gridCol w:w="746"/>
              <w:gridCol w:w="673"/>
              <w:gridCol w:w="746"/>
              <w:gridCol w:w="673"/>
              <w:gridCol w:w="746"/>
              <w:gridCol w:w="66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37" w:hRule="atLeast"/>
                <w:jc w:val="center"/>
              </w:trPr>
              <w:tc>
                <w:tcPr>
                  <w:tcW w:w="517" w:type="pct"/>
                  <w:vMerge w:val="restart"/>
                  <w:tcMar>
                    <w:left w:w="0" w:type="dxa"/>
                    <w:right w:w="0" w:type="dxa"/>
                  </w:tcMar>
                  <w:vAlign w:val="center"/>
                </w:tcPr>
                <w:p>
                  <w:pPr>
                    <w:keepNext w:val="0"/>
                    <w:keepLines w:val="0"/>
                    <w:suppressLineNumbers w:val="0"/>
                    <w:spacing w:before="0" w:beforeAutospacing="0" w:after="0" w:afterAutospacing="0"/>
                    <w:ind w:left="0" w:right="0"/>
                    <w:jc w:val="center"/>
                    <w:rPr>
                      <w:b/>
                      <w:szCs w:val="21"/>
                    </w:rPr>
                  </w:pPr>
                  <w:r>
                    <w:rPr>
                      <w:b/>
                      <w:szCs w:val="21"/>
                    </w:rPr>
                    <w:t>目标</w:t>
                  </w:r>
                </w:p>
              </w:tc>
              <w:tc>
                <w:tcPr>
                  <w:tcW w:w="313" w:type="pct"/>
                  <w:vMerge w:val="restart"/>
                  <w:tcMar>
                    <w:left w:w="0" w:type="dxa"/>
                    <w:right w:w="0" w:type="dxa"/>
                  </w:tcMar>
                  <w:vAlign w:val="center"/>
                </w:tcPr>
                <w:p>
                  <w:pPr>
                    <w:keepNext w:val="0"/>
                    <w:keepLines w:val="0"/>
                    <w:suppressLineNumbers w:val="0"/>
                    <w:spacing w:before="0" w:beforeAutospacing="0" w:after="0" w:afterAutospacing="0"/>
                    <w:ind w:left="0" w:right="0"/>
                    <w:jc w:val="center"/>
                    <w:rPr>
                      <w:b/>
                      <w:szCs w:val="21"/>
                    </w:rPr>
                  </w:pPr>
                  <w:r>
                    <w:rPr>
                      <w:b/>
                      <w:szCs w:val="21"/>
                    </w:rPr>
                    <w:t>混合噪声源强</w:t>
                  </w:r>
                </w:p>
              </w:tc>
              <w:tc>
                <w:tcPr>
                  <w:tcW w:w="609" w:type="pct"/>
                  <w:vMerge w:val="restart"/>
                  <w:tcMar>
                    <w:left w:w="0" w:type="dxa"/>
                    <w:right w:w="0" w:type="dxa"/>
                  </w:tcMar>
                  <w:vAlign w:val="center"/>
                </w:tcPr>
                <w:p>
                  <w:pPr>
                    <w:keepNext w:val="0"/>
                    <w:keepLines w:val="0"/>
                    <w:suppressLineNumbers w:val="0"/>
                    <w:spacing w:before="0" w:beforeAutospacing="0" w:after="0" w:afterAutospacing="0"/>
                    <w:ind w:left="0" w:right="0"/>
                    <w:jc w:val="center"/>
                    <w:rPr>
                      <w:b/>
                      <w:szCs w:val="21"/>
                    </w:rPr>
                  </w:pPr>
                  <w:r>
                    <w:rPr>
                      <w:b/>
                      <w:szCs w:val="21"/>
                    </w:rPr>
                    <w:t>声源到评价点距离（m）</w:t>
                  </w:r>
                </w:p>
              </w:tc>
              <w:tc>
                <w:tcPr>
                  <w:tcW w:w="434" w:type="pct"/>
                  <w:vMerge w:val="restart"/>
                  <w:tcMar>
                    <w:left w:w="0" w:type="dxa"/>
                    <w:right w:w="0" w:type="dxa"/>
                  </w:tcMar>
                  <w:vAlign w:val="center"/>
                </w:tcPr>
                <w:p>
                  <w:pPr>
                    <w:keepNext w:val="0"/>
                    <w:keepLines w:val="0"/>
                    <w:suppressLineNumbers w:val="0"/>
                    <w:spacing w:before="0" w:beforeAutospacing="0" w:after="0" w:afterAutospacing="0"/>
                    <w:ind w:left="0" w:right="0"/>
                    <w:jc w:val="center"/>
                    <w:rPr>
                      <w:b/>
                      <w:szCs w:val="21"/>
                    </w:rPr>
                  </w:pPr>
                  <w:r>
                    <w:rPr>
                      <w:b/>
                      <w:szCs w:val="21"/>
                    </w:rPr>
                    <w:t>几何发散衰减</w:t>
                  </w:r>
                </w:p>
              </w:tc>
              <w:tc>
                <w:tcPr>
                  <w:tcW w:w="528" w:type="pct"/>
                  <w:vMerge w:val="restart"/>
                  <w:tcMar>
                    <w:left w:w="0" w:type="dxa"/>
                    <w:right w:w="0" w:type="dxa"/>
                  </w:tcMar>
                  <w:vAlign w:val="center"/>
                </w:tcPr>
                <w:p>
                  <w:pPr>
                    <w:keepNext w:val="0"/>
                    <w:keepLines w:val="0"/>
                    <w:suppressLineNumbers w:val="0"/>
                    <w:spacing w:before="0" w:beforeAutospacing="0" w:after="0" w:afterAutospacing="0"/>
                    <w:ind w:left="0" w:right="0"/>
                    <w:jc w:val="center"/>
                    <w:rPr>
                      <w:b/>
                      <w:szCs w:val="21"/>
                    </w:rPr>
                  </w:pPr>
                  <w:r>
                    <w:rPr>
                      <w:b/>
                      <w:szCs w:val="21"/>
                    </w:rPr>
                    <w:t>车间噪声贡献值</w:t>
                  </w:r>
                </w:p>
              </w:tc>
              <w:tc>
                <w:tcPr>
                  <w:tcW w:w="866" w:type="pct"/>
                  <w:gridSpan w:val="2"/>
                  <w:tcMar>
                    <w:left w:w="0" w:type="dxa"/>
                    <w:right w:w="0" w:type="dxa"/>
                  </w:tcMar>
                  <w:vAlign w:val="center"/>
                </w:tcPr>
                <w:p>
                  <w:pPr>
                    <w:keepNext w:val="0"/>
                    <w:keepLines w:val="0"/>
                    <w:suppressLineNumbers w:val="0"/>
                    <w:spacing w:before="0" w:beforeAutospacing="0" w:after="0" w:afterAutospacing="0"/>
                    <w:ind w:left="0" w:right="0"/>
                    <w:jc w:val="center"/>
                    <w:rPr>
                      <w:b/>
                      <w:szCs w:val="21"/>
                    </w:rPr>
                  </w:pPr>
                  <w:r>
                    <w:rPr>
                      <w:b/>
                      <w:szCs w:val="21"/>
                    </w:rPr>
                    <w:t>本底值</w:t>
                  </w:r>
                </w:p>
              </w:tc>
              <w:tc>
                <w:tcPr>
                  <w:tcW w:w="866" w:type="pct"/>
                  <w:gridSpan w:val="2"/>
                  <w:tcMar>
                    <w:left w:w="0" w:type="dxa"/>
                    <w:right w:w="0" w:type="dxa"/>
                  </w:tcMar>
                  <w:vAlign w:val="center"/>
                </w:tcPr>
                <w:p>
                  <w:pPr>
                    <w:keepNext w:val="0"/>
                    <w:keepLines w:val="0"/>
                    <w:suppressLineNumbers w:val="0"/>
                    <w:spacing w:before="0" w:beforeAutospacing="0" w:after="0" w:afterAutospacing="0"/>
                    <w:ind w:left="0" w:right="0"/>
                    <w:jc w:val="center"/>
                    <w:rPr>
                      <w:b/>
                      <w:szCs w:val="21"/>
                    </w:rPr>
                  </w:pPr>
                  <w:r>
                    <w:rPr>
                      <w:b/>
                      <w:szCs w:val="21"/>
                    </w:rPr>
                    <w:t>预测值</w:t>
                  </w:r>
                </w:p>
              </w:tc>
              <w:tc>
                <w:tcPr>
                  <w:tcW w:w="866" w:type="pct"/>
                  <w:gridSpan w:val="2"/>
                  <w:tcMar>
                    <w:left w:w="0" w:type="dxa"/>
                    <w:right w:w="0" w:type="dxa"/>
                  </w:tcMar>
                  <w:vAlign w:val="center"/>
                </w:tcPr>
                <w:p>
                  <w:pPr>
                    <w:keepNext w:val="0"/>
                    <w:keepLines w:val="0"/>
                    <w:suppressLineNumbers w:val="0"/>
                    <w:spacing w:before="0" w:beforeAutospacing="0" w:after="0" w:afterAutospacing="0"/>
                    <w:ind w:left="0" w:right="0"/>
                    <w:jc w:val="center"/>
                    <w:rPr>
                      <w:b/>
                      <w:szCs w:val="21"/>
                    </w:rPr>
                  </w:pPr>
                  <w:r>
                    <w:rPr>
                      <w:b/>
                      <w:szCs w:val="21"/>
                    </w:rPr>
                    <w:t>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17" w:hRule="atLeast"/>
                <w:jc w:val="center"/>
              </w:trPr>
              <w:tc>
                <w:tcPr>
                  <w:tcW w:w="517" w:type="pct"/>
                  <w:vMerge w:val="continue"/>
                  <w:tcMar>
                    <w:left w:w="0" w:type="dxa"/>
                    <w:right w:w="0" w:type="dxa"/>
                  </w:tcMar>
                  <w:vAlign w:val="center"/>
                </w:tcPr>
                <w:p>
                  <w:pPr>
                    <w:keepNext w:val="0"/>
                    <w:keepLines w:val="0"/>
                    <w:suppressLineNumbers w:val="0"/>
                    <w:spacing w:before="0" w:beforeAutospacing="0" w:after="0" w:afterAutospacing="0"/>
                    <w:ind w:left="0" w:right="0"/>
                    <w:jc w:val="center"/>
                    <w:rPr>
                      <w:b/>
                      <w:szCs w:val="21"/>
                      <w:highlight w:val="yellow"/>
                    </w:rPr>
                  </w:pPr>
                </w:p>
              </w:tc>
              <w:tc>
                <w:tcPr>
                  <w:tcW w:w="313" w:type="pct"/>
                  <w:vMerge w:val="continue"/>
                  <w:tcMar>
                    <w:left w:w="0" w:type="dxa"/>
                    <w:right w:w="0" w:type="dxa"/>
                  </w:tcMar>
                  <w:vAlign w:val="center"/>
                </w:tcPr>
                <w:p>
                  <w:pPr>
                    <w:keepNext w:val="0"/>
                    <w:keepLines w:val="0"/>
                    <w:suppressLineNumbers w:val="0"/>
                    <w:spacing w:before="0" w:beforeAutospacing="0" w:after="0" w:afterAutospacing="0"/>
                    <w:ind w:left="0" w:right="0"/>
                    <w:jc w:val="center"/>
                    <w:rPr>
                      <w:b/>
                      <w:szCs w:val="21"/>
                      <w:highlight w:val="yellow"/>
                    </w:rPr>
                  </w:pPr>
                </w:p>
              </w:tc>
              <w:tc>
                <w:tcPr>
                  <w:tcW w:w="609" w:type="pct"/>
                  <w:vMerge w:val="continue"/>
                  <w:tcMar>
                    <w:left w:w="0" w:type="dxa"/>
                    <w:right w:w="0" w:type="dxa"/>
                  </w:tcMar>
                  <w:vAlign w:val="center"/>
                </w:tcPr>
                <w:p>
                  <w:pPr>
                    <w:keepNext w:val="0"/>
                    <w:keepLines w:val="0"/>
                    <w:suppressLineNumbers w:val="0"/>
                    <w:spacing w:before="0" w:beforeAutospacing="0" w:after="0" w:afterAutospacing="0"/>
                    <w:ind w:left="0" w:right="0"/>
                    <w:jc w:val="center"/>
                    <w:rPr>
                      <w:b/>
                      <w:szCs w:val="21"/>
                      <w:highlight w:val="yellow"/>
                    </w:rPr>
                  </w:pPr>
                </w:p>
              </w:tc>
              <w:tc>
                <w:tcPr>
                  <w:tcW w:w="434" w:type="pct"/>
                  <w:vMerge w:val="continue"/>
                  <w:tcMar>
                    <w:left w:w="0" w:type="dxa"/>
                    <w:right w:w="0" w:type="dxa"/>
                  </w:tcMar>
                  <w:vAlign w:val="center"/>
                </w:tcPr>
                <w:p>
                  <w:pPr>
                    <w:keepNext w:val="0"/>
                    <w:keepLines w:val="0"/>
                    <w:suppressLineNumbers w:val="0"/>
                    <w:spacing w:before="0" w:beforeAutospacing="0" w:after="0" w:afterAutospacing="0"/>
                    <w:ind w:left="0" w:right="0"/>
                    <w:jc w:val="center"/>
                    <w:rPr>
                      <w:b/>
                      <w:szCs w:val="21"/>
                      <w:highlight w:val="yellow"/>
                    </w:rPr>
                  </w:pPr>
                </w:p>
              </w:tc>
              <w:tc>
                <w:tcPr>
                  <w:tcW w:w="528" w:type="pct"/>
                  <w:vMerge w:val="continue"/>
                  <w:tcMar>
                    <w:left w:w="0" w:type="dxa"/>
                    <w:right w:w="0" w:type="dxa"/>
                  </w:tcMar>
                  <w:vAlign w:val="center"/>
                </w:tcPr>
                <w:p>
                  <w:pPr>
                    <w:keepNext w:val="0"/>
                    <w:keepLines w:val="0"/>
                    <w:suppressLineNumbers w:val="0"/>
                    <w:spacing w:before="0" w:beforeAutospacing="0" w:after="0" w:afterAutospacing="0"/>
                    <w:ind w:left="0" w:right="0"/>
                    <w:jc w:val="center"/>
                    <w:rPr>
                      <w:b/>
                      <w:szCs w:val="21"/>
                      <w:highlight w:val="yellow"/>
                    </w:rPr>
                  </w:pPr>
                </w:p>
              </w:tc>
              <w:tc>
                <w:tcPr>
                  <w:tcW w:w="456" w:type="pct"/>
                  <w:tcMar>
                    <w:left w:w="0" w:type="dxa"/>
                    <w:right w:w="0" w:type="dxa"/>
                  </w:tcMar>
                  <w:vAlign w:val="center"/>
                </w:tcPr>
                <w:p>
                  <w:pPr>
                    <w:keepNext w:val="0"/>
                    <w:keepLines w:val="0"/>
                    <w:suppressLineNumbers w:val="0"/>
                    <w:spacing w:before="0" w:beforeAutospacing="0" w:after="0" w:afterAutospacing="0"/>
                    <w:ind w:left="0" w:right="0"/>
                    <w:jc w:val="center"/>
                    <w:rPr>
                      <w:b/>
                      <w:szCs w:val="21"/>
                    </w:rPr>
                  </w:pPr>
                  <w:r>
                    <w:rPr>
                      <w:b/>
                      <w:szCs w:val="21"/>
                    </w:rPr>
                    <w:t>昼间</w:t>
                  </w:r>
                </w:p>
              </w:tc>
              <w:tc>
                <w:tcPr>
                  <w:tcW w:w="411" w:type="pct"/>
                  <w:tcMar>
                    <w:left w:w="0" w:type="dxa"/>
                    <w:right w:w="0" w:type="dxa"/>
                  </w:tcMar>
                  <w:vAlign w:val="center"/>
                </w:tcPr>
                <w:p>
                  <w:pPr>
                    <w:keepNext w:val="0"/>
                    <w:keepLines w:val="0"/>
                    <w:suppressLineNumbers w:val="0"/>
                    <w:spacing w:before="0" w:beforeAutospacing="0" w:after="0" w:afterAutospacing="0"/>
                    <w:ind w:left="0" w:right="0"/>
                    <w:jc w:val="center"/>
                    <w:rPr>
                      <w:b/>
                      <w:szCs w:val="21"/>
                    </w:rPr>
                  </w:pPr>
                  <w:r>
                    <w:rPr>
                      <w:b/>
                      <w:szCs w:val="21"/>
                    </w:rPr>
                    <w:t>夜间</w:t>
                  </w:r>
                </w:p>
              </w:tc>
              <w:tc>
                <w:tcPr>
                  <w:tcW w:w="456" w:type="pct"/>
                  <w:tcMar>
                    <w:left w:w="0" w:type="dxa"/>
                    <w:right w:w="0" w:type="dxa"/>
                  </w:tcMar>
                  <w:vAlign w:val="center"/>
                </w:tcPr>
                <w:p>
                  <w:pPr>
                    <w:keepNext w:val="0"/>
                    <w:keepLines w:val="0"/>
                    <w:suppressLineNumbers w:val="0"/>
                    <w:spacing w:before="0" w:beforeAutospacing="0" w:after="0" w:afterAutospacing="0"/>
                    <w:ind w:left="0" w:right="0"/>
                    <w:jc w:val="center"/>
                    <w:rPr>
                      <w:b/>
                      <w:szCs w:val="21"/>
                    </w:rPr>
                  </w:pPr>
                  <w:r>
                    <w:rPr>
                      <w:b/>
                      <w:szCs w:val="21"/>
                    </w:rPr>
                    <w:t>昼间</w:t>
                  </w:r>
                </w:p>
              </w:tc>
              <w:tc>
                <w:tcPr>
                  <w:tcW w:w="411" w:type="pct"/>
                  <w:tcMar>
                    <w:left w:w="0" w:type="dxa"/>
                    <w:right w:w="0" w:type="dxa"/>
                  </w:tcMar>
                  <w:vAlign w:val="center"/>
                </w:tcPr>
                <w:p>
                  <w:pPr>
                    <w:keepNext w:val="0"/>
                    <w:keepLines w:val="0"/>
                    <w:suppressLineNumbers w:val="0"/>
                    <w:spacing w:before="0" w:beforeAutospacing="0" w:after="0" w:afterAutospacing="0"/>
                    <w:ind w:left="0" w:right="0"/>
                    <w:jc w:val="center"/>
                    <w:rPr>
                      <w:b/>
                      <w:szCs w:val="21"/>
                    </w:rPr>
                  </w:pPr>
                  <w:r>
                    <w:rPr>
                      <w:b/>
                      <w:szCs w:val="21"/>
                    </w:rPr>
                    <w:t>夜间</w:t>
                  </w:r>
                </w:p>
              </w:tc>
              <w:tc>
                <w:tcPr>
                  <w:tcW w:w="456" w:type="pct"/>
                  <w:tcMar>
                    <w:left w:w="0" w:type="dxa"/>
                    <w:right w:w="0" w:type="dxa"/>
                  </w:tcMar>
                  <w:vAlign w:val="center"/>
                </w:tcPr>
                <w:p>
                  <w:pPr>
                    <w:keepNext w:val="0"/>
                    <w:keepLines w:val="0"/>
                    <w:suppressLineNumbers w:val="0"/>
                    <w:spacing w:before="0" w:beforeAutospacing="0" w:after="0" w:afterAutospacing="0"/>
                    <w:ind w:left="0" w:right="0"/>
                    <w:jc w:val="center"/>
                    <w:rPr>
                      <w:b/>
                      <w:szCs w:val="21"/>
                    </w:rPr>
                  </w:pPr>
                  <w:r>
                    <w:rPr>
                      <w:b/>
                      <w:szCs w:val="21"/>
                    </w:rPr>
                    <w:t>昼间</w:t>
                  </w:r>
                </w:p>
              </w:tc>
              <w:tc>
                <w:tcPr>
                  <w:tcW w:w="411" w:type="pct"/>
                  <w:tcMar>
                    <w:left w:w="0" w:type="dxa"/>
                    <w:right w:w="0" w:type="dxa"/>
                  </w:tcMar>
                  <w:vAlign w:val="center"/>
                </w:tcPr>
                <w:p>
                  <w:pPr>
                    <w:keepNext w:val="0"/>
                    <w:keepLines w:val="0"/>
                    <w:suppressLineNumbers w:val="0"/>
                    <w:spacing w:before="0" w:beforeAutospacing="0" w:after="0" w:afterAutospacing="0"/>
                    <w:ind w:left="0" w:right="0"/>
                    <w:jc w:val="center"/>
                    <w:rPr>
                      <w:b/>
                      <w:szCs w:val="21"/>
                    </w:rPr>
                  </w:pPr>
                  <w:r>
                    <w:rPr>
                      <w:b/>
                      <w:szCs w:val="21"/>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517" w:type="pct"/>
                  <w:tcMar>
                    <w:left w:w="0" w:type="dxa"/>
                    <w:right w:w="0" w:type="dxa"/>
                  </w:tcMar>
                  <w:vAlign w:val="center"/>
                </w:tcPr>
                <w:p>
                  <w:pPr>
                    <w:keepNext w:val="0"/>
                    <w:keepLines w:val="0"/>
                    <w:suppressLineNumbers w:val="0"/>
                    <w:spacing w:before="0" w:beforeAutospacing="0" w:after="0" w:afterAutospacing="0" w:line="300" w:lineRule="exact"/>
                    <w:ind w:left="0" w:right="0"/>
                    <w:jc w:val="center"/>
                    <w:rPr>
                      <w:bCs/>
                      <w:szCs w:val="21"/>
                    </w:rPr>
                  </w:pPr>
                  <w:r>
                    <w:rPr>
                      <w:bCs/>
                      <w:szCs w:val="21"/>
                    </w:rPr>
                    <w:t>东厂界</w:t>
                  </w:r>
                </w:p>
              </w:tc>
              <w:tc>
                <w:tcPr>
                  <w:tcW w:w="313" w:type="pct"/>
                  <w:vMerge w:val="restart"/>
                  <w:tcMar>
                    <w:left w:w="0" w:type="dxa"/>
                    <w:right w:w="0" w:type="dxa"/>
                  </w:tcMar>
                  <w:vAlign w:val="center"/>
                </w:tcPr>
                <w:p>
                  <w:pPr>
                    <w:keepNext w:val="0"/>
                    <w:keepLines w:val="0"/>
                    <w:suppressLineNumbers w:val="0"/>
                    <w:spacing w:before="0" w:beforeAutospacing="0" w:after="0" w:afterAutospacing="0" w:line="300" w:lineRule="exact"/>
                    <w:ind w:left="0" w:right="0"/>
                    <w:jc w:val="center"/>
                    <w:rPr>
                      <w:bCs/>
                      <w:szCs w:val="21"/>
                    </w:rPr>
                  </w:pPr>
                  <w:r>
                    <w:rPr>
                      <w:rFonts w:hint="eastAsia"/>
                      <w:bCs/>
                      <w:szCs w:val="21"/>
                    </w:rPr>
                    <w:t>106.3</w:t>
                  </w:r>
                </w:p>
              </w:tc>
              <w:tc>
                <w:tcPr>
                  <w:tcW w:w="609" w:type="pct"/>
                  <w:tcMar>
                    <w:left w:w="0" w:type="dxa"/>
                    <w:right w:w="0" w:type="dxa"/>
                  </w:tcMar>
                  <w:vAlign w:val="center"/>
                </w:tcPr>
                <w:p>
                  <w:pPr>
                    <w:pStyle w:val="15"/>
                    <w:keepNext w:val="0"/>
                    <w:keepLines w:val="0"/>
                    <w:suppressLineNumbers w:val="0"/>
                    <w:tabs>
                      <w:tab w:val="clear" w:pos="4153"/>
                      <w:tab w:val="clear" w:pos="8306"/>
                    </w:tabs>
                    <w:snapToGrid/>
                    <w:spacing w:before="0" w:beforeAutospacing="0" w:after="0" w:afterAutospacing="0" w:line="300" w:lineRule="exact"/>
                    <w:ind w:left="0" w:right="0"/>
                    <w:rPr>
                      <w:bCs/>
                      <w:sz w:val="21"/>
                      <w:szCs w:val="21"/>
                    </w:rPr>
                  </w:pPr>
                  <w:r>
                    <w:rPr>
                      <w:rFonts w:hint="eastAsia"/>
                      <w:bCs/>
                      <w:sz w:val="21"/>
                      <w:szCs w:val="21"/>
                    </w:rPr>
                    <w:t>110</w:t>
                  </w:r>
                </w:p>
              </w:tc>
              <w:tc>
                <w:tcPr>
                  <w:tcW w:w="434" w:type="pct"/>
                  <w:vAlign w:val="center"/>
                </w:tcPr>
                <w:p>
                  <w:pPr>
                    <w:pStyle w:val="15"/>
                    <w:keepNext w:val="0"/>
                    <w:keepLines w:val="0"/>
                    <w:suppressLineNumbers w:val="0"/>
                    <w:tabs>
                      <w:tab w:val="clear" w:pos="4153"/>
                      <w:tab w:val="clear" w:pos="8306"/>
                    </w:tabs>
                    <w:snapToGrid/>
                    <w:spacing w:before="0" w:beforeAutospacing="0" w:after="0" w:afterAutospacing="0" w:line="300" w:lineRule="exact"/>
                    <w:ind w:left="0" w:right="0"/>
                    <w:rPr>
                      <w:bCs/>
                      <w:sz w:val="21"/>
                      <w:szCs w:val="21"/>
                    </w:rPr>
                  </w:pPr>
                  <w:r>
                    <w:rPr>
                      <w:rFonts w:hint="eastAsia"/>
                      <w:bCs/>
                      <w:sz w:val="21"/>
                      <w:szCs w:val="21"/>
                    </w:rPr>
                    <w:t>40.8</w:t>
                  </w:r>
                </w:p>
              </w:tc>
              <w:tc>
                <w:tcPr>
                  <w:tcW w:w="528" w:type="pct"/>
                  <w:tcMar>
                    <w:left w:w="0" w:type="dxa"/>
                    <w:right w:w="0" w:type="dxa"/>
                  </w:tcMar>
                  <w:vAlign w:val="center"/>
                </w:tcPr>
                <w:p>
                  <w:pPr>
                    <w:pStyle w:val="15"/>
                    <w:keepNext w:val="0"/>
                    <w:keepLines w:val="0"/>
                    <w:suppressLineNumbers w:val="0"/>
                    <w:tabs>
                      <w:tab w:val="clear" w:pos="4153"/>
                      <w:tab w:val="clear" w:pos="8306"/>
                    </w:tabs>
                    <w:snapToGrid/>
                    <w:spacing w:before="0" w:beforeAutospacing="0" w:after="0" w:afterAutospacing="0" w:line="300" w:lineRule="exact"/>
                    <w:ind w:left="0" w:right="0"/>
                    <w:rPr>
                      <w:bCs/>
                      <w:sz w:val="21"/>
                      <w:szCs w:val="21"/>
                    </w:rPr>
                  </w:pPr>
                  <w:r>
                    <w:rPr>
                      <w:rFonts w:hint="eastAsia"/>
                      <w:bCs/>
                      <w:sz w:val="21"/>
                      <w:szCs w:val="21"/>
                    </w:rPr>
                    <w:t>40.5</w:t>
                  </w:r>
                </w:p>
              </w:tc>
              <w:tc>
                <w:tcPr>
                  <w:tcW w:w="456" w:type="pct"/>
                  <w:tcMar>
                    <w:left w:w="0" w:type="dxa"/>
                    <w:right w:w="0" w:type="dxa"/>
                  </w:tcMar>
                  <w:vAlign w:val="center"/>
                </w:tcPr>
                <w:p>
                  <w:pPr>
                    <w:pStyle w:val="15"/>
                    <w:keepNext w:val="0"/>
                    <w:keepLines w:val="0"/>
                    <w:suppressLineNumbers w:val="0"/>
                    <w:tabs>
                      <w:tab w:val="clear" w:pos="4153"/>
                      <w:tab w:val="clear" w:pos="8306"/>
                    </w:tabs>
                    <w:snapToGrid/>
                    <w:spacing w:before="0" w:beforeAutospacing="0" w:after="0" w:afterAutospacing="0" w:line="300" w:lineRule="exact"/>
                    <w:ind w:left="0" w:right="0"/>
                    <w:rPr>
                      <w:bCs/>
                      <w:sz w:val="21"/>
                      <w:szCs w:val="21"/>
                    </w:rPr>
                  </w:pPr>
                  <w:r>
                    <w:rPr>
                      <w:rFonts w:hint="eastAsia"/>
                      <w:bCs/>
                      <w:sz w:val="21"/>
                      <w:szCs w:val="21"/>
                    </w:rPr>
                    <w:t>57</w:t>
                  </w:r>
                </w:p>
              </w:tc>
              <w:tc>
                <w:tcPr>
                  <w:tcW w:w="411" w:type="pct"/>
                  <w:tcMar>
                    <w:left w:w="0" w:type="dxa"/>
                    <w:right w:w="0" w:type="dxa"/>
                  </w:tcMar>
                  <w:vAlign w:val="center"/>
                </w:tcPr>
                <w:p>
                  <w:pPr>
                    <w:pStyle w:val="15"/>
                    <w:keepNext w:val="0"/>
                    <w:keepLines w:val="0"/>
                    <w:suppressLineNumbers w:val="0"/>
                    <w:tabs>
                      <w:tab w:val="clear" w:pos="4153"/>
                      <w:tab w:val="clear" w:pos="8306"/>
                    </w:tabs>
                    <w:snapToGrid/>
                    <w:spacing w:before="0" w:beforeAutospacing="0" w:after="0" w:afterAutospacing="0" w:line="300" w:lineRule="exact"/>
                    <w:ind w:left="0" w:right="0"/>
                    <w:rPr>
                      <w:bCs/>
                      <w:sz w:val="21"/>
                      <w:szCs w:val="21"/>
                    </w:rPr>
                  </w:pPr>
                  <w:r>
                    <w:rPr>
                      <w:rFonts w:hint="eastAsia"/>
                      <w:bCs/>
                      <w:sz w:val="21"/>
                      <w:szCs w:val="21"/>
                    </w:rPr>
                    <w:t>45</w:t>
                  </w:r>
                </w:p>
              </w:tc>
              <w:tc>
                <w:tcPr>
                  <w:tcW w:w="456" w:type="pct"/>
                  <w:tcMar>
                    <w:left w:w="0" w:type="dxa"/>
                    <w:right w:w="0" w:type="dxa"/>
                  </w:tcMar>
                  <w:vAlign w:val="center"/>
                </w:tcPr>
                <w:p>
                  <w:pPr>
                    <w:pStyle w:val="15"/>
                    <w:keepNext w:val="0"/>
                    <w:keepLines w:val="0"/>
                    <w:suppressLineNumbers w:val="0"/>
                    <w:tabs>
                      <w:tab w:val="clear" w:pos="4153"/>
                      <w:tab w:val="clear" w:pos="8306"/>
                    </w:tabs>
                    <w:snapToGrid/>
                    <w:spacing w:before="0" w:beforeAutospacing="0" w:after="0" w:afterAutospacing="0" w:line="300" w:lineRule="exact"/>
                    <w:ind w:left="0" w:right="0"/>
                    <w:rPr>
                      <w:bCs/>
                      <w:sz w:val="21"/>
                      <w:szCs w:val="21"/>
                    </w:rPr>
                  </w:pPr>
                  <w:r>
                    <w:rPr>
                      <w:rFonts w:hint="eastAsia"/>
                      <w:bCs/>
                      <w:sz w:val="21"/>
                      <w:szCs w:val="21"/>
                    </w:rPr>
                    <w:t>57.10</w:t>
                  </w:r>
                </w:p>
              </w:tc>
              <w:tc>
                <w:tcPr>
                  <w:tcW w:w="411" w:type="pct"/>
                  <w:tcMar>
                    <w:left w:w="0" w:type="dxa"/>
                    <w:right w:w="0" w:type="dxa"/>
                  </w:tcMar>
                  <w:vAlign w:val="center"/>
                </w:tcPr>
                <w:p>
                  <w:pPr>
                    <w:pStyle w:val="15"/>
                    <w:keepNext w:val="0"/>
                    <w:keepLines w:val="0"/>
                    <w:suppressLineNumbers w:val="0"/>
                    <w:tabs>
                      <w:tab w:val="clear" w:pos="4153"/>
                      <w:tab w:val="clear" w:pos="8306"/>
                    </w:tabs>
                    <w:snapToGrid/>
                    <w:spacing w:before="0" w:beforeAutospacing="0" w:after="0" w:afterAutospacing="0" w:line="300" w:lineRule="exact"/>
                    <w:ind w:left="0" w:right="0"/>
                    <w:rPr>
                      <w:bCs/>
                      <w:sz w:val="21"/>
                      <w:szCs w:val="21"/>
                    </w:rPr>
                  </w:pPr>
                  <w:r>
                    <w:rPr>
                      <w:rFonts w:hint="eastAsia"/>
                      <w:bCs/>
                      <w:sz w:val="21"/>
                      <w:szCs w:val="21"/>
                    </w:rPr>
                    <w:t>46.32</w:t>
                  </w:r>
                </w:p>
              </w:tc>
              <w:tc>
                <w:tcPr>
                  <w:tcW w:w="456" w:type="pct"/>
                  <w:tcMar>
                    <w:left w:w="0" w:type="dxa"/>
                    <w:right w:w="0" w:type="dxa"/>
                  </w:tcMar>
                  <w:vAlign w:val="center"/>
                </w:tcPr>
                <w:p>
                  <w:pPr>
                    <w:pStyle w:val="15"/>
                    <w:keepNext w:val="0"/>
                    <w:keepLines w:val="0"/>
                    <w:suppressLineNumbers w:val="0"/>
                    <w:tabs>
                      <w:tab w:val="clear" w:pos="4153"/>
                      <w:tab w:val="clear" w:pos="8306"/>
                    </w:tabs>
                    <w:snapToGrid/>
                    <w:spacing w:before="0" w:beforeAutospacing="0" w:after="0" w:afterAutospacing="0" w:line="300" w:lineRule="exact"/>
                    <w:ind w:left="0" w:right="0"/>
                    <w:rPr>
                      <w:bCs/>
                      <w:sz w:val="21"/>
                      <w:szCs w:val="21"/>
                    </w:rPr>
                  </w:pPr>
                  <w:r>
                    <w:rPr>
                      <w:bCs/>
                      <w:sz w:val="21"/>
                      <w:szCs w:val="21"/>
                    </w:rPr>
                    <w:t>60</w:t>
                  </w:r>
                </w:p>
              </w:tc>
              <w:tc>
                <w:tcPr>
                  <w:tcW w:w="411" w:type="pct"/>
                  <w:tcMar>
                    <w:left w:w="0" w:type="dxa"/>
                    <w:right w:w="0" w:type="dxa"/>
                  </w:tcMar>
                  <w:vAlign w:val="center"/>
                </w:tcPr>
                <w:p>
                  <w:pPr>
                    <w:pStyle w:val="15"/>
                    <w:keepNext w:val="0"/>
                    <w:keepLines w:val="0"/>
                    <w:suppressLineNumbers w:val="0"/>
                    <w:tabs>
                      <w:tab w:val="clear" w:pos="4153"/>
                      <w:tab w:val="clear" w:pos="8306"/>
                    </w:tabs>
                    <w:snapToGrid/>
                    <w:spacing w:before="0" w:beforeAutospacing="0" w:after="0" w:afterAutospacing="0" w:line="300" w:lineRule="exact"/>
                    <w:ind w:left="0" w:right="0"/>
                    <w:rPr>
                      <w:bCs/>
                      <w:sz w:val="21"/>
                      <w:szCs w:val="21"/>
                    </w:rPr>
                  </w:pPr>
                  <w:r>
                    <w:rPr>
                      <w:bCs/>
                      <w:sz w:val="21"/>
                      <w:szCs w:val="21"/>
                    </w:rPr>
                    <w:t>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517" w:type="pct"/>
                  <w:tcMar>
                    <w:left w:w="0" w:type="dxa"/>
                    <w:right w:w="0" w:type="dxa"/>
                  </w:tcMar>
                  <w:vAlign w:val="center"/>
                </w:tcPr>
                <w:p>
                  <w:pPr>
                    <w:keepNext w:val="0"/>
                    <w:keepLines w:val="0"/>
                    <w:suppressLineNumbers w:val="0"/>
                    <w:spacing w:before="0" w:beforeAutospacing="0" w:after="0" w:afterAutospacing="0" w:line="300" w:lineRule="exact"/>
                    <w:ind w:left="0" w:right="0"/>
                    <w:jc w:val="center"/>
                    <w:rPr>
                      <w:bCs/>
                      <w:szCs w:val="21"/>
                    </w:rPr>
                  </w:pPr>
                  <w:r>
                    <w:rPr>
                      <w:bCs/>
                      <w:szCs w:val="21"/>
                    </w:rPr>
                    <w:t>南厂界</w:t>
                  </w:r>
                </w:p>
              </w:tc>
              <w:tc>
                <w:tcPr>
                  <w:tcW w:w="313" w:type="pct"/>
                  <w:vMerge w:val="continue"/>
                  <w:tcMar>
                    <w:left w:w="0" w:type="dxa"/>
                    <w:right w:w="0" w:type="dxa"/>
                  </w:tcMar>
                  <w:vAlign w:val="center"/>
                </w:tcPr>
                <w:p>
                  <w:pPr>
                    <w:keepNext w:val="0"/>
                    <w:keepLines w:val="0"/>
                    <w:suppressLineNumbers w:val="0"/>
                    <w:spacing w:before="0" w:beforeAutospacing="0" w:after="0" w:afterAutospacing="0" w:line="300" w:lineRule="exact"/>
                    <w:ind w:left="0" w:right="0"/>
                    <w:jc w:val="center"/>
                    <w:rPr>
                      <w:bCs/>
                      <w:szCs w:val="21"/>
                    </w:rPr>
                  </w:pPr>
                </w:p>
              </w:tc>
              <w:tc>
                <w:tcPr>
                  <w:tcW w:w="609" w:type="pct"/>
                  <w:tcMar>
                    <w:left w:w="0" w:type="dxa"/>
                    <w:right w:w="0" w:type="dxa"/>
                  </w:tcMar>
                  <w:vAlign w:val="center"/>
                </w:tcPr>
                <w:p>
                  <w:pPr>
                    <w:pStyle w:val="15"/>
                    <w:keepNext w:val="0"/>
                    <w:keepLines w:val="0"/>
                    <w:suppressLineNumbers w:val="0"/>
                    <w:tabs>
                      <w:tab w:val="clear" w:pos="4153"/>
                      <w:tab w:val="clear" w:pos="8306"/>
                    </w:tabs>
                    <w:snapToGrid/>
                    <w:spacing w:before="0" w:beforeAutospacing="0" w:after="0" w:afterAutospacing="0" w:line="300" w:lineRule="exact"/>
                    <w:ind w:left="0" w:right="0"/>
                    <w:rPr>
                      <w:bCs/>
                      <w:sz w:val="21"/>
                      <w:szCs w:val="21"/>
                    </w:rPr>
                  </w:pPr>
                  <w:r>
                    <w:rPr>
                      <w:rFonts w:hint="eastAsia"/>
                      <w:bCs/>
                      <w:sz w:val="21"/>
                      <w:szCs w:val="21"/>
                    </w:rPr>
                    <w:t>100</w:t>
                  </w:r>
                </w:p>
              </w:tc>
              <w:tc>
                <w:tcPr>
                  <w:tcW w:w="434" w:type="pct"/>
                  <w:tcMar>
                    <w:left w:w="28" w:type="dxa"/>
                    <w:right w:w="28" w:type="dxa"/>
                  </w:tcMar>
                  <w:vAlign w:val="center"/>
                </w:tcPr>
                <w:p>
                  <w:pPr>
                    <w:pStyle w:val="15"/>
                    <w:keepNext w:val="0"/>
                    <w:keepLines w:val="0"/>
                    <w:suppressLineNumbers w:val="0"/>
                    <w:tabs>
                      <w:tab w:val="clear" w:pos="4153"/>
                      <w:tab w:val="clear" w:pos="8306"/>
                    </w:tabs>
                    <w:snapToGrid/>
                    <w:spacing w:before="0" w:beforeAutospacing="0" w:after="0" w:afterAutospacing="0" w:line="300" w:lineRule="exact"/>
                    <w:ind w:left="0" w:right="0"/>
                    <w:rPr>
                      <w:bCs/>
                      <w:sz w:val="21"/>
                      <w:szCs w:val="21"/>
                    </w:rPr>
                  </w:pPr>
                  <w:r>
                    <w:rPr>
                      <w:rFonts w:hint="eastAsia"/>
                      <w:bCs/>
                      <w:sz w:val="21"/>
                      <w:szCs w:val="21"/>
                    </w:rPr>
                    <w:t>40.0</w:t>
                  </w:r>
                </w:p>
              </w:tc>
              <w:tc>
                <w:tcPr>
                  <w:tcW w:w="528" w:type="pct"/>
                  <w:tcMar>
                    <w:left w:w="0" w:type="dxa"/>
                    <w:right w:w="0" w:type="dxa"/>
                  </w:tcMar>
                  <w:vAlign w:val="center"/>
                </w:tcPr>
                <w:p>
                  <w:pPr>
                    <w:pStyle w:val="15"/>
                    <w:keepNext w:val="0"/>
                    <w:keepLines w:val="0"/>
                    <w:suppressLineNumbers w:val="0"/>
                    <w:tabs>
                      <w:tab w:val="clear" w:pos="4153"/>
                      <w:tab w:val="clear" w:pos="8306"/>
                    </w:tabs>
                    <w:snapToGrid/>
                    <w:spacing w:before="0" w:beforeAutospacing="0" w:after="0" w:afterAutospacing="0" w:line="300" w:lineRule="exact"/>
                    <w:ind w:left="0" w:right="0"/>
                    <w:rPr>
                      <w:bCs/>
                      <w:sz w:val="21"/>
                      <w:szCs w:val="21"/>
                    </w:rPr>
                  </w:pPr>
                  <w:r>
                    <w:rPr>
                      <w:rFonts w:hint="eastAsia"/>
                      <w:bCs/>
                      <w:sz w:val="21"/>
                      <w:szCs w:val="21"/>
                    </w:rPr>
                    <w:t>41.3</w:t>
                  </w:r>
                </w:p>
              </w:tc>
              <w:tc>
                <w:tcPr>
                  <w:tcW w:w="456" w:type="pct"/>
                  <w:tcMar>
                    <w:left w:w="0" w:type="dxa"/>
                    <w:right w:w="0" w:type="dxa"/>
                  </w:tcMar>
                  <w:vAlign w:val="center"/>
                </w:tcPr>
                <w:p>
                  <w:pPr>
                    <w:pStyle w:val="15"/>
                    <w:keepNext w:val="0"/>
                    <w:keepLines w:val="0"/>
                    <w:suppressLineNumbers w:val="0"/>
                    <w:tabs>
                      <w:tab w:val="clear" w:pos="4153"/>
                      <w:tab w:val="clear" w:pos="8306"/>
                    </w:tabs>
                    <w:snapToGrid/>
                    <w:spacing w:before="0" w:beforeAutospacing="0" w:after="0" w:afterAutospacing="0" w:line="300" w:lineRule="exact"/>
                    <w:ind w:left="0" w:right="0"/>
                    <w:rPr>
                      <w:bCs/>
                      <w:sz w:val="21"/>
                      <w:szCs w:val="21"/>
                    </w:rPr>
                  </w:pPr>
                  <w:r>
                    <w:rPr>
                      <w:rFonts w:hint="eastAsia"/>
                      <w:bCs/>
                      <w:sz w:val="21"/>
                      <w:szCs w:val="21"/>
                    </w:rPr>
                    <w:t>57</w:t>
                  </w:r>
                </w:p>
              </w:tc>
              <w:tc>
                <w:tcPr>
                  <w:tcW w:w="411" w:type="pct"/>
                  <w:tcMar>
                    <w:left w:w="0" w:type="dxa"/>
                    <w:right w:w="0" w:type="dxa"/>
                  </w:tcMar>
                  <w:vAlign w:val="center"/>
                </w:tcPr>
                <w:p>
                  <w:pPr>
                    <w:pStyle w:val="15"/>
                    <w:keepNext w:val="0"/>
                    <w:keepLines w:val="0"/>
                    <w:suppressLineNumbers w:val="0"/>
                    <w:tabs>
                      <w:tab w:val="clear" w:pos="4153"/>
                      <w:tab w:val="clear" w:pos="8306"/>
                    </w:tabs>
                    <w:snapToGrid/>
                    <w:spacing w:before="0" w:beforeAutospacing="0" w:after="0" w:afterAutospacing="0" w:line="300" w:lineRule="exact"/>
                    <w:ind w:left="0" w:right="0"/>
                    <w:rPr>
                      <w:bCs/>
                      <w:sz w:val="21"/>
                      <w:szCs w:val="21"/>
                    </w:rPr>
                  </w:pPr>
                  <w:r>
                    <w:rPr>
                      <w:rFonts w:hint="eastAsia"/>
                      <w:bCs/>
                      <w:sz w:val="21"/>
                      <w:szCs w:val="21"/>
                    </w:rPr>
                    <w:t>45</w:t>
                  </w:r>
                </w:p>
              </w:tc>
              <w:tc>
                <w:tcPr>
                  <w:tcW w:w="456" w:type="pct"/>
                  <w:tcMar>
                    <w:left w:w="0" w:type="dxa"/>
                    <w:right w:w="0" w:type="dxa"/>
                  </w:tcMar>
                  <w:vAlign w:val="center"/>
                </w:tcPr>
                <w:p>
                  <w:pPr>
                    <w:pStyle w:val="15"/>
                    <w:keepNext w:val="0"/>
                    <w:keepLines w:val="0"/>
                    <w:suppressLineNumbers w:val="0"/>
                    <w:tabs>
                      <w:tab w:val="clear" w:pos="4153"/>
                      <w:tab w:val="clear" w:pos="8306"/>
                    </w:tabs>
                    <w:snapToGrid/>
                    <w:spacing w:before="0" w:beforeAutospacing="0" w:after="0" w:afterAutospacing="0" w:line="300" w:lineRule="exact"/>
                    <w:ind w:left="0" w:right="0"/>
                    <w:rPr>
                      <w:bCs/>
                      <w:sz w:val="21"/>
                      <w:szCs w:val="21"/>
                    </w:rPr>
                  </w:pPr>
                  <w:r>
                    <w:rPr>
                      <w:rFonts w:hint="eastAsia"/>
                      <w:bCs/>
                      <w:sz w:val="21"/>
                      <w:szCs w:val="21"/>
                    </w:rPr>
                    <w:t>57.12</w:t>
                  </w:r>
                </w:p>
              </w:tc>
              <w:tc>
                <w:tcPr>
                  <w:tcW w:w="411" w:type="pct"/>
                  <w:tcMar>
                    <w:left w:w="0" w:type="dxa"/>
                    <w:right w:w="0" w:type="dxa"/>
                  </w:tcMar>
                  <w:vAlign w:val="center"/>
                </w:tcPr>
                <w:p>
                  <w:pPr>
                    <w:pStyle w:val="15"/>
                    <w:keepNext w:val="0"/>
                    <w:keepLines w:val="0"/>
                    <w:suppressLineNumbers w:val="0"/>
                    <w:tabs>
                      <w:tab w:val="clear" w:pos="4153"/>
                      <w:tab w:val="clear" w:pos="8306"/>
                    </w:tabs>
                    <w:snapToGrid/>
                    <w:spacing w:before="0" w:beforeAutospacing="0" w:after="0" w:afterAutospacing="0" w:line="300" w:lineRule="exact"/>
                    <w:ind w:left="0" w:right="0"/>
                    <w:rPr>
                      <w:bCs/>
                      <w:sz w:val="21"/>
                      <w:szCs w:val="21"/>
                    </w:rPr>
                  </w:pPr>
                  <w:r>
                    <w:rPr>
                      <w:rFonts w:hint="eastAsia"/>
                      <w:bCs/>
                      <w:sz w:val="21"/>
                      <w:szCs w:val="21"/>
                    </w:rPr>
                    <w:t>46.54</w:t>
                  </w:r>
                </w:p>
              </w:tc>
              <w:tc>
                <w:tcPr>
                  <w:tcW w:w="456" w:type="pct"/>
                  <w:tcMar>
                    <w:left w:w="0" w:type="dxa"/>
                    <w:right w:w="0" w:type="dxa"/>
                  </w:tcMar>
                  <w:vAlign w:val="center"/>
                </w:tcPr>
                <w:p>
                  <w:pPr>
                    <w:pStyle w:val="15"/>
                    <w:keepNext w:val="0"/>
                    <w:keepLines w:val="0"/>
                    <w:suppressLineNumbers w:val="0"/>
                    <w:tabs>
                      <w:tab w:val="clear" w:pos="4153"/>
                      <w:tab w:val="clear" w:pos="8306"/>
                    </w:tabs>
                    <w:snapToGrid/>
                    <w:spacing w:before="0" w:beforeAutospacing="0" w:after="0" w:afterAutospacing="0" w:line="300" w:lineRule="exact"/>
                    <w:ind w:left="0" w:right="0"/>
                    <w:rPr>
                      <w:bCs/>
                      <w:sz w:val="21"/>
                      <w:szCs w:val="21"/>
                    </w:rPr>
                  </w:pPr>
                  <w:r>
                    <w:rPr>
                      <w:bCs/>
                      <w:sz w:val="21"/>
                      <w:szCs w:val="21"/>
                    </w:rPr>
                    <w:t>60</w:t>
                  </w:r>
                </w:p>
              </w:tc>
              <w:tc>
                <w:tcPr>
                  <w:tcW w:w="411" w:type="pct"/>
                  <w:tcMar>
                    <w:left w:w="0" w:type="dxa"/>
                    <w:right w:w="0" w:type="dxa"/>
                  </w:tcMar>
                  <w:vAlign w:val="center"/>
                </w:tcPr>
                <w:p>
                  <w:pPr>
                    <w:pStyle w:val="15"/>
                    <w:keepNext w:val="0"/>
                    <w:keepLines w:val="0"/>
                    <w:suppressLineNumbers w:val="0"/>
                    <w:tabs>
                      <w:tab w:val="clear" w:pos="4153"/>
                      <w:tab w:val="clear" w:pos="8306"/>
                    </w:tabs>
                    <w:snapToGrid/>
                    <w:spacing w:before="0" w:beforeAutospacing="0" w:after="0" w:afterAutospacing="0" w:line="300" w:lineRule="exact"/>
                    <w:ind w:left="0" w:right="0"/>
                    <w:rPr>
                      <w:bCs/>
                      <w:sz w:val="21"/>
                      <w:szCs w:val="21"/>
                    </w:rPr>
                  </w:pPr>
                  <w:r>
                    <w:rPr>
                      <w:bCs/>
                      <w:sz w:val="21"/>
                      <w:szCs w:val="21"/>
                    </w:rPr>
                    <w:t>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517" w:type="pct"/>
                  <w:tcMar>
                    <w:left w:w="0" w:type="dxa"/>
                    <w:right w:w="0" w:type="dxa"/>
                  </w:tcMar>
                  <w:vAlign w:val="center"/>
                </w:tcPr>
                <w:p>
                  <w:pPr>
                    <w:keepNext w:val="0"/>
                    <w:keepLines w:val="0"/>
                    <w:suppressLineNumbers w:val="0"/>
                    <w:spacing w:before="0" w:beforeAutospacing="0" w:after="0" w:afterAutospacing="0" w:line="300" w:lineRule="exact"/>
                    <w:ind w:left="0" w:right="0"/>
                    <w:jc w:val="center"/>
                    <w:rPr>
                      <w:bCs/>
                      <w:szCs w:val="21"/>
                    </w:rPr>
                  </w:pPr>
                  <w:r>
                    <w:rPr>
                      <w:bCs/>
                      <w:szCs w:val="21"/>
                    </w:rPr>
                    <w:t>西厂界</w:t>
                  </w:r>
                </w:p>
              </w:tc>
              <w:tc>
                <w:tcPr>
                  <w:tcW w:w="313" w:type="pct"/>
                  <w:vMerge w:val="continue"/>
                  <w:tcMar>
                    <w:left w:w="0" w:type="dxa"/>
                    <w:right w:w="0" w:type="dxa"/>
                  </w:tcMar>
                  <w:vAlign w:val="center"/>
                </w:tcPr>
                <w:p>
                  <w:pPr>
                    <w:keepNext w:val="0"/>
                    <w:keepLines w:val="0"/>
                    <w:suppressLineNumbers w:val="0"/>
                    <w:spacing w:before="0" w:beforeAutospacing="0" w:after="0" w:afterAutospacing="0" w:line="300" w:lineRule="exact"/>
                    <w:ind w:left="0" w:right="0"/>
                    <w:jc w:val="center"/>
                    <w:rPr>
                      <w:bCs/>
                      <w:spacing w:val="10"/>
                      <w:szCs w:val="21"/>
                    </w:rPr>
                  </w:pPr>
                </w:p>
              </w:tc>
              <w:tc>
                <w:tcPr>
                  <w:tcW w:w="609" w:type="pct"/>
                  <w:tcMar>
                    <w:left w:w="0" w:type="dxa"/>
                    <w:right w:w="0" w:type="dxa"/>
                  </w:tcMar>
                  <w:vAlign w:val="center"/>
                </w:tcPr>
                <w:p>
                  <w:pPr>
                    <w:pStyle w:val="15"/>
                    <w:keepNext w:val="0"/>
                    <w:keepLines w:val="0"/>
                    <w:suppressLineNumbers w:val="0"/>
                    <w:tabs>
                      <w:tab w:val="clear" w:pos="4153"/>
                      <w:tab w:val="clear" w:pos="8306"/>
                    </w:tabs>
                    <w:snapToGrid/>
                    <w:spacing w:before="0" w:beforeAutospacing="0" w:after="0" w:afterAutospacing="0" w:line="300" w:lineRule="exact"/>
                    <w:ind w:left="0" w:right="0"/>
                    <w:rPr>
                      <w:bCs/>
                      <w:sz w:val="21"/>
                      <w:szCs w:val="21"/>
                    </w:rPr>
                  </w:pPr>
                  <w:r>
                    <w:rPr>
                      <w:rFonts w:hint="eastAsia"/>
                      <w:bCs/>
                      <w:sz w:val="21"/>
                      <w:szCs w:val="21"/>
                    </w:rPr>
                    <w:t>90</w:t>
                  </w:r>
                </w:p>
              </w:tc>
              <w:tc>
                <w:tcPr>
                  <w:tcW w:w="434" w:type="pct"/>
                  <w:tcMar>
                    <w:left w:w="28" w:type="dxa"/>
                    <w:right w:w="28" w:type="dxa"/>
                  </w:tcMar>
                  <w:vAlign w:val="center"/>
                </w:tcPr>
                <w:p>
                  <w:pPr>
                    <w:pStyle w:val="15"/>
                    <w:keepNext w:val="0"/>
                    <w:keepLines w:val="0"/>
                    <w:suppressLineNumbers w:val="0"/>
                    <w:tabs>
                      <w:tab w:val="clear" w:pos="4153"/>
                      <w:tab w:val="clear" w:pos="8306"/>
                    </w:tabs>
                    <w:snapToGrid/>
                    <w:spacing w:before="0" w:beforeAutospacing="0" w:after="0" w:afterAutospacing="0" w:line="300" w:lineRule="exact"/>
                    <w:ind w:left="0" w:right="0"/>
                    <w:rPr>
                      <w:bCs/>
                      <w:sz w:val="21"/>
                      <w:szCs w:val="21"/>
                    </w:rPr>
                  </w:pPr>
                  <w:r>
                    <w:rPr>
                      <w:rFonts w:hint="eastAsia"/>
                      <w:bCs/>
                      <w:sz w:val="21"/>
                      <w:szCs w:val="21"/>
                    </w:rPr>
                    <w:t>39.1</w:t>
                  </w:r>
                </w:p>
              </w:tc>
              <w:tc>
                <w:tcPr>
                  <w:tcW w:w="528" w:type="pct"/>
                  <w:tcMar>
                    <w:left w:w="0" w:type="dxa"/>
                    <w:right w:w="0" w:type="dxa"/>
                  </w:tcMar>
                  <w:vAlign w:val="center"/>
                </w:tcPr>
                <w:p>
                  <w:pPr>
                    <w:pStyle w:val="15"/>
                    <w:keepNext w:val="0"/>
                    <w:keepLines w:val="0"/>
                    <w:suppressLineNumbers w:val="0"/>
                    <w:tabs>
                      <w:tab w:val="clear" w:pos="4153"/>
                      <w:tab w:val="clear" w:pos="8306"/>
                    </w:tabs>
                    <w:snapToGrid/>
                    <w:spacing w:before="0" w:beforeAutospacing="0" w:after="0" w:afterAutospacing="0" w:line="300" w:lineRule="exact"/>
                    <w:ind w:left="0" w:right="0"/>
                    <w:rPr>
                      <w:bCs/>
                      <w:sz w:val="21"/>
                      <w:szCs w:val="21"/>
                    </w:rPr>
                  </w:pPr>
                  <w:r>
                    <w:rPr>
                      <w:rFonts w:hint="eastAsia"/>
                      <w:bCs/>
                      <w:sz w:val="21"/>
                      <w:szCs w:val="21"/>
                    </w:rPr>
                    <w:t>42.2</w:t>
                  </w:r>
                </w:p>
              </w:tc>
              <w:tc>
                <w:tcPr>
                  <w:tcW w:w="456" w:type="pct"/>
                  <w:tcMar>
                    <w:left w:w="0" w:type="dxa"/>
                    <w:right w:w="0" w:type="dxa"/>
                  </w:tcMar>
                  <w:vAlign w:val="center"/>
                </w:tcPr>
                <w:p>
                  <w:pPr>
                    <w:pStyle w:val="15"/>
                    <w:keepNext w:val="0"/>
                    <w:keepLines w:val="0"/>
                    <w:suppressLineNumbers w:val="0"/>
                    <w:tabs>
                      <w:tab w:val="clear" w:pos="4153"/>
                      <w:tab w:val="clear" w:pos="8306"/>
                    </w:tabs>
                    <w:snapToGrid/>
                    <w:spacing w:before="0" w:beforeAutospacing="0" w:after="0" w:afterAutospacing="0" w:line="300" w:lineRule="exact"/>
                    <w:ind w:left="0" w:right="0"/>
                    <w:rPr>
                      <w:bCs/>
                      <w:sz w:val="21"/>
                      <w:szCs w:val="21"/>
                    </w:rPr>
                  </w:pPr>
                  <w:r>
                    <w:rPr>
                      <w:rFonts w:hint="eastAsia"/>
                      <w:bCs/>
                      <w:sz w:val="21"/>
                      <w:szCs w:val="21"/>
                    </w:rPr>
                    <w:t>56</w:t>
                  </w:r>
                </w:p>
              </w:tc>
              <w:tc>
                <w:tcPr>
                  <w:tcW w:w="411" w:type="pct"/>
                  <w:tcMar>
                    <w:left w:w="0" w:type="dxa"/>
                    <w:right w:w="0" w:type="dxa"/>
                  </w:tcMar>
                  <w:vAlign w:val="center"/>
                </w:tcPr>
                <w:p>
                  <w:pPr>
                    <w:pStyle w:val="15"/>
                    <w:keepNext w:val="0"/>
                    <w:keepLines w:val="0"/>
                    <w:suppressLineNumbers w:val="0"/>
                    <w:tabs>
                      <w:tab w:val="clear" w:pos="4153"/>
                      <w:tab w:val="clear" w:pos="8306"/>
                    </w:tabs>
                    <w:snapToGrid/>
                    <w:spacing w:before="0" w:beforeAutospacing="0" w:after="0" w:afterAutospacing="0" w:line="300" w:lineRule="exact"/>
                    <w:ind w:left="0" w:right="0"/>
                    <w:rPr>
                      <w:bCs/>
                      <w:sz w:val="21"/>
                      <w:szCs w:val="21"/>
                    </w:rPr>
                  </w:pPr>
                  <w:r>
                    <w:rPr>
                      <w:rFonts w:hint="eastAsia"/>
                      <w:bCs/>
                      <w:sz w:val="21"/>
                      <w:szCs w:val="21"/>
                    </w:rPr>
                    <w:t>44</w:t>
                  </w:r>
                </w:p>
              </w:tc>
              <w:tc>
                <w:tcPr>
                  <w:tcW w:w="456" w:type="pct"/>
                  <w:tcMar>
                    <w:left w:w="0" w:type="dxa"/>
                    <w:right w:w="0" w:type="dxa"/>
                  </w:tcMar>
                  <w:vAlign w:val="center"/>
                </w:tcPr>
                <w:p>
                  <w:pPr>
                    <w:pStyle w:val="15"/>
                    <w:keepNext w:val="0"/>
                    <w:keepLines w:val="0"/>
                    <w:suppressLineNumbers w:val="0"/>
                    <w:tabs>
                      <w:tab w:val="clear" w:pos="4153"/>
                      <w:tab w:val="clear" w:pos="8306"/>
                    </w:tabs>
                    <w:snapToGrid/>
                    <w:spacing w:before="0" w:beforeAutospacing="0" w:after="0" w:afterAutospacing="0" w:line="300" w:lineRule="exact"/>
                    <w:ind w:left="0" w:right="0"/>
                    <w:rPr>
                      <w:bCs/>
                      <w:sz w:val="21"/>
                      <w:szCs w:val="21"/>
                    </w:rPr>
                  </w:pPr>
                  <w:r>
                    <w:rPr>
                      <w:rFonts w:hint="eastAsia"/>
                      <w:bCs/>
                      <w:sz w:val="21"/>
                      <w:szCs w:val="21"/>
                    </w:rPr>
                    <w:t>56.18</w:t>
                  </w:r>
                </w:p>
              </w:tc>
              <w:tc>
                <w:tcPr>
                  <w:tcW w:w="411" w:type="pct"/>
                  <w:tcMar>
                    <w:left w:w="0" w:type="dxa"/>
                    <w:right w:w="0" w:type="dxa"/>
                  </w:tcMar>
                  <w:vAlign w:val="center"/>
                </w:tcPr>
                <w:p>
                  <w:pPr>
                    <w:pStyle w:val="15"/>
                    <w:keepNext w:val="0"/>
                    <w:keepLines w:val="0"/>
                    <w:suppressLineNumbers w:val="0"/>
                    <w:tabs>
                      <w:tab w:val="clear" w:pos="4153"/>
                      <w:tab w:val="clear" w:pos="8306"/>
                    </w:tabs>
                    <w:snapToGrid/>
                    <w:spacing w:before="0" w:beforeAutospacing="0" w:after="0" w:afterAutospacing="0" w:line="300" w:lineRule="exact"/>
                    <w:ind w:left="0" w:right="0"/>
                    <w:rPr>
                      <w:bCs/>
                      <w:sz w:val="21"/>
                      <w:szCs w:val="21"/>
                    </w:rPr>
                  </w:pPr>
                  <w:r>
                    <w:rPr>
                      <w:rFonts w:hint="eastAsia"/>
                      <w:bCs/>
                      <w:sz w:val="21"/>
                      <w:szCs w:val="21"/>
                    </w:rPr>
                    <w:t>46.20</w:t>
                  </w:r>
                </w:p>
              </w:tc>
              <w:tc>
                <w:tcPr>
                  <w:tcW w:w="456" w:type="pct"/>
                  <w:tcMar>
                    <w:left w:w="0" w:type="dxa"/>
                    <w:right w:w="0" w:type="dxa"/>
                  </w:tcMar>
                  <w:vAlign w:val="center"/>
                </w:tcPr>
                <w:p>
                  <w:pPr>
                    <w:pStyle w:val="15"/>
                    <w:keepNext w:val="0"/>
                    <w:keepLines w:val="0"/>
                    <w:suppressLineNumbers w:val="0"/>
                    <w:tabs>
                      <w:tab w:val="clear" w:pos="4153"/>
                      <w:tab w:val="clear" w:pos="8306"/>
                    </w:tabs>
                    <w:snapToGrid/>
                    <w:spacing w:before="0" w:beforeAutospacing="0" w:after="0" w:afterAutospacing="0" w:line="300" w:lineRule="exact"/>
                    <w:ind w:left="0" w:right="0"/>
                    <w:rPr>
                      <w:bCs/>
                      <w:sz w:val="21"/>
                      <w:szCs w:val="21"/>
                    </w:rPr>
                  </w:pPr>
                  <w:r>
                    <w:rPr>
                      <w:bCs/>
                      <w:sz w:val="21"/>
                      <w:szCs w:val="21"/>
                    </w:rPr>
                    <w:t>60</w:t>
                  </w:r>
                </w:p>
              </w:tc>
              <w:tc>
                <w:tcPr>
                  <w:tcW w:w="411" w:type="pct"/>
                  <w:tcMar>
                    <w:left w:w="0" w:type="dxa"/>
                    <w:right w:w="0" w:type="dxa"/>
                  </w:tcMar>
                  <w:vAlign w:val="center"/>
                </w:tcPr>
                <w:p>
                  <w:pPr>
                    <w:pStyle w:val="15"/>
                    <w:keepNext w:val="0"/>
                    <w:keepLines w:val="0"/>
                    <w:suppressLineNumbers w:val="0"/>
                    <w:tabs>
                      <w:tab w:val="clear" w:pos="4153"/>
                      <w:tab w:val="clear" w:pos="8306"/>
                    </w:tabs>
                    <w:snapToGrid/>
                    <w:spacing w:before="0" w:beforeAutospacing="0" w:after="0" w:afterAutospacing="0" w:line="300" w:lineRule="exact"/>
                    <w:ind w:left="0" w:right="0"/>
                    <w:rPr>
                      <w:bCs/>
                      <w:sz w:val="21"/>
                      <w:szCs w:val="21"/>
                    </w:rPr>
                  </w:pPr>
                  <w:r>
                    <w:rPr>
                      <w:bCs/>
                      <w:sz w:val="21"/>
                      <w:szCs w:val="21"/>
                    </w:rPr>
                    <w:t>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517" w:type="pct"/>
                  <w:tcMar>
                    <w:left w:w="0" w:type="dxa"/>
                    <w:right w:w="0" w:type="dxa"/>
                  </w:tcMar>
                  <w:vAlign w:val="center"/>
                </w:tcPr>
                <w:p>
                  <w:pPr>
                    <w:keepNext w:val="0"/>
                    <w:keepLines w:val="0"/>
                    <w:suppressLineNumbers w:val="0"/>
                    <w:spacing w:before="0" w:beforeAutospacing="0" w:after="0" w:afterAutospacing="0" w:line="300" w:lineRule="exact"/>
                    <w:ind w:left="0" w:right="0"/>
                    <w:jc w:val="center"/>
                    <w:rPr>
                      <w:bCs/>
                      <w:szCs w:val="21"/>
                    </w:rPr>
                  </w:pPr>
                  <w:r>
                    <w:rPr>
                      <w:bCs/>
                      <w:szCs w:val="21"/>
                    </w:rPr>
                    <w:t>北厂界</w:t>
                  </w:r>
                </w:p>
              </w:tc>
              <w:tc>
                <w:tcPr>
                  <w:tcW w:w="313" w:type="pct"/>
                  <w:vMerge w:val="continue"/>
                  <w:tcMar>
                    <w:left w:w="0" w:type="dxa"/>
                    <w:right w:w="0" w:type="dxa"/>
                  </w:tcMar>
                  <w:vAlign w:val="center"/>
                </w:tcPr>
                <w:p>
                  <w:pPr>
                    <w:keepNext w:val="0"/>
                    <w:keepLines w:val="0"/>
                    <w:suppressLineNumbers w:val="0"/>
                    <w:spacing w:before="0" w:beforeAutospacing="0" w:after="0" w:afterAutospacing="0" w:line="300" w:lineRule="exact"/>
                    <w:ind w:left="0" w:right="0"/>
                    <w:jc w:val="center"/>
                    <w:rPr>
                      <w:bCs/>
                      <w:spacing w:val="10"/>
                      <w:szCs w:val="21"/>
                    </w:rPr>
                  </w:pPr>
                </w:p>
              </w:tc>
              <w:tc>
                <w:tcPr>
                  <w:tcW w:w="609" w:type="pct"/>
                  <w:tcMar>
                    <w:left w:w="0" w:type="dxa"/>
                    <w:right w:w="0" w:type="dxa"/>
                  </w:tcMar>
                  <w:vAlign w:val="center"/>
                </w:tcPr>
                <w:p>
                  <w:pPr>
                    <w:pStyle w:val="15"/>
                    <w:keepNext w:val="0"/>
                    <w:keepLines w:val="0"/>
                    <w:suppressLineNumbers w:val="0"/>
                    <w:tabs>
                      <w:tab w:val="clear" w:pos="4153"/>
                      <w:tab w:val="clear" w:pos="8306"/>
                    </w:tabs>
                    <w:snapToGrid/>
                    <w:spacing w:before="0" w:beforeAutospacing="0" w:after="0" w:afterAutospacing="0" w:line="300" w:lineRule="exact"/>
                    <w:ind w:left="0" w:right="0"/>
                    <w:rPr>
                      <w:bCs/>
                      <w:sz w:val="21"/>
                      <w:szCs w:val="21"/>
                    </w:rPr>
                  </w:pPr>
                  <w:r>
                    <w:rPr>
                      <w:rFonts w:hint="eastAsia"/>
                      <w:bCs/>
                      <w:sz w:val="21"/>
                      <w:szCs w:val="21"/>
                    </w:rPr>
                    <w:t>65</w:t>
                  </w:r>
                </w:p>
              </w:tc>
              <w:tc>
                <w:tcPr>
                  <w:tcW w:w="434" w:type="pct"/>
                  <w:tcMar>
                    <w:left w:w="28" w:type="dxa"/>
                    <w:right w:w="28" w:type="dxa"/>
                  </w:tcMar>
                  <w:vAlign w:val="center"/>
                </w:tcPr>
                <w:p>
                  <w:pPr>
                    <w:pStyle w:val="15"/>
                    <w:keepNext w:val="0"/>
                    <w:keepLines w:val="0"/>
                    <w:suppressLineNumbers w:val="0"/>
                    <w:tabs>
                      <w:tab w:val="clear" w:pos="4153"/>
                      <w:tab w:val="clear" w:pos="8306"/>
                    </w:tabs>
                    <w:snapToGrid/>
                    <w:spacing w:before="0" w:beforeAutospacing="0" w:after="0" w:afterAutospacing="0" w:line="300" w:lineRule="exact"/>
                    <w:ind w:left="0" w:right="0"/>
                    <w:rPr>
                      <w:bCs/>
                      <w:sz w:val="21"/>
                      <w:szCs w:val="21"/>
                    </w:rPr>
                  </w:pPr>
                  <w:r>
                    <w:rPr>
                      <w:rFonts w:hint="eastAsia"/>
                      <w:bCs/>
                      <w:sz w:val="21"/>
                      <w:szCs w:val="21"/>
                    </w:rPr>
                    <w:t>36.3</w:t>
                  </w:r>
                </w:p>
              </w:tc>
              <w:tc>
                <w:tcPr>
                  <w:tcW w:w="528" w:type="pct"/>
                  <w:tcMar>
                    <w:left w:w="0" w:type="dxa"/>
                    <w:right w:w="0" w:type="dxa"/>
                  </w:tcMar>
                  <w:vAlign w:val="center"/>
                </w:tcPr>
                <w:p>
                  <w:pPr>
                    <w:pStyle w:val="15"/>
                    <w:keepNext w:val="0"/>
                    <w:keepLines w:val="0"/>
                    <w:suppressLineNumbers w:val="0"/>
                    <w:tabs>
                      <w:tab w:val="clear" w:pos="4153"/>
                      <w:tab w:val="clear" w:pos="8306"/>
                    </w:tabs>
                    <w:snapToGrid/>
                    <w:spacing w:before="0" w:beforeAutospacing="0" w:after="0" w:afterAutospacing="0" w:line="300" w:lineRule="exact"/>
                    <w:ind w:left="0" w:right="0"/>
                    <w:rPr>
                      <w:bCs/>
                      <w:sz w:val="21"/>
                      <w:szCs w:val="21"/>
                    </w:rPr>
                  </w:pPr>
                  <w:r>
                    <w:rPr>
                      <w:rFonts w:hint="eastAsia"/>
                      <w:bCs/>
                      <w:sz w:val="21"/>
                      <w:szCs w:val="21"/>
                    </w:rPr>
                    <w:t>45</w:t>
                  </w:r>
                </w:p>
              </w:tc>
              <w:tc>
                <w:tcPr>
                  <w:tcW w:w="456" w:type="pct"/>
                  <w:tcMar>
                    <w:left w:w="0" w:type="dxa"/>
                    <w:right w:w="0" w:type="dxa"/>
                  </w:tcMar>
                  <w:vAlign w:val="center"/>
                </w:tcPr>
                <w:p>
                  <w:pPr>
                    <w:pStyle w:val="15"/>
                    <w:keepNext w:val="0"/>
                    <w:keepLines w:val="0"/>
                    <w:suppressLineNumbers w:val="0"/>
                    <w:tabs>
                      <w:tab w:val="clear" w:pos="4153"/>
                      <w:tab w:val="clear" w:pos="8306"/>
                    </w:tabs>
                    <w:snapToGrid/>
                    <w:spacing w:before="0" w:beforeAutospacing="0" w:after="0" w:afterAutospacing="0" w:line="300" w:lineRule="exact"/>
                    <w:ind w:left="0" w:right="0"/>
                    <w:rPr>
                      <w:bCs/>
                      <w:sz w:val="21"/>
                      <w:szCs w:val="21"/>
                    </w:rPr>
                  </w:pPr>
                  <w:r>
                    <w:rPr>
                      <w:rFonts w:hint="eastAsia"/>
                      <w:bCs/>
                      <w:sz w:val="21"/>
                      <w:szCs w:val="21"/>
                    </w:rPr>
                    <w:t>56</w:t>
                  </w:r>
                </w:p>
              </w:tc>
              <w:tc>
                <w:tcPr>
                  <w:tcW w:w="411" w:type="pct"/>
                  <w:tcMar>
                    <w:left w:w="0" w:type="dxa"/>
                    <w:right w:w="0" w:type="dxa"/>
                  </w:tcMar>
                  <w:vAlign w:val="center"/>
                </w:tcPr>
                <w:p>
                  <w:pPr>
                    <w:pStyle w:val="15"/>
                    <w:keepNext w:val="0"/>
                    <w:keepLines w:val="0"/>
                    <w:suppressLineNumbers w:val="0"/>
                    <w:tabs>
                      <w:tab w:val="clear" w:pos="4153"/>
                      <w:tab w:val="clear" w:pos="8306"/>
                    </w:tabs>
                    <w:snapToGrid/>
                    <w:spacing w:before="0" w:beforeAutospacing="0" w:after="0" w:afterAutospacing="0" w:line="300" w:lineRule="exact"/>
                    <w:ind w:left="0" w:right="0"/>
                    <w:rPr>
                      <w:bCs/>
                      <w:sz w:val="21"/>
                      <w:szCs w:val="21"/>
                    </w:rPr>
                  </w:pPr>
                  <w:r>
                    <w:rPr>
                      <w:rFonts w:hint="eastAsia"/>
                      <w:bCs/>
                      <w:sz w:val="21"/>
                      <w:szCs w:val="21"/>
                    </w:rPr>
                    <w:t>44</w:t>
                  </w:r>
                </w:p>
              </w:tc>
              <w:tc>
                <w:tcPr>
                  <w:tcW w:w="456" w:type="pct"/>
                  <w:tcMar>
                    <w:left w:w="0" w:type="dxa"/>
                    <w:right w:w="0" w:type="dxa"/>
                  </w:tcMar>
                  <w:vAlign w:val="center"/>
                </w:tcPr>
                <w:p>
                  <w:pPr>
                    <w:pStyle w:val="15"/>
                    <w:keepNext w:val="0"/>
                    <w:keepLines w:val="0"/>
                    <w:suppressLineNumbers w:val="0"/>
                    <w:tabs>
                      <w:tab w:val="clear" w:pos="4153"/>
                      <w:tab w:val="clear" w:pos="8306"/>
                    </w:tabs>
                    <w:snapToGrid/>
                    <w:spacing w:before="0" w:beforeAutospacing="0" w:after="0" w:afterAutospacing="0" w:line="300" w:lineRule="exact"/>
                    <w:ind w:left="0" w:right="0"/>
                    <w:rPr>
                      <w:bCs/>
                      <w:sz w:val="21"/>
                      <w:szCs w:val="21"/>
                    </w:rPr>
                  </w:pPr>
                  <w:r>
                    <w:rPr>
                      <w:rFonts w:hint="eastAsia"/>
                      <w:bCs/>
                      <w:sz w:val="21"/>
                      <w:szCs w:val="21"/>
                    </w:rPr>
                    <w:t>56.33</w:t>
                  </w:r>
                </w:p>
              </w:tc>
              <w:tc>
                <w:tcPr>
                  <w:tcW w:w="411" w:type="pct"/>
                  <w:tcMar>
                    <w:left w:w="0" w:type="dxa"/>
                    <w:right w:w="0" w:type="dxa"/>
                  </w:tcMar>
                  <w:vAlign w:val="center"/>
                </w:tcPr>
                <w:p>
                  <w:pPr>
                    <w:pStyle w:val="15"/>
                    <w:keepNext w:val="0"/>
                    <w:keepLines w:val="0"/>
                    <w:suppressLineNumbers w:val="0"/>
                    <w:tabs>
                      <w:tab w:val="clear" w:pos="4153"/>
                      <w:tab w:val="clear" w:pos="8306"/>
                    </w:tabs>
                    <w:snapToGrid/>
                    <w:spacing w:before="0" w:beforeAutospacing="0" w:after="0" w:afterAutospacing="0" w:line="300" w:lineRule="exact"/>
                    <w:ind w:left="0" w:right="0"/>
                    <w:rPr>
                      <w:bCs/>
                      <w:sz w:val="21"/>
                      <w:szCs w:val="21"/>
                    </w:rPr>
                  </w:pPr>
                  <w:r>
                    <w:rPr>
                      <w:rFonts w:hint="eastAsia"/>
                      <w:bCs/>
                      <w:sz w:val="21"/>
                      <w:szCs w:val="21"/>
                    </w:rPr>
                    <w:t>47.54</w:t>
                  </w:r>
                </w:p>
              </w:tc>
              <w:tc>
                <w:tcPr>
                  <w:tcW w:w="456" w:type="pct"/>
                  <w:tcMar>
                    <w:left w:w="0" w:type="dxa"/>
                    <w:right w:w="0" w:type="dxa"/>
                  </w:tcMar>
                  <w:vAlign w:val="center"/>
                </w:tcPr>
                <w:p>
                  <w:pPr>
                    <w:pStyle w:val="15"/>
                    <w:keepNext w:val="0"/>
                    <w:keepLines w:val="0"/>
                    <w:suppressLineNumbers w:val="0"/>
                    <w:tabs>
                      <w:tab w:val="clear" w:pos="4153"/>
                      <w:tab w:val="clear" w:pos="8306"/>
                    </w:tabs>
                    <w:snapToGrid/>
                    <w:spacing w:before="0" w:beforeAutospacing="0" w:after="0" w:afterAutospacing="0" w:line="300" w:lineRule="exact"/>
                    <w:ind w:left="0" w:right="0"/>
                    <w:rPr>
                      <w:bCs/>
                      <w:sz w:val="21"/>
                      <w:szCs w:val="21"/>
                    </w:rPr>
                  </w:pPr>
                  <w:r>
                    <w:rPr>
                      <w:bCs/>
                      <w:sz w:val="21"/>
                      <w:szCs w:val="21"/>
                    </w:rPr>
                    <w:t>60</w:t>
                  </w:r>
                </w:p>
              </w:tc>
              <w:tc>
                <w:tcPr>
                  <w:tcW w:w="411" w:type="pct"/>
                  <w:tcMar>
                    <w:left w:w="0" w:type="dxa"/>
                    <w:right w:w="0" w:type="dxa"/>
                  </w:tcMar>
                  <w:vAlign w:val="center"/>
                </w:tcPr>
                <w:p>
                  <w:pPr>
                    <w:pStyle w:val="15"/>
                    <w:keepNext w:val="0"/>
                    <w:keepLines w:val="0"/>
                    <w:suppressLineNumbers w:val="0"/>
                    <w:tabs>
                      <w:tab w:val="clear" w:pos="4153"/>
                      <w:tab w:val="clear" w:pos="8306"/>
                    </w:tabs>
                    <w:snapToGrid/>
                    <w:spacing w:before="0" w:beforeAutospacing="0" w:after="0" w:afterAutospacing="0" w:line="300" w:lineRule="exact"/>
                    <w:ind w:left="0" w:right="0"/>
                    <w:rPr>
                      <w:bCs/>
                      <w:sz w:val="21"/>
                      <w:szCs w:val="21"/>
                    </w:rPr>
                  </w:pPr>
                  <w:r>
                    <w:rPr>
                      <w:bCs/>
                      <w:sz w:val="21"/>
                      <w:szCs w:val="21"/>
                    </w:rPr>
                    <w:t>50</w:t>
                  </w:r>
                </w:p>
              </w:tc>
            </w:tr>
          </w:tbl>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sz w:val="24"/>
              </w:rPr>
              <w:t>根据上述</w:t>
            </w:r>
            <w:r>
              <w:rPr>
                <w:rFonts w:hint="eastAsia"/>
                <w:sz w:val="24"/>
              </w:rPr>
              <w:t>预测可知</w:t>
            </w:r>
            <w:r>
              <w:rPr>
                <w:sz w:val="24"/>
              </w:rPr>
              <w:t>，本项目厂界噪声满足《</w:t>
            </w:r>
            <w:r>
              <w:rPr>
                <w:bCs/>
                <w:sz w:val="24"/>
              </w:rPr>
              <w:t>工业企业厂界环境噪声排放标准》</w:t>
            </w:r>
            <w:r>
              <w:rPr>
                <w:rFonts w:hint="eastAsia"/>
                <w:bCs/>
                <w:sz w:val="24"/>
                <w:lang w:eastAsia="zh-CN"/>
              </w:rPr>
              <w:t>（</w:t>
            </w:r>
            <w:r>
              <w:rPr>
                <w:bCs/>
                <w:sz w:val="24"/>
              </w:rPr>
              <w:t>GB12348-2008</w:t>
            </w:r>
            <w:r>
              <w:rPr>
                <w:rFonts w:hint="eastAsia"/>
                <w:bCs/>
                <w:sz w:val="24"/>
                <w:lang w:eastAsia="zh-CN"/>
              </w:rPr>
              <w:t>）</w:t>
            </w:r>
            <w:r>
              <w:rPr>
                <w:sz w:val="24"/>
              </w:rPr>
              <w:t>的</w:t>
            </w:r>
            <w:r>
              <w:rPr>
                <w:rFonts w:hint="eastAsia"/>
                <w:sz w:val="24"/>
              </w:rPr>
              <w:t>2</w:t>
            </w:r>
            <w:r>
              <w:rPr>
                <w:sz w:val="24"/>
              </w:rPr>
              <w:t>类区域标准</w:t>
            </w:r>
            <w:r>
              <w:rPr>
                <w:rFonts w:hint="eastAsia"/>
                <w:sz w:val="24"/>
              </w:rPr>
              <w:t>，</w:t>
            </w:r>
            <w:r>
              <w:rPr>
                <w:sz w:val="24"/>
              </w:rPr>
              <w:t>项目正常生产过程中产生的噪声对周边环境影响</w:t>
            </w:r>
            <w:r>
              <w:rPr>
                <w:rFonts w:hint="eastAsia"/>
                <w:sz w:val="24"/>
              </w:rPr>
              <w:t>较</w:t>
            </w:r>
            <w:r>
              <w:rPr>
                <w:sz w:val="24"/>
              </w:rPr>
              <w:t>小，</w:t>
            </w:r>
            <w:r>
              <w:rPr>
                <w:rFonts w:hint="eastAsia"/>
                <w:sz w:val="24"/>
              </w:rPr>
              <w:t>并且距离居民点（本项目最近敏感点为涂</w:t>
            </w:r>
            <w:r>
              <w:rPr>
                <w:rFonts w:hint="eastAsia"/>
                <w:sz w:val="24"/>
                <w:lang w:eastAsia="zh-CN"/>
              </w:rPr>
              <w:t>敷</w:t>
            </w:r>
            <w:r>
              <w:rPr>
                <w:rFonts w:hint="eastAsia"/>
                <w:sz w:val="24"/>
              </w:rPr>
              <w:t>注塑车间东北侧108米处支家头）较远，</w:t>
            </w:r>
            <w:r>
              <w:rPr>
                <w:sz w:val="24"/>
              </w:rPr>
              <w:t>不会造成噪声扰民现象。</w:t>
            </w:r>
          </w:p>
          <w:p>
            <w:pPr>
              <w:keepNext w:val="0"/>
              <w:keepLines w:val="0"/>
              <w:suppressLineNumbers w:val="0"/>
              <w:adjustRightInd w:val="0"/>
              <w:snapToGrid w:val="0"/>
              <w:spacing w:before="0" w:beforeAutospacing="0" w:after="0" w:afterAutospacing="0" w:line="360" w:lineRule="auto"/>
              <w:ind w:left="0" w:right="0" w:firstLine="482" w:firstLineChars="200"/>
              <w:rPr>
                <w:b/>
                <w:sz w:val="24"/>
              </w:rPr>
            </w:pPr>
            <w:r>
              <w:rPr>
                <w:rFonts w:hint="eastAsia"/>
                <w:b/>
                <w:sz w:val="24"/>
              </w:rPr>
              <w:t>（4）噪声监测计划</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rFonts w:hAnsi="宋体"/>
                <w:sz w:val="24"/>
              </w:rPr>
              <w:t>监测点位：厂界四周布设</w:t>
            </w:r>
            <w:r>
              <w:rPr>
                <w:sz w:val="24"/>
              </w:rPr>
              <w:t>4</w:t>
            </w:r>
            <w:r>
              <w:rPr>
                <w:rFonts w:hAnsi="宋体"/>
                <w:sz w:val="24"/>
              </w:rPr>
              <w:t>个点位；</w:t>
            </w:r>
          </w:p>
          <w:p>
            <w:pPr>
              <w:keepNext w:val="0"/>
              <w:keepLines w:val="0"/>
              <w:suppressLineNumbers w:val="0"/>
              <w:adjustRightInd w:val="0"/>
              <w:snapToGrid w:val="0"/>
              <w:spacing w:before="0" w:beforeAutospacing="0" w:after="0" w:afterAutospacing="0" w:line="360" w:lineRule="auto"/>
              <w:ind w:left="0" w:right="0" w:firstLine="480" w:firstLineChars="200"/>
              <w:rPr>
                <w:rFonts w:ascii="宋体" w:hAnsi="宋体" w:cs="宋体"/>
                <w:sz w:val="24"/>
              </w:rPr>
            </w:pPr>
            <w:r>
              <w:rPr>
                <w:rFonts w:hAnsi="宋体"/>
                <w:sz w:val="24"/>
              </w:rPr>
              <w:t>监测频次：按照</w:t>
            </w:r>
            <w:r>
              <w:rPr>
                <w:rFonts w:hint="eastAsia" w:ascii="宋体" w:hAnsi="宋体"/>
                <w:sz w:val="24"/>
              </w:rPr>
              <w:t>《</w:t>
            </w:r>
            <w:r>
              <w:fldChar w:fldCharType="begin"/>
            </w:r>
            <w:r>
              <w:instrText xml:space="preserve"> HYPERLINK "https://www.mee.gov.cn/ywgz/fgbz/bz/bzwb/jcffbz/202001/W020200113417476489912.pdf" </w:instrText>
            </w:r>
            <w:r>
              <w:fldChar w:fldCharType="separate"/>
            </w:r>
            <w:r>
              <w:rPr>
                <w:rFonts w:hint="eastAsia" w:ascii="宋体" w:hAnsi="宋体"/>
                <w:sz w:val="24"/>
              </w:rPr>
              <w:t xml:space="preserve">排污单位自行监测技术指南 </w:t>
            </w:r>
            <w:r>
              <w:rPr>
                <w:rFonts w:hint="eastAsia" w:ascii="宋体" w:hAnsi="宋体"/>
                <w:sz w:val="24"/>
                <w:lang w:eastAsia="zh-CN"/>
              </w:rPr>
              <w:t>总则</w:t>
            </w:r>
            <w:r>
              <w:rPr>
                <w:rFonts w:hint="eastAsia" w:ascii="宋体" w:hAnsi="宋体"/>
                <w:sz w:val="24"/>
              </w:rPr>
              <w:t>》</w:t>
            </w:r>
            <w:r>
              <w:rPr>
                <w:rFonts w:hAnsi="宋体"/>
                <w:sz w:val="24"/>
              </w:rPr>
              <w:t>（</w:t>
            </w:r>
            <w:r>
              <w:rPr>
                <w:sz w:val="24"/>
              </w:rPr>
              <w:t xml:space="preserve">HJ </w:t>
            </w:r>
            <w:r>
              <w:rPr>
                <w:rFonts w:hint="eastAsia"/>
                <w:sz w:val="24"/>
                <w:lang w:val="en-US" w:eastAsia="zh-CN"/>
              </w:rPr>
              <w:t>819</w:t>
            </w:r>
            <w:r>
              <w:rPr>
                <w:sz w:val="24"/>
              </w:rPr>
              <w:t>—20</w:t>
            </w:r>
            <w:r>
              <w:rPr>
                <w:rFonts w:hint="eastAsia"/>
                <w:sz w:val="24"/>
                <w:lang w:val="en-US" w:eastAsia="zh-CN"/>
              </w:rPr>
              <w:t>17</w:t>
            </w:r>
            <w:r>
              <w:rPr>
                <w:rFonts w:hAnsi="宋体"/>
                <w:sz w:val="24"/>
              </w:rPr>
              <w:t>）</w:t>
            </w:r>
            <w:r>
              <w:rPr>
                <w:rFonts w:hAnsi="宋体"/>
                <w:sz w:val="24"/>
              </w:rPr>
              <w:fldChar w:fldCharType="end"/>
            </w:r>
            <w:r>
              <w:rPr>
                <w:rFonts w:hint="eastAsia" w:hAnsi="宋体"/>
                <w:sz w:val="24"/>
                <w:lang w:eastAsia="zh-CN"/>
              </w:rPr>
              <w:t>、</w:t>
            </w:r>
            <w:r>
              <w:rPr>
                <w:rFonts w:hint="eastAsia" w:ascii="宋体" w:hAnsi="宋体"/>
                <w:sz w:val="24"/>
              </w:rPr>
              <w:t>《</w:t>
            </w:r>
            <w:r>
              <w:fldChar w:fldCharType="begin"/>
            </w:r>
            <w:r>
              <w:instrText xml:space="preserve"> HYPERLINK "https://www.mee.gov.cn/ywgz/fgbz/bz/bzwb/jcffbz/202001/W020200113417476489912.pdf" </w:instrText>
            </w:r>
            <w:r>
              <w:fldChar w:fldCharType="separate"/>
            </w:r>
            <w:r>
              <w:rPr>
                <w:rFonts w:hint="eastAsia" w:ascii="宋体" w:hAnsi="宋体"/>
                <w:sz w:val="24"/>
              </w:rPr>
              <w:t>排污单位自行监测技术指南 涂装》</w:t>
            </w:r>
            <w:r>
              <w:rPr>
                <w:rFonts w:hAnsi="宋体"/>
                <w:sz w:val="24"/>
              </w:rPr>
              <w:t>（</w:t>
            </w:r>
            <w:r>
              <w:rPr>
                <w:sz w:val="24"/>
              </w:rPr>
              <w:t>HJ 1086—2020</w:t>
            </w:r>
            <w:r>
              <w:rPr>
                <w:rFonts w:hAnsi="宋体"/>
                <w:sz w:val="24"/>
              </w:rPr>
              <w:t>）</w:t>
            </w:r>
            <w:r>
              <w:rPr>
                <w:rFonts w:hAnsi="宋体"/>
                <w:sz w:val="24"/>
              </w:rPr>
              <w:fldChar w:fldCharType="end"/>
            </w:r>
            <w:r>
              <w:rPr>
                <w:rFonts w:hAnsi="宋体"/>
                <w:sz w:val="24"/>
              </w:rPr>
              <w:t>中相关要求</w:t>
            </w:r>
            <w:r>
              <w:rPr>
                <w:rFonts w:hint="eastAsia" w:ascii="宋体" w:hAnsi="宋体" w:cs="宋体"/>
                <w:sz w:val="24"/>
              </w:rPr>
              <w:t>；</w:t>
            </w:r>
          </w:p>
          <w:p>
            <w:pPr>
              <w:keepNext w:val="0"/>
              <w:keepLines w:val="0"/>
              <w:suppressLineNumbers w:val="0"/>
              <w:spacing w:before="0" w:beforeAutospacing="0" w:after="0" w:afterAutospacing="0" w:line="360" w:lineRule="auto"/>
              <w:ind w:left="0" w:right="0" w:firstLine="480" w:firstLineChars="200"/>
              <w:rPr>
                <w:sz w:val="24"/>
              </w:rPr>
            </w:pPr>
            <w:r>
              <w:rPr>
                <w:rFonts w:hAnsi="宋体"/>
                <w:sz w:val="24"/>
              </w:rPr>
              <w:t>监测因子：</w:t>
            </w:r>
            <w:r>
              <w:rPr>
                <w:rFonts w:hAnsi="宋体"/>
                <w:bCs/>
                <w:sz w:val="24"/>
              </w:rPr>
              <w:t>厂界噪声</w:t>
            </w:r>
            <w:r>
              <w:rPr>
                <w:rFonts w:hAnsi="宋体"/>
                <w:sz w:val="24"/>
              </w:rPr>
              <w:t>昼间</w:t>
            </w:r>
            <w:r>
              <w:rPr>
                <w:rFonts w:hAnsi="宋体"/>
                <w:bCs/>
                <w:sz w:val="24"/>
              </w:rPr>
              <w:t>等效连续</w:t>
            </w:r>
            <w:r>
              <w:rPr>
                <w:bCs/>
                <w:sz w:val="24"/>
              </w:rPr>
              <w:t>A</w:t>
            </w:r>
            <w:r>
              <w:rPr>
                <w:rFonts w:hAnsi="宋体"/>
                <w:bCs/>
                <w:sz w:val="24"/>
              </w:rPr>
              <w:t>声级</w:t>
            </w:r>
            <w:r>
              <w:rPr>
                <w:sz w:val="24"/>
              </w:rPr>
              <w:t>Leq(A)</w:t>
            </w:r>
            <w:r>
              <w:rPr>
                <w:rFonts w:hAnsi="宋体"/>
                <w:sz w:val="24"/>
              </w:rPr>
              <w:t>。</w:t>
            </w:r>
          </w:p>
          <w:p>
            <w:pPr>
              <w:keepNext w:val="0"/>
              <w:keepLines w:val="0"/>
              <w:suppressLineNumbers w:val="0"/>
              <w:spacing w:before="0" w:beforeAutospacing="0" w:after="0" w:afterAutospacing="0" w:line="360" w:lineRule="auto"/>
              <w:ind w:left="0" w:right="0" w:firstLine="480" w:firstLineChars="200"/>
              <w:rPr>
                <w:sz w:val="24"/>
              </w:rPr>
            </w:pPr>
            <w:r>
              <w:rPr>
                <w:rFonts w:hAnsi="宋体"/>
                <w:sz w:val="24"/>
              </w:rPr>
              <w:t>噪声监测位置、监测因子、频率等详见</w:t>
            </w:r>
            <w:r>
              <w:rPr>
                <w:rFonts w:hint="eastAsia" w:hAnsi="宋体"/>
                <w:sz w:val="24"/>
              </w:rPr>
              <w:t>下</w:t>
            </w:r>
            <w:r>
              <w:rPr>
                <w:rFonts w:hAnsi="宋体"/>
                <w:sz w:val="24"/>
              </w:rPr>
              <w:t>表。</w:t>
            </w:r>
          </w:p>
          <w:p>
            <w:pPr>
              <w:pStyle w:val="77"/>
              <w:keepNext w:val="0"/>
              <w:keepLines w:val="0"/>
              <w:suppressLineNumbers w:val="0"/>
              <w:spacing w:before="0" w:beforeLines="0" w:beforeAutospacing="0" w:after="0" w:afterAutospacing="0" w:line="240" w:lineRule="auto"/>
              <w:ind w:left="0" w:right="0" w:firstLine="0" w:firstLineChars="0"/>
              <w:jc w:val="center"/>
              <w:rPr>
                <w:rFonts w:ascii="宋体" w:hAnsi="宋体"/>
                <w:b/>
              </w:rPr>
            </w:pPr>
            <w:r>
              <w:rPr>
                <w:rFonts w:hAnsi="宋体" w:cs="Times New Roman"/>
                <w:b/>
              </w:rPr>
              <w:t>表</w:t>
            </w:r>
            <w:r>
              <w:rPr>
                <w:rFonts w:hint="eastAsia" w:cs="Times New Roman"/>
                <w:b/>
              </w:rPr>
              <w:t>4-19</w:t>
            </w:r>
            <w:r>
              <w:rPr>
                <w:rFonts w:cs="Times New Roman"/>
                <w:b/>
              </w:rPr>
              <w:t xml:space="preserve"> </w:t>
            </w:r>
            <w:r>
              <w:rPr>
                <w:rFonts w:hAnsi="宋体" w:cs="Times New Roman"/>
                <w:b/>
              </w:rPr>
              <w:t>噪声监</w:t>
            </w:r>
            <w:r>
              <w:rPr>
                <w:rFonts w:hint="eastAsia" w:ascii="宋体" w:hAnsi="宋体"/>
                <w:b/>
              </w:rPr>
              <w:t>测因子及频次表</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79"/>
              <w:gridCol w:w="1954"/>
              <w:gridCol w:w="3037"/>
              <w:gridCol w:w="171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4" w:type="pct"/>
                  <w:vAlign w:val="center"/>
                </w:tcPr>
                <w:p>
                  <w:pPr>
                    <w:keepNext w:val="0"/>
                    <w:keepLines w:val="0"/>
                    <w:suppressLineNumbers w:val="0"/>
                    <w:adjustRightInd w:val="0"/>
                    <w:snapToGrid w:val="0"/>
                    <w:spacing w:before="0" w:beforeAutospacing="0" w:after="0" w:afterAutospacing="0"/>
                    <w:ind w:left="0" w:right="0"/>
                    <w:jc w:val="center"/>
                    <w:rPr>
                      <w:b/>
                      <w:szCs w:val="21"/>
                    </w:rPr>
                  </w:pPr>
                  <w:r>
                    <w:rPr>
                      <w:b/>
                      <w:szCs w:val="21"/>
                    </w:rPr>
                    <w:t>污染种类</w:t>
                  </w:r>
                </w:p>
              </w:tc>
              <w:tc>
                <w:tcPr>
                  <w:tcW w:w="1194" w:type="pct"/>
                  <w:vAlign w:val="center"/>
                </w:tcPr>
                <w:p>
                  <w:pPr>
                    <w:keepNext w:val="0"/>
                    <w:keepLines w:val="0"/>
                    <w:suppressLineNumbers w:val="0"/>
                    <w:adjustRightInd w:val="0"/>
                    <w:snapToGrid w:val="0"/>
                    <w:spacing w:before="0" w:beforeAutospacing="0" w:after="0" w:afterAutospacing="0"/>
                    <w:ind w:left="0" w:right="0"/>
                    <w:jc w:val="center"/>
                    <w:rPr>
                      <w:b/>
                      <w:szCs w:val="21"/>
                    </w:rPr>
                  </w:pPr>
                  <w:r>
                    <w:rPr>
                      <w:b/>
                      <w:szCs w:val="21"/>
                    </w:rPr>
                    <w:t>监测点位</w:t>
                  </w:r>
                </w:p>
              </w:tc>
              <w:tc>
                <w:tcPr>
                  <w:tcW w:w="1856" w:type="pct"/>
                  <w:vAlign w:val="center"/>
                </w:tcPr>
                <w:p>
                  <w:pPr>
                    <w:keepNext w:val="0"/>
                    <w:keepLines w:val="0"/>
                    <w:suppressLineNumbers w:val="0"/>
                    <w:adjustRightInd w:val="0"/>
                    <w:snapToGrid w:val="0"/>
                    <w:spacing w:before="0" w:beforeAutospacing="0" w:after="0" w:afterAutospacing="0"/>
                    <w:ind w:left="0" w:right="0"/>
                    <w:jc w:val="center"/>
                    <w:rPr>
                      <w:b/>
                      <w:szCs w:val="21"/>
                    </w:rPr>
                  </w:pPr>
                  <w:r>
                    <w:rPr>
                      <w:b/>
                      <w:szCs w:val="21"/>
                    </w:rPr>
                    <w:t>监测项目</w:t>
                  </w:r>
                </w:p>
              </w:tc>
              <w:tc>
                <w:tcPr>
                  <w:tcW w:w="1046" w:type="pct"/>
                  <w:vAlign w:val="center"/>
                </w:tcPr>
                <w:p>
                  <w:pPr>
                    <w:keepNext w:val="0"/>
                    <w:keepLines w:val="0"/>
                    <w:suppressLineNumbers w:val="0"/>
                    <w:adjustRightInd w:val="0"/>
                    <w:snapToGrid w:val="0"/>
                    <w:spacing w:before="0" w:beforeAutospacing="0" w:after="0" w:afterAutospacing="0"/>
                    <w:ind w:left="0" w:right="0"/>
                    <w:jc w:val="center"/>
                    <w:rPr>
                      <w:b/>
                      <w:szCs w:val="21"/>
                    </w:rPr>
                  </w:pPr>
                  <w:r>
                    <w:rPr>
                      <w:b/>
                      <w:szCs w:val="21"/>
                    </w:rPr>
                    <w:t>监测频率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4"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噪声</w:t>
                  </w:r>
                </w:p>
              </w:tc>
              <w:tc>
                <w:tcPr>
                  <w:tcW w:w="1194"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厂界四周边界</w:t>
                  </w:r>
                </w:p>
              </w:tc>
              <w:tc>
                <w:tcPr>
                  <w:tcW w:w="1856"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连续等效A声级</w:t>
                  </w:r>
                </w:p>
              </w:tc>
              <w:tc>
                <w:tcPr>
                  <w:tcW w:w="1046"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Ansi="宋体"/>
                      <w:szCs w:val="21"/>
                    </w:rPr>
                    <w:t>每季度监测</w:t>
                  </w:r>
                  <w:r>
                    <w:rPr>
                      <w:szCs w:val="21"/>
                    </w:rPr>
                    <w:t>1</w:t>
                  </w:r>
                  <w:r>
                    <w:rPr>
                      <w:rFonts w:hAnsi="宋体"/>
                      <w:szCs w:val="21"/>
                    </w:rPr>
                    <w:t>次（</w:t>
                  </w:r>
                  <w:r>
                    <w:rPr>
                      <w:szCs w:val="21"/>
                    </w:rPr>
                    <w:t>昼夜间）</w:t>
                  </w:r>
                </w:p>
              </w:tc>
            </w:tr>
          </w:tbl>
          <w:p>
            <w:pPr>
              <w:keepNext w:val="0"/>
              <w:keepLines w:val="0"/>
              <w:suppressLineNumbers w:val="0"/>
              <w:adjustRightInd w:val="0"/>
              <w:snapToGrid w:val="0"/>
              <w:spacing w:before="0" w:beforeAutospacing="0" w:after="0" w:afterAutospacing="0" w:line="360" w:lineRule="auto"/>
              <w:ind w:left="0" w:right="0"/>
              <w:rPr>
                <w:b/>
                <w:bCs/>
                <w:sz w:val="24"/>
              </w:rPr>
            </w:pPr>
            <w:r>
              <w:rPr>
                <w:rFonts w:hint="eastAsia"/>
                <w:b/>
                <w:sz w:val="24"/>
              </w:rPr>
              <w:t>4</w:t>
            </w:r>
            <w:r>
              <w:rPr>
                <w:b/>
                <w:sz w:val="24"/>
              </w:rPr>
              <w:t>、固体废物</w:t>
            </w:r>
          </w:p>
          <w:p>
            <w:pPr>
              <w:keepNext w:val="0"/>
              <w:keepLines w:val="0"/>
              <w:suppressLineNumbers w:val="0"/>
              <w:adjustRightInd w:val="0"/>
              <w:snapToGrid w:val="0"/>
              <w:spacing w:before="0" w:beforeAutospacing="0" w:after="0" w:afterAutospacing="0" w:line="360" w:lineRule="auto"/>
              <w:ind w:left="0" w:right="0" w:firstLine="482" w:firstLineChars="200"/>
              <w:rPr>
                <w:b/>
                <w:bCs/>
                <w:sz w:val="24"/>
              </w:rPr>
            </w:pPr>
            <w:r>
              <w:rPr>
                <w:b/>
                <w:bCs/>
                <w:sz w:val="24"/>
              </w:rPr>
              <w:t>（</w:t>
            </w:r>
            <w:r>
              <w:rPr>
                <w:rFonts w:hint="eastAsia"/>
                <w:b/>
                <w:bCs/>
                <w:sz w:val="24"/>
              </w:rPr>
              <w:t>1</w:t>
            </w:r>
            <w:r>
              <w:rPr>
                <w:b/>
                <w:bCs/>
                <w:sz w:val="24"/>
              </w:rPr>
              <w:t>）项目固体废物产生情况</w:t>
            </w:r>
          </w:p>
          <w:p>
            <w:pPr>
              <w:pStyle w:val="5"/>
              <w:keepNext w:val="0"/>
              <w:keepLines w:val="0"/>
              <w:suppressLineNumbers w:val="0"/>
              <w:adjustRightInd w:val="0"/>
              <w:snapToGrid w:val="0"/>
              <w:spacing w:before="0" w:beforeAutospacing="0" w:after="0" w:afterAutospacing="0" w:line="360" w:lineRule="auto"/>
              <w:ind w:left="0" w:right="0" w:firstLine="482" w:firstLineChars="200"/>
              <w:rPr>
                <w:rFonts w:ascii="Times New Roman" w:hAnsi="Times New Roman"/>
                <w:b/>
                <w:sz w:val="24"/>
                <w:szCs w:val="24"/>
              </w:rPr>
            </w:pPr>
            <w:r>
              <w:rPr>
                <w:rFonts w:ascii="Times New Roman" w:hAnsi="Times New Roman"/>
                <w:b/>
                <w:sz w:val="24"/>
                <w:szCs w:val="24"/>
              </w:rPr>
              <w:t>1）一般固废</w:t>
            </w:r>
          </w:p>
          <w:p>
            <w:pPr>
              <w:keepNext w:val="0"/>
              <w:keepLines w:val="0"/>
              <w:suppressLineNumbers w:val="0"/>
              <w:spacing w:before="0" w:beforeAutospacing="0" w:after="0" w:afterAutospacing="0" w:line="360" w:lineRule="auto"/>
              <w:ind w:left="0" w:right="0" w:firstLine="482" w:firstLineChars="200"/>
              <w:rPr>
                <w:sz w:val="24"/>
              </w:rPr>
            </w:pPr>
            <w:r>
              <w:rPr>
                <w:b/>
                <w:sz w:val="24"/>
              </w:rPr>
              <w:t>废包装袋：</w:t>
            </w:r>
            <w:r>
              <w:rPr>
                <w:sz w:val="24"/>
              </w:rPr>
              <w:t>项目</w:t>
            </w:r>
            <w:r>
              <w:rPr>
                <w:rFonts w:hint="eastAsia"/>
                <w:sz w:val="24"/>
              </w:rPr>
              <w:t>聚丙烯、环氧树脂粉</w:t>
            </w:r>
            <w:r>
              <w:rPr>
                <w:sz w:val="24"/>
              </w:rPr>
              <w:t>为袋装，废包装袋的产生量约为</w:t>
            </w:r>
            <w:r>
              <w:rPr>
                <w:rFonts w:hint="eastAsia"/>
                <w:sz w:val="24"/>
              </w:rPr>
              <w:t>60</w:t>
            </w:r>
            <w:r>
              <w:rPr>
                <w:sz w:val="24"/>
              </w:rPr>
              <w:t>00个，产生量约为</w:t>
            </w:r>
            <w:r>
              <w:rPr>
                <w:rFonts w:hint="eastAsia"/>
                <w:sz w:val="24"/>
              </w:rPr>
              <w:t>0.6</w:t>
            </w:r>
            <w:r>
              <w:rPr>
                <w:sz w:val="24"/>
              </w:rPr>
              <w:t>t/a</w:t>
            </w:r>
            <w:r>
              <w:rPr>
                <w:rFonts w:hint="eastAsia"/>
                <w:sz w:val="24"/>
                <w:lang w:eastAsia="zh-CN"/>
              </w:rPr>
              <w:t>，收集后外售综合利用</w:t>
            </w:r>
            <w:r>
              <w:rPr>
                <w:sz w:val="24"/>
              </w:rPr>
              <w:t>。</w:t>
            </w:r>
          </w:p>
          <w:p>
            <w:pPr>
              <w:keepNext w:val="0"/>
              <w:keepLines w:val="0"/>
              <w:suppressLineNumbers w:val="0"/>
              <w:spacing w:before="0" w:beforeAutospacing="0" w:after="0" w:afterAutospacing="0" w:line="360" w:lineRule="auto"/>
              <w:ind w:left="0" w:right="0" w:firstLine="482" w:firstLineChars="200"/>
              <w:rPr>
                <w:rFonts w:hint="eastAsia" w:eastAsia="宋体"/>
                <w:sz w:val="24"/>
                <w:lang w:val="en-US" w:eastAsia="zh-CN"/>
              </w:rPr>
            </w:pPr>
            <w:r>
              <w:rPr>
                <w:rFonts w:hint="eastAsia"/>
                <w:b/>
                <w:sz w:val="24"/>
              </w:rPr>
              <w:t>不合格品：</w:t>
            </w:r>
            <w:r>
              <w:rPr>
                <w:rFonts w:hint="eastAsia"/>
                <w:sz w:val="24"/>
              </w:rPr>
              <w:t>项目产品检验</w:t>
            </w:r>
            <w:r>
              <w:rPr>
                <w:rFonts w:hint="eastAsia"/>
                <w:sz w:val="24"/>
                <w:lang w:eastAsia="zh-CN"/>
              </w:rPr>
              <w:t>过程中会</w:t>
            </w:r>
            <w:r>
              <w:rPr>
                <w:rFonts w:hint="eastAsia"/>
                <w:sz w:val="24"/>
              </w:rPr>
              <w:t>产生不合格品，根据企业提供资料，产生量</w:t>
            </w:r>
            <w:r>
              <w:rPr>
                <w:rFonts w:hint="eastAsia"/>
                <w:sz w:val="24"/>
                <w:lang w:eastAsia="zh-CN"/>
              </w:rPr>
              <w:t>约</w:t>
            </w:r>
            <w:r>
              <w:rPr>
                <w:rFonts w:hint="eastAsia"/>
                <w:sz w:val="24"/>
              </w:rPr>
              <w:t>为0.02%，则产生量约为</w:t>
            </w:r>
            <w:r>
              <w:rPr>
                <w:rFonts w:hint="eastAsia"/>
                <w:sz w:val="24"/>
                <w:lang w:val="en-US" w:eastAsia="zh-CN"/>
              </w:rPr>
              <w:t>12</w:t>
            </w:r>
            <w:r>
              <w:rPr>
                <w:rFonts w:hint="eastAsia"/>
                <w:sz w:val="24"/>
              </w:rPr>
              <w:t>t/a</w:t>
            </w:r>
            <w:r>
              <w:rPr>
                <w:rFonts w:hint="eastAsia"/>
                <w:sz w:val="24"/>
                <w:lang w:eastAsia="zh-CN"/>
              </w:rPr>
              <w:t>，收集后外售综合利用</w:t>
            </w:r>
            <w:r>
              <w:rPr>
                <w:rFonts w:hint="eastAsia"/>
                <w:sz w:val="24"/>
              </w:rPr>
              <w:t>。</w:t>
            </w:r>
          </w:p>
          <w:p>
            <w:pPr>
              <w:keepNext w:val="0"/>
              <w:keepLines w:val="0"/>
              <w:suppressLineNumbers w:val="0"/>
              <w:spacing w:before="0" w:beforeAutospacing="0" w:after="0" w:afterAutospacing="0" w:line="360" w:lineRule="auto"/>
              <w:ind w:left="0" w:right="0" w:firstLine="482" w:firstLineChars="200"/>
              <w:rPr>
                <w:sz w:val="24"/>
              </w:rPr>
            </w:pPr>
            <w:r>
              <w:rPr>
                <w:rFonts w:hint="eastAsia"/>
                <w:b/>
                <w:sz w:val="24"/>
              </w:rPr>
              <w:t>边角料：</w:t>
            </w:r>
            <w:r>
              <w:rPr>
                <w:rFonts w:hint="eastAsia"/>
                <w:sz w:val="24"/>
              </w:rPr>
              <w:t>项目纵剪、冲压、机加工、攻丝加工过程会产生边角料，根据企业提供资料，产生量</w:t>
            </w:r>
            <w:r>
              <w:rPr>
                <w:rFonts w:hint="eastAsia"/>
                <w:sz w:val="24"/>
                <w:lang w:eastAsia="zh-CN"/>
              </w:rPr>
              <w:t>约</w:t>
            </w:r>
            <w:r>
              <w:rPr>
                <w:rFonts w:hint="eastAsia"/>
                <w:sz w:val="24"/>
              </w:rPr>
              <w:t>为2%，</w:t>
            </w:r>
            <w:r>
              <w:rPr>
                <w:rFonts w:hint="eastAsia"/>
                <w:sz w:val="24"/>
                <w:lang w:eastAsia="zh-CN"/>
              </w:rPr>
              <w:t>则</w:t>
            </w:r>
            <w:r>
              <w:rPr>
                <w:rFonts w:hint="eastAsia"/>
                <w:sz w:val="24"/>
              </w:rPr>
              <w:t>边角料产生量约为1200t/a</w:t>
            </w:r>
            <w:r>
              <w:rPr>
                <w:rFonts w:hint="eastAsia"/>
                <w:sz w:val="24"/>
                <w:lang w:eastAsia="zh-CN"/>
              </w:rPr>
              <w:t>，收集后外售综合利用</w:t>
            </w:r>
            <w:r>
              <w:rPr>
                <w:rFonts w:hint="eastAsia"/>
                <w:sz w:val="24"/>
              </w:rPr>
              <w:t>。</w:t>
            </w:r>
          </w:p>
          <w:p>
            <w:pPr>
              <w:keepNext w:val="0"/>
              <w:keepLines w:val="0"/>
              <w:suppressLineNumbers w:val="0"/>
              <w:spacing w:before="0" w:beforeAutospacing="0" w:after="0" w:afterAutospacing="0" w:line="360" w:lineRule="auto"/>
              <w:ind w:left="0" w:right="0" w:firstLine="482" w:firstLineChars="200"/>
              <w:rPr>
                <w:rFonts w:hint="eastAsia" w:hAnsi="宋体"/>
                <w:sz w:val="24"/>
              </w:rPr>
            </w:pPr>
            <w:r>
              <w:rPr>
                <w:rFonts w:hint="eastAsia"/>
                <w:b/>
                <w:sz w:val="24"/>
                <w:lang w:eastAsia="zh-CN"/>
              </w:rPr>
              <w:t>收集</w:t>
            </w:r>
            <w:r>
              <w:rPr>
                <w:b/>
                <w:sz w:val="24"/>
              </w:rPr>
              <w:t>粉尘</w:t>
            </w:r>
            <w:r>
              <w:rPr>
                <w:rFonts w:hint="eastAsia"/>
                <w:b/>
                <w:sz w:val="24"/>
                <w:lang w:eastAsia="zh-CN"/>
              </w:rPr>
              <w:t>（涂敷）</w:t>
            </w:r>
            <w:r>
              <w:rPr>
                <w:b/>
                <w:sz w:val="24"/>
              </w:rPr>
              <w:t>：</w:t>
            </w:r>
            <w:r>
              <w:rPr>
                <w:rFonts w:hint="eastAsia" w:hAnsi="宋体"/>
                <w:sz w:val="24"/>
              </w:rPr>
              <w:t>项目涂敷过程中</w:t>
            </w:r>
            <w:r>
              <w:rPr>
                <w:rFonts w:hint="eastAsia" w:hAnsi="宋体"/>
                <w:sz w:val="24"/>
                <w:lang w:eastAsia="zh-CN"/>
              </w:rPr>
              <w:t>有</w:t>
            </w:r>
            <w:r>
              <w:rPr>
                <w:rFonts w:hint="eastAsia" w:hAnsi="宋体"/>
                <w:sz w:val="24"/>
                <w:lang w:val="en-US" w:eastAsia="zh-CN"/>
              </w:rPr>
              <w:t>5%的粉尘</w:t>
            </w:r>
            <w:r>
              <w:rPr>
                <w:rFonts w:hint="eastAsia" w:ascii="宋体" w:hAnsi="宋体" w:eastAsia="宋体" w:cs="Times New Roman"/>
                <w:sz w:val="24"/>
                <w:szCs w:val="24"/>
                <w:lang w:val="en-US" w:eastAsia="zh-CN" w:bidi="ar"/>
              </w:rPr>
              <w:t>在涂敷室内自然沉降</w:t>
            </w:r>
            <w:r>
              <w:rPr>
                <w:rFonts w:hint="default" w:ascii="Times New Roman" w:hAnsi="Times New Roman" w:cs="Times New Roman"/>
                <w:sz w:val="24"/>
                <w:szCs w:val="24"/>
                <w:lang w:val="en-US" w:eastAsia="zh-CN" w:bidi="ar"/>
              </w:rPr>
              <w:t>，5%</w:t>
            </w:r>
            <w:r>
              <w:rPr>
                <w:rFonts w:hint="eastAsia" w:hAnsi="宋体"/>
                <w:sz w:val="24"/>
                <w:lang w:val="en-US" w:eastAsia="zh-CN"/>
              </w:rPr>
              <w:t>的粉尘</w:t>
            </w:r>
            <w:r>
              <w:rPr>
                <w:rFonts w:hint="eastAsia" w:hAnsi="宋体"/>
                <w:sz w:val="24"/>
              </w:rPr>
              <w:t>经</w:t>
            </w:r>
            <w:r>
              <w:rPr>
                <w:rFonts w:hint="eastAsia"/>
                <w:sz w:val="24"/>
              </w:rPr>
              <w:t>旋风分离塔+二级滤芯除尘器</w:t>
            </w:r>
            <w:r>
              <w:rPr>
                <w:rFonts w:hint="eastAsia" w:hAnsi="宋体"/>
                <w:sz w:val="24"/>
              </w:rPr>
              <w:t>处理，该过程会产生</w:t>
            </w:r>
            <w:r>
              <w:rPr>
                <w:rFonts w:hint="eastAsia" w:hAnsi="宋体"/>
                <w:sz w:val="24"/>
                <w:lang w:eastAsia="zh-CN"/>
              </w:rPr>
              <w:t>收集</w:t>
            </w:r>
            <w:r>
              <w:rPr>
                <w:rFonts w:hint="eastAsia" w:hAnsi="宋体"/>
                <w:sz w:val="24"/>
              </w:rPr>
              <w:t>粉尘</w:t>
            </w:r>
            <w:r>
              <w:rPr>
                <w:rFonts w:hint="eastAsia" w:hAnsi="宋体"/>
                <w:sz w:val="24"/>
                <w:lang w:eastAsia="zh-CN"/>
              </w:rPr>
              <w:t>（涂敷）</w:t>
            </w:r>
            <w:r>
              <w:rPr>
                <w:rFonts w:hint="eastAsia" w:hAnsi="宋体"/>
                <w:sz w:val="24"/>
              </w:rPr>
              <w:t>，产生量</w:t>
            </w:r>
            <w:r>
              <w:rPr>
                <w:rFonts w:hint="eastAsia" w:hAnsi="宋体"/>
                <w:sz w:val="24"/>
                <w:lang w:eastAsia="zh-CN"/>
              </w:rPr>
              <w:t>约</w:t>
            </w:r>
            <w:r>
              <w:rPr>
                <w:rFonts w:hint="eastAsia" w:hAnsi="宋体"/>
                <w:sz w:val="24"/>
              </w:rPr>
              <w:t>为</w:t>
            </w:r>
            <w:r>
              <w:rPr>
                <w:rFonts w:hint="eastAsia" w:hAnsi="宋体"/>
                <w:sz w:val="24"/>
                <w:lang w:val="en-US" w:eastAsia="zh-CN"/>
              </w:rPr>
              <w:t>9.802</w:t>
            </w:r>
            <w:r>
              <w:rPr>
                <w:rFonts w:hint="eastAsia" w:hAnsi="宋体"/>
                <w:sz w:val="24"/>
              </w:rPr>
              <w:t>t/a</w:t>
            </w:r>
            <w:r>
              <w:rPr>
                <w:rFonts w:hint="eastAsia"/>
                <w:sz w:val="24"/>
                <w:lang w:eastAsia="zh-CN"/>
              </w:rPr>
              <w:t>，收集后回用于生产</w:t>
            </w:r>
            <w:r>
              <w:rPr>
                <w:rFonts w:hint="eastAsia" w:hAnsi="宋体"/>
                <w:sz w:val="24"/>
              </w:rPr>
              <w:t>。</w:t>
            </w:r>
          </w:p>
          <w:p>
            <w:pPr>
              <w:keepNext w:val="0"/>
              <w:keepLines w:val="0"/>
              <w:suppressLineNumbers w:val="0"/>
              <w:spacing w:before="0" w:beforeAutospacing="0" w:after="0" w:afterAutospacing="0" w:line="360" w:lineRule="auto"/>
              <w:ind w:left="0" w:right="0" w:firstLine="482" w:firstLineChars="200"/>
              <w:rPr>
                <w:rFonts w:hint="default" w:eastAsia="宋体"/>
                <w:lang w:val="en-US" w:eastAsia="zh-CN"/>
              </w:rPr>
            </w:pPr>
            <w:r>
              <w:rPr>
                <w:rFonts w:hint="eastAsia"/>
                <w:b/>
                <w:sz w:val="24"/>
                <w:lang w:eastAsia="zh-CN"/>
              </w:rPr>
              <w:t>收集</w:t>
            </w:r>
            <w:r>
              <w:rPr>
                <w:b/>
                <w:sz w:val="24"/>
              </w:rPr>
              <w:t>粉尘</w:t>
            </w:r>
            <w:r>
              <w:rPr>
                <w:rFonts w:hint="eastAsia"/>
                <w:b/>
                <w:sz w:val="24"/>
                <w:lang w:eastAsia="zh-CN"/>
              </w:rPr>
              <w:t>（焊接）：</w:t>
            </w:r>
            <w:r>
              <w:rPr>
                <w:rFonts w:hint="eastAsia"/>
                <w:b w:val="0"/>
                <w:bCs/>
                <w:sz w:val="24"/>
                <w:lang w:eastAsia="zh-CN"/>
              </w:rPr>
              <w:t>项目焊接烟尘经移动式滤芯除尘器处理，该过程会产生收集粉尘（焊接），产生量约为</w:t>
            </w:r>
            <w:r>
              <w:rPr>
                <w:rFonts w:hint="eastAsia"/>
                <w:b w:val="0"/>
                <w:bCs/>
                <w:sz w:val="24"/>
                <w:lang w:val="en-US" w:eastAsia="zh-CN"/>
              </w:rPr>
              <w:t>0.0014t/a</w:t>
            </w:r>
            <w:r>
              <w:rPr>
                <w:rFonts w:hint="eastAsia"/>
                <w:sz w:val="24"/>
                <w:lang w:eastAsia="zh-CN"/>
              </w:rPr>
              <w:t>，收集后外售综合利用</w:t>
            </w:r>
            <w:r>
              <w:rPr>
                <w:rFonts w:hint="eastAsia"/>
                <w:b w:val="0"/>
                <w:bCs/>
                <w:sz w:val="24"/>
                <w:lang w:val="en-US" w:eastAsia="zh-CN"/>
              </w:rPr>
              <w:t>。</w:t>
            </w:r>
          </w:p>
          <w:p>
            <w:pPr>
              <w:keepNext w:val="0"/>
              <w:keepLines w:val="0"/>
              <w:suppressLineNumbers w:val="0"/>
              <w:spacing w:before="0" w:beforeAutospacing="0" w:after="0" w:afterAutospacing="0" w:line="360" w:lineRule="auto"/>
              <w:ind w:left="0" w:right="0" w:firstLine="482" w:firstLineChars="200"/>
              <w:rPr>
                <w:sz w:val="24"/>
              </w:rPr>
            </w:pPr>
            <w:r>
              <w:rPr>
                <w:rFonts w:hint="eastAsia" w:hAnsi="宋体"/>
                <w:b/>
                <w:sz w:val="24"/>
              </w:rPr>
              <w:t>废滤芯：</w:t>
            </w:r>
            <w:r>
              <w:rPr>
                <w:rFonts w:hint="eastAsia" w:hAnsi="宋体"/>
                <w:sz w:val="24"/>
              </w:rPr>
              <w:t>企业二级滤芯除尘器内滤芯每4个月更换一次，移动式滤芯除尘器内滤芯每年更换一次。企业共设1个移动式滤芯除尘器、30套</w:t>
            </w:r>
            <w:r>
              <w:rPr>
                <w:rFonts w:hint="eastAsia"/>
                <w:sz w:val="24"/>
              </w:rPr>
              <w:t>旋风分离塔+二级滤芯除尘器，每套二级滤芯除尘器包含6个滤芯，移动式滤芯除尘器包含1个滤芯，一年共更换滤芯181个，则</w:t>
            </w:r>
            <w:r>
              <w:rPr>
                <w:rFonts w:hint="eastAsia" w:hAnsi="宋体"/>
                <w:sz w:val="24"/>
              </w:rPr>
              <w:t>废滤芯产生量</w:t>
            </w:r>
            <w:r>
              <w:rPr>
                <w:rFonts w:hint="eastAsia" w:hAnsi="宋体"/>
                <w:sz w:val="24"/>
                <w:lang w:eastAsia="zh-CN"/>
              </w:rPr>
              <w:t>约</w:t>
            </w:r>
            <w:r>
              <w:rPr>
                <w:rFonts w:hint="eastAsia" w:hAnsi="宋体"/>
                <w:sz w:val="24"/>
              </w:rPr>
              <w:t>为0.18t/a</w:t>
            </w:r>
            <w:r>
              <w:rPr>
                <w:rFonts w:hint="eastAsia"/>
                <w:sz w:val="24"/>
                <w:lang w:eastAsia="zh-CN"/>
              </w:rPr>
              <w:t>，收集后外售综合利用</w:t>
            </w:r>
            <w:r>
              <w:rPr>
                <w:sz w:val="24"/>
              </w:rPr>
              <w:t>。</w:t>
            </w:r>
          </w:p>
          <w:p>
            <w:pPr>
              <w:keepNext w:val="0"/>
              <w:keepLines w:val="0"/>
              <w:suppressLineNumbers w:val="0"/>
              <w:spacing w:before="0" w:beforeAutospacing="0" w:after="0" w:afterAutospacing="0" w:line="360" w:lineRule="auto"/>
              <w:ind w:left="0" w:right="0" w:firstLine="482" w:firstLineChars="200"/>
              <w:rPr>
                <w:rFonts w:hint="default" w:eastAsia="宋体"/>
                <w:lang w:val="en-US" w:eastAsia="zh-CN"/>
              </w:rPr>
            </w:pPr>
            <w:r>
              <w:rPr>
                <w:rFonts w:hint="eastAsia" w:hAnsi="宋体"/>
                <w:b/>
                <w:sz w:val="24"/>
                <w:lang w:eastAsia="zh-CN"/>
              </w:rPr>
              <w:t>塑料边角料</w:t>
            </w:r>
            <w:r>
              <w:rPr>
                <w:rFonts w:hint="eastAsia" w:hAnsi="宋体"/>
                <w:b/>
                <w:sz w:val="24"/>
              </w:rPr>
              <w:t>：</w:t>
            </w:r>
            <w:r>
              <w:rPr>
                <w:rFonts w:hint="eastAsia" w:hAnsi="宋体"/>
                <w:sz w:val="24"/>
              </w:rPr>
              <w:t>企</w:t>
            </w:r>
            <w:r>
              <w:rPr>
                <w:rFonts w:hint="eastAsia" w:hAnsi="宋体"/>
                <w:sz w:val="24"/>
                <w:lang w:eastAsia="zh-CN"/>
              </w:rPr>
              <w:t>业注塑成型过程中会产生塑料边角料，</w:t>
            </w:r>
            <w:r>
              <w:rPr>
                <w:rFonts w:hint="eastAsia"/>
                <w:sz w:val="24"/>
              </w:rPr>
              <w:t>根据企业提供资料，产生量</w:t>
            </w:r>
            <w:r>
              <w:rPr>
                <w:rFonts w:hint="eastAsia"/>
                <w:sz w:val="24"/>
                <w:lang w:eastAsia="zh-CN"/>
              </w:rPr>
              <w:t>约占原料量的</w:t>
            </w:r>
            <w:r>
              <w:rPr>
                <w:rFonts w:hint="eastAsia"/>
                <w:sz w:val="24"/>
                <w:lang w:val="en-US" w:eastAsia="zh-CN"/>
              </w:rPr>
              <w:t>5</w:t>
            </w:r>
            <w:r>
              <w:rPr>
                <w:rFonts w:hint="eastAsia"/>
                <w:sz w:val="24"/>
              </w:rPr>
              <w:t>%</w:t>
            </w:r>
            <w:r>
              <w:rPr>
                <w:rFonts w:hint="eastAsia"/>
                <w:sz w:val="24"/>
                <w:lang w:eastAsia="zh-CN"/>
              </w:rPr>
              <w:t>，则塑料边角料产生量约为</w:t>
            </w:r>
            <w:r>
              <w:rPr>
                <w:rFonts w:hint="eastAsia"/>
                <w:sz w:val="24"/>
                <w:lang w:val="en-US" w:eastAsia="zh-CN"/>
              </w:rPr>
              <w:t>2.5t/a</w:t>
            </w:r>
            <w:r>
              <w:rPr>
                <w:rFonts w:hint="eastAsia"/>
                <w:sz w:val="24"/>
                <w:lang w:eastAsia="zh-CN"/>
              </w:rPr>
              <w:t>，收集后外售综合利用。</w:t>
            </w:r>
          </w:p>
          <w:p>
            <w:pPr>
              <w:keepNext w:val="0"/>
              <w:keepLines w:val="0"/>
              <w:suppressLineNumbers w:val="0"/>
              <w:spacing w:before="0" w:beforeAutospacing="0" w:after="0" w:afterAutospacing="0" w:line="360" w:lineRule="auto"/>
              <w:ind w:left="0" w:right="0" w:firstLine="482" w:firstLineChars="200"/>
              <w:rPr>
                <w:sz w:val="24"/>
              </w:rPr>
            </w:pPr>
            <w:r>
              <w:rPr>
                <w:rFonts w:hint="eastAsia" w:ascii="宋体" w:hAnsi="宋体" w:cs="宋体"/>
                <w:b/>
                <w:bCs/>
                <w:sz w:val="24"/>
              </w:rPr>
              <w:t>餐</w:t>
            </w:r>
            <w:r>
              <w:rPr>
                <w:rFonts w:hAnsi="宋体"/>
                <w:b/>
                <w:bCs/>
                <w:sz w:val="24"/>
              </w:rPr>
              <w:t>厨垃圾：</w:t>
            </w:r>
            <w:r>
              <w:rPr>
                <w:rFonts w:hAnsi="宋体"/>
                <w:bCs/>
                <w:sz w:val="24"/>
              </w:rPr>
              <w:t>本项目食堂运行过程中会产生餐厨垃圾，产生量约为</w:t>
            </w:r>
            <w:r>
              <w:rPr>
                <w:bCs/>
                <w:sz w:val="24"/>
              </w:rPr>
              <w:t>50kg/</w:t>
            </w:r>
            <w:r>
              <w:rPr>
                <w:rFonts w:hAnsi="宋体"/>
                <w:bCs/>
                <w:sz w:val="24"/>
              </w:rPr>
              <w:t>天，年运行</w:t>
            </w:r>
            <w:r>
              <w:rPr>
                <w:bCs/>
                <w:sz w:val="24"/>
              </w:rPr>
              <w:t>300</w:t>
            </w:r>
            <w:r>
              <w:rPr>
                <w:rFonts w:hAnsi="宋体"/>
                <w:bCs/>
                <w:sz w:val="24"/>
              </w:rPr>
              <w:t>天，则产生餐厨垃圾（含食堂隔油池废液）</w:t>
            </w:r>
            <w:r>
              <w:rPr>
                <w:bCs/>
                <w:sz w:val="24"/>
              </w:rPr>
              <w:t>15t/a</w:t>
            </w:r>
            <w:r>
              <w:rPr>
                <w:rFonts w:hAnsi="宋体"/>
                <w:bCs/>
                <w:sz w:val="24"/>
              </w:rPr>
              <w:t>，作为一般固废，委托</w:t>
            </w:r>
            <w:r>
              <w:rPr>
                <w:rFonts w:hint="eastAsia" w:hAnsi="宋体"/>
                <w:bCs/>
                <w:sz w:val="24"/>
                <w:lang w:eastAsia="zh-CN"/>
              </w:rPr>
              <w:t>专业</w:t>
            </w:r>
            <w:r>
              <w:rPr>
                <w:rFonts w:hAnsi="宋体"/>
                <w:bCs/>
                <w:sz w:val="24"/>
              </w:rPr>
              <w:t>单位集中处理。</w:t>
            </w:r>
          </w:p>
          <w:p>
            <w:pPr>
              <w:keepNext w:val="0"/>
              <w:keepLines w:val="0"/>
              <w:suppressLineNumbers w:val="0"/>
              <w:spacing w:before="0" w:beforeAutospacing="0" w:after="0" w:afterAutospacing="0" w:line="360" w:lineRule="auto"/>
              <w:ind w:left="0" w:right="0" w:firstLine="482" w:firstLineChars="200"/>
              <w:rPr>
                <w:rFonts w:eastAsia="FangSong_GB2312"/>
                <w:b/>
                <w:sz w:val="24"/>
              </w:rPr>
            </w:pPr>
            <w:r>
              <w:rPr>
                <w:b/>
                <w:sz w:val="24"/>
              </w:rPr>
              <w:t>2</w:t>
            </w:r>
            <w:r>
              <w:rPr>
                <w:rFonts w:ascii="宋体" w:hAnsi="宋体"/>
                <w:b/>
                <w:sz w:val="24"/>
              </w:rPr>
              <w:t>）危险固废</w:t>
            </w:r>
          </w:p>
          <w:p>
            <w:pPr>
              <w:keepNext w:val="0"/>
              <w:keepLines w:val="0"/>
              <w:suppressLineNumbers w:val="0"/>
              <w:spacing w:before="0" w:beforeAutospacing="0" w:after="0" w:afterAutospacing="0" w:line="360" w:lineRule="auto"/>
              <w:ind w:left="0" w:right="0" w:firstLine="482" w:firstLineChars="200"/>
              <w:rPr>
                <w:rFonts w:cs="宋体"/>
                <w:sz w:val="24"/>
              </w:rPr>
            </w:pPr>
            <w:r>
              <w:rPr>
                <w:rFonts w:ascii="宋体" w:hAnsi="宋体"/>
                <w:b/>
                <w:sz w:val="24"/>
              </w:rPr>
              <w:t>废活性炭：</w:t>
            </w:r>
            <w:r>
              <w:rPr>
                <w:rFonts w:hint="eastAsia" w:cs="宋体"/>
                <w:bCs/>
                <w:sz w:val="24"/>
              </w:rPr>
              <w:t>本项目使用二级活性炭吸附处理有机废气，会产生废活性炭。</w:t>
            </w:r>
            <w:r>
              <w:rPr>
                <w:rFonts w:hint="eastAsia" w:cs="宋体"/>
                <w:sz w:val="24"/>
              </w:rPr>
              <w:t>根据省生态环境厅关于将排污单位活性炭使用更换纳入排污许可管理的通知中附件涉活性炭吸附排污单位的排污许可管理要求内的相关公式：</w:t>
            </w:r>
          </w:p>
          <w:p>
            <w:pPr>
              <w:keepNext w:val="0"/>
              <w:keepLines w:val="0"/>
              <w:suppressLineNumbers w:val="0"/>
              <w:spacing w:before="0" w:beforeAutospacing="0" w:after="0" w:afterAutospacing="0" w:line="360" w:lineRule="auto"/>
              <w:ind w:left="0" w:right="0"/>
              <w:jc w:val="center"/>
              <w:rPr>
                <w:rFonts w:cs="宋体"/>
                <w:sz w:val="24"/>
              </w:rPr>
            </w:pPr>
            <w:r>
              <w:rPr>
                <w:rFonts w:cs="宋体"/>
                <w:sz w:val="24"/>
              </w:rPr>
              <w:t>T=m×s÷（c×10</w:t>
            </w:r>
            <w:r>
              <w:rPr>
                <w:rFonts w:cs="宋体"/>
                <w:sz w:val="24"/>
                <w:vertAlign w:val="superscript"/>
              </w:rPr>
              <w:t>-6</w:t>
            </w:r>
            <w:r>
              <w:rPr>
                <w:rFonts w:cs="宋体"/>
                <w:sz w:val="24"/>
              </w:rPr>
              <w:t>×Q×t）</w:t>
            </w:r>
          </w:p>
          <w:p>
            <w:pPr>
              <w:keepNext w:val="0"/>
              <w:keepLines w:val="0"/>
              <w:suppressLineNumbers w:val="0"/>
              <w:spacing w:before="0" w:beforeAutospacing="0" w:after="0" w:afterAutospacing="0" w:line="360" w:lineRule="auto"/>
              <w:ind w:left="0" w:right="0" w:firstLine="2880" w:firstLineChars="1200"/>
              <w:jc w:val="left"/>
              <w:rPr>
                <w:rFonts w:cs="宋体"/>
                <w:sz w:val="24"/>
              </w:rPr>
            </w:pPr>
            <w:r>
              <w:rPr>
                <w:rFonts w:hint="eastAsia" w:cs="宋体"/>
                <w:sz w:val="24"/>
              </w:rPr>
              <w:t>T—更换周期，天；</w:t>
            </w:r>
          </w:p>
          <w:p>
            <w:pPr>
              <w:keepNext w:val="0"/>
              <w:keepLines w:val="0"/>
              <w:suppressLineNumbers w:val="0"/>
              <w:spacing w:before="0" w:beforeAutospacing="0" w:after="0" w:afterAutospacing="0" w:line="360" w:lineRule="auto"/>
              <w:ind w:left="0" w:right="0" w:firstLine="2880" w:firstLineChars="1200"/>
              <w:jc w:val="left"/>
              <w:rPr>
                <w:rFonts w:cs="宋体"/>
                <w:sz w:val="24"/>
              </w:rPr>
            </w:pPr>
            <w:r>
              <w:rPr>
                <w:rFonts w:hint="eastAsia" w:cs="宋体"/>
                <w:sz w:val="24"/>
              </w:rPr>
              <w:t>m—活性炭的用量，kg；</w:t>
            </w:r>
          </w:p>
          <w:p>
            <w:pPr>
              <w:keepNext w:val="0"/>
              <w:keepLines w:val="0"/>
              <w:suppressLineNumbers w:val="0"/>
              <w:spacing w:before="0" w:beforeAutospacing="0" w:after="0" w:afterAutospacing="0" w:line="360" w:lineRule="auto"/>
              <w:ind w:left="0" w:right="0" w:firstLine="2880" w:firstLineChars="1200"/>
              <w:jc w:val="left"/>
              <w:rPr>
                <w:rFonts w:cs="宋体"/>
                <w:sz w:val="24"/>
              </w:rPr>
            </w:pPr>
            <w:r>
              <w:rPr>
                <w:rFonts w:hint="eastAsia" w:cs="宋体"/>
                <w:sz w:val="24"/>
              </w:rPr>
              <w:t>s—动态吸附量，%；</w:t>
            </w:r>
          </w:p>
          <w:p>
            <w:pPr>
              <w:keepNext w:val="0"/>
              <w:keepLines w:val="0"/>
              <w:suppressLineNumbers w:val="0"/>
              <w:spacing w:before="0" w:beforeAutospacing="0" w:after="0" w:afterAutospacing="0" w:line="360" w:lineRule="auto"/>
              <w:ind w:left="0" w:right="0" w:firstLine="2880" w:firstLineChars="1200"/>
              <w:jc w:val="left"/>
              <w:rPr>
                <w:rFonts w:cs="宋体"/>
                <w:sz w:val="24"/>
              </w:rPr>
            </w:pPr>
            <w:r>
              <w:rPr>
                <w:rFonts w:hint="eastAsia" w:cs="宋体"/>
                <w:sz w:val="24"/>
              </w:rPr>
              <w:t>c—活性炭削减VOCs浓度，mg/m</w:t>
            </w:r>
            <w:r>
              <w:rPr>
                <w:rFonts w:hint="eastAsia" w:cs="宋体"/>
                <w:sz w:val="24"/>
                <w:vertAlign w:val="superscript"/>
              </w:rPr>
              <w:t>3</w:t>
            </w:r>
            <w:r>
              <w:rPr>
                <w:rFonts w:hint="eastAsia" w:cs="宋体"/>
                <w:sz w:val="24"/>
              </w:rPr>
              <w:t>；</w:t>
            </w:r>
          </w:p>
          <w:p>
            <w:pPr>
              <w:keepNext w:val="0"/>
              <w:keepLines w:val="0"/>
              <w:suppressLineNumbers w:val="0"/>
              <w:spacing w:before="0" w:beforeAutospacing="0" w:after="0" w:afterAutospacing="0" w:line="360" w:lineRule="auto"/>
              <w:ind w:left="0" w:right="0" w:firstLine="2880" w:firstLineChars="1200"/>
              <w:jc w:val="left"/>
              <w:rPr>
                <w:rFonts w:cs="宋体"/>
                <w:sz w:val="24"/>
              </w:rPr>
            </w:pPr>
            <w:r>
              <w:rPr>
                <w:rFonts w:hint="eastAsia" w:cs="宋体"/>
                <w:sz w:val="24"/>
              </w:rPr>
              <w:t>Q—风量，单位m</w:t>
            </w:r>
            <w:r>
              <w:rPr>
                <w:rFonts w:hint="eastAsia" w:cs="宋体"/>
                <w:sz w:val="24"/>
                <w:vertAlign w:val="superscript"/>
              </w:rPr>
              <w:t>3</w:t>
            </w:r>
            <w:r>
              <w:rPr>
                <w:rFonts w:hint="eastAsia" w:cs="宋体"/>
                <w:sz w:val="24"/>
              </w:rPr>
              <w:t>/h；</w:t>
            </w:r>
          </w:p>
          <w:p>
            <w:pPr>
              <w:keepNext w:val="0"/>
              <w:keepLines w:val="0"/>
              <w:suppressLineNumbers w:val="0"/>
              <w:adjustRightInd w:val="0"/>
              <w:snapToGrid w:val="0"/>
              <w:spacing w:before="0" w:beforeAutospacing="0" w:after="0" w:afterAutospacing="0" w:line="360" w:lineRule="auto"/>
              <w:ind w:left="0" w:right="0" w:firstLine="2880" w:firstLineChars="1200"/>
              <w:rPr>
                <w:rFonts w:cs="宋体"/>
                <w:sz w:val="24"/>
              </w:rPr>
            </w:pPr>
            <w:r>
              <w:rPr>
                <w:rFonts w:hint="eastAsia" w:cs="宋体"/>
                <w:sz w:val="24"/>
              </w:rPr>
              <w:t>t—运行时间，单位h/d。</w:t>
            </w:r>
          </w:p>
          <w:p>
            <w:pPr>
              <w:keepNext w:val="0"/>
              <w:keepLines w:val="0"/>
              <w:suppressLineNumbers w:val="0"/>
              <w:spacing w:before="0" w:beforeAutospacing="0" w:after="0" w:afterAutospacing="0" w:line="360" w:lineRule="auto"/>
              <w:ind w:left="0" w:right="0" w:firstLine="480" w:firstLineChars="200"/>
              <w:jc w:val="both"/>
              <w:rPr>
                <w:bCs/>
                <w:sz w:val="24"/>
              </w:rPr>
            </w:pPr>
            <w:r>
              <w:rPr>
                <w:rFonts w:hint="eastAsia" w:cs="宋体"/>
                <w:sz w:val="24"/>
              </w:rPr>
              <w:t>本项目动态吸附量取10%，则</w:t>
            </w:r>
            <w:r>
              <w:rPr>
                <w:rFonts w:hint="eastAsia" w:cs="宋体"/>
                <w:bCs/>
                <w:sz w:val="24"/>
              </w:rPr>
              <w:t>1kg活性炭可吸附0.1kg有机废气，本项目有机废气处理量共0.</w:t>
            </w:r>
            <w:r>
              <w:rPr>
                <w:rFonts w:hint="eastAsia" w:cs="宋体"/>
                <w:bCs/>
                <w:sz w:val="24"/>
                <w:lang w:val="en-US" w:eastAsia="zh-CN"/>
              </w:rPr>
              <w:t>4452</w:t>
            </w:r>
            <w:r>
              <w:rPr>
                <w:rFonts w:hint="eastAsia" w:cs="宋体"/>
                <w:bCs/>
                <w:sz w:val="24"/>
              </w:rPr>
              <w:t>t/a，通过二级活性炭吸附设备处理，则产生废活性炭约为</w:t>
            </w:r>
            <w:r>
              <w:rPr>
                <w:rFonts w:hint="eastAsia" w:cs="宋体"/>
                <w:bCs/>
                <w:sz w:val="24"/>
                <w:lang w:val="en-US" w:eastAsia="zh-CN"/>
              </w:rPr>
              <w:t>4.9</w:t>
            </w:r>
            <w:r>
              <w:rPr>
                <w:rFonts w:hint="eastAsia" w:cs="宋体"/>
                <w:bCs/>
                <w:sz w:val="24"/>
              </w:rPr>
              <w:t>t/a（含吸附的有机废气）。根据设备商提供资料，二级活性炭吸附装置最大填充量m=400kg，活性炭削减VOCs浓度c=</w:t>
            </w:r>
            <w:r>
              <w:rPr>
                <w:rFonts w:hint="eastAsia" w:cs="宋体"/>
                <w:bCs/>
                <w:sz w:val="24"/>
                <w:lang w:val="en-US" w:eastAsia="zh-CN"/>
              </w:rPr>
              <w:t>4.23</w:t>
            </w:r>
            <w:r>
              <w:rPr>
                <w:rFonts w:hint="eastAsia" w:cs="宋体"/>
                <w:bCs/>
                <w:sz w:val="24"/>
              </w:rPr>
              <w:t>mg/m</w:t>
            </w:r>
            <w:r>
              <w:rPr>
                <w:rFonts w:hint="eastAsia" w:cs="宋体"/>
                <w:bCs/>
                <w:sz w:val="24"/>
                <w:vertAlign w:val="superscript"/>
              </w:rPr>
              <w:t>3</w:t>
            </w:r>
            <w:r>
              <w:rPr>
                <w:rFonts w:hint="eastAsia" w:cs="宋体"/>
                <w:bCs/>
                <w:sz w:val="24"/>
              </w:rPr>
              <w:t>，风量Q=</w:t>
            </w:r>
            <w:r>
              <w:rPr>
                <w:rFonts w:hint="eastAsia" w:cs="宋体"/>
                <w:bCs/>
                <w:sz w:val="24"/>
                <w:lang w:val="en-US" w:eastAsia="zh-CN"/>
              </w:rPr>
              <w:t>35</w:t>
            </w:r>
            <w:r>
              <w:rPr>
                <w:rFonts w:hint="eastAsia" w:cs="宋体"/>
                <w:bCs/>
                <w:sz w:val="24"/>
              </w:rPr>
              <w:t>000m</w:t>
            </w:r>
            <w:r>
              <w:rPr>
                <w:rFonts w:hint="eastAsia" w:cs="宋体"/>
                <w:bCs/>
                <w:sz w:val="24"/>
                <w:vertAlign w:val="superscript"/>
              </w:rPr>
              <w:t>3</w:t>
            </w:r>
            <w:r>
              <w:rPr>
                <w:rFonts w:hint="eastAsia" w:cs="宋体"/>
                <w:bCs/>
                <w:sz w:val="24"/>
              </w:rPr>
              <w:t>/h，运行时间t=</w:t>
            </w:r>
            <w:r>
              <w:rPr>
                <w:rFonts w:hint="eastAsia" w:cs="宋体"/>
                <w:bCs/>
                <w:sz w:val="24"/>
                <w:lang w:val="en-US" w:eastAsia="zh-CN"/>
              </w:rPr>
              <w:t>10</w:t>
            </w:r>
            <w:r>
              <w:rPr>
                <w:rFonts w:hint="eastAsia" w:cs="宋体"/>
                <w:bCs/>
                <w:sz w:val="24"/>
              </w:rPr>
              <w:t>h/d，则更换周期T=400</w:t>
            </w:r>
            <w:r>
              <w:rPr>
                <w:rFonts w:cs="宋体"/>
                <w:sz w:val="24"/>
              </w:rPr>
              <w:t>×</w:t>
            </w:r>
            <w:r>
              <w:rPr>
                <w:rFonts w:hint="eastAsia" w:cs="宋体"/>
                <w:bCs/>
                <w:sz w:val="24"/>
              </w:rPr>
              <w:t>10%÷（</w:t>
            </w:r>
            <w:r>
              <w:rPr>
                <w:rFonts w:hint="eastAsia" w:cs="宋体"/>
                <w:bCs/>
                <w:sz w:val="24"/>
                <w:lang w:val="en-US" w:eastAsia="zh-CN"/>
              </w:rPr>
              <w:t>4.23</w:t>
            </w:r>
            <w:r>
              <w:rPr>
                <w:rFonts w:cs="宋体"/>
                <w:sz w:val="24"/>
              </w:rPr>
              <w:t>×</w:t>
            </w:r>
            <w:r>
              <w:rPr>
                <w:rFonts w:hint="eastAsia" w:cs="宋体"/>
                <w:bCs/>
                <w:sz w:val="24"/>
              </w:rPr>
              <w:t>10</w:t>
            </w:r>
            <w:r>
              <w:rPr>
                <w:rFonts w:hint="eastAsia" w:cs="宋体"/>
                <w:bCs/>
                <w:sz w:val="24"/>
                <w:vertAlign w:val="superscript"/>
              </w:rPr>
              <w:t>-6</w:t>
            </w:r>
            <w:r>
              <w:rPr>
                <w:rFonts w:cs="宋体"/>
                <w:sz w:val="24"/>
              </w:rPr>
              <w:t>×</w:t>
            </w:r>
            <w:r>
              <w:rPr>
                <w:rFonts w:hint="eastAsia" w:cs="宋体"/>
                <w:bCs/>
                <w:sz w:val="24"/>
                <w:lang w:val="en-US" w:eastAsia="zh-CN"/>
              </w:rPr>
              <w:t>35</w:t>
            </w:r>
            <w:r>
              <w:rPr>
                <w:rFonts w:hint="eastAsia" w:cs="宋体"/>
                <w:bCs/>
                <w:sz w:val="24"/>
              </w:rPr>
              <w:t>000</w:t>
            </w:r>
            <w:r>
              <w:rPr>
                <w:rFonts w:cs="宋体"/>
                <w:sz w:val="24"/>
              </w:rPr>
              <w:t>×</w:t>
            </w:r>
            <w:r>
              <w:rPr>
                <w:rFonts w:hint="eastAsia" w:cs="宋体"/>
                <w:sz w:val="24"/>
              </w:rPr>
              <w:t>1</w:t>
            </w:r>
            <w:r>
              <w:rPr>
                <w:rFonts w:hint="eastAsia" w:cs="宋体"/>
                <w:sz w:val="24"/>
                <w:lang w:val="en-US" w:eastAsia="zh-CN"/>
              </w:rPr>
              <w:t>0</w:t>
            </w:r>
            <w:r>
              <w:rPr>
                <w:rFonts w:hint="eastAsia" w:cs="宋体"/>
                <w:bCs/>
                <w:sz w:val="24"/>
              </w:rPr>
              <w:t>）≈</w:t>
            </w:r>
            <w:r>
              <w:rPr>
                <w:rFonts w:hint="eastAsia" w:cs="宋体"/>
                <w:bCs/>
                <w:sz w:val="24"/>
                <w:lang w:val="en-US" w:eastAsia="zh-CN"/>
              </w:rPr>
              <w:t>28</w:t>
            </w:r>
            <w:r>
              <w:rPr>
                <w:rFonts w:hint="eastAsia" w:cs="宋体"/>
                <w:bCs/>
                <w:sz w:val="24"/>
              </w:rPr>
              <w:t>天，经查《国家危险废物名录》</w:t>
            </w:r>
            <w:r>
              <w:rPr>
                <w:rFonts w:hint="eastAsia" w:cs="宋体"/>
                <w:sz w:val="24"/>
              </w:rPr>
              <w:t>（2021），</w:t>
            </w:r>
            <w:r>
              <w:rPr>
                <w:bCs/>
                <w:sz w:val="24"/>
              </w:rPr>
              <w:t>为危险固废，废物类别HW49，废物代码900-039-49，</w:t>
            </w:r>
            <w:r>
              <w:rPr>
                <w:sz w:val="24"/>
              </w:rPr>
              <w:t>存放于厂内危险废物仓库，经收集后委托有资质单位处置</w:t>
            </w:r>
            <w:r>
              <w:rPr>
                <w:bCs/>
                <w:sz w:val="24"/>
              </w:rPr>
              <w:t>。</w:t>
            </w:r>
          </w:p>
          <w:p>
            <w:pPr>
              <w:keepNext w:val="0"/>
              <w:keepLines w:val="0"/>
              <w:suppressLineNumbers w:val="0"/>
              <w:spacing w:before="0" w:beforeAutospacing="0" w:after="0" w:afterAutospacing="0" w:line="360" w:lineRule="auto"/>
              <w:ind w:left="0" w:right="0" w:firstLine="482" w:firstLineChars="200"/>
              <w:rPr>
                <w:rFonts w:hAnsi="宋体"/>
                <w:sz w:val="24"/>
              </w:rPr>
            </w:pPr>
            <w:r>
              <w:rPr>
                <w:rFonts w:hint="eastAsia"/>
                <w:b/>
                <w:bCs/>
                <w:sz w:val="24"/>
              </w:rPr>
              <w:t>废包装桶：</w:t>
            </w:r>
            <w:r>
              <w:rPr>
                <w:rFonts w:hAnsi="宋体"/>
                <w:sz w:val="24"/>
              </w:rPr>
              <w:t>企业冲压油采用吨桶装，每年产生</w:t>
            </w:r>
            <w:r>
              <w:rPr>
                <w:sz w:val="24"/>
              </w:rPr>
              <w:t>40</w:t>
            </w:r>
            <w:r>
              <w:rPr>
                <w:rFonts w:hAnsi="宋体"/>
                <w:sz w:val="24"/>
              </w:rPr>
              <w:t>只吨桶，由供应商回收循环利用</w:t>
            </w:r>
            <w:r>
              <w:rPr>
                <w:rFonts w:hint="eastAsia" w:hAnsi="宋体"/>
                <w:sz w:val="24"/>
                <w:lang w:eastAsia="zh-CN"/>
              </w:rPr>
              <w:t>。</w:t>
            </w:r>
            <w:r>
              <w:rPr>
                <w:rFonts w:hAnsi="宋体"/>
                <w:sz w:val="24"/>
              </w:rPr>
              <w:t>经查《固体废物鉴别标准通则》</w:t>
            </w:r>
            <w:r>
              <w:rPr>
                <w:sz w:val="24"/>
              </w:rPr>
              <w:t>(GB34330-2017)</w:t>
            </w:r>
            <w:r>
              <w:rPr>
                <w:rFonts w:hAnsi="宋体"/>
                <w:sz w:val="24"/>
              </w:rPr>
              <w:t>，属于</w:t>
            </w:r>
            <w:r>
              <w:rPr>
                <w:rFonts w:hint="eastAsia"/>
                <w:sz w:val="24"/>
                <w:lang w:eastAsia="zh-CN"/>
              </w:rPr>
              <w:t>“</w:t>
            </w:r>
            <w:r>
              <w:rPr>
                <w:rFonts w:hAnsi="宋体"/>
                <w:sz w:val="24"/>
              </w:rPr>
              <w:t>任何不需要修复和加工即可用于其原始用途的物质，或者在产生点经过修复和加工后满足国家、地方制定或行业通行的产品质量标准并且用于其原始用途的物质</w:t>
            </w:r>
            <w:r>
              <w:rPr>
                <w:rFonts w:hint="eastAsia"/>
                <w:sz w:val="24"/>
                <w:lang w:eastAsia="zh-CN"/>
              </w:rPr>
              <w:t>”</w:t>
            </w:r>
            <w:r>
              <w:rPr>
                <w:rFonts w:hAnsi="宋体"/>
                <w:sz w:val="24"/>
              </w:rPr>
              <w:t>，不作为固体废物管理。</w:t>
            </w:r>
          </w:p>
          <w:p>
            <w:pPr>
              <w:keepNext w:val="0"/>
              <w:keepLines w:val="0"/>
              <w:suppressLineNumbers w:val="0"/>
              <w:spacing w:before="0" w:beforeAutospacing="0" w:after="0" w:afterAutospacing="0" w:line="360" w:lineRule="auto"/>
              <w:ind w:left="0" w:right="0" w:firstLine="480" w:firstLineChars="200"/>
              <w:rPr>
                <w:rFonts w:hint="eastAsia"/>
                <w:sz w:val="24"/>
              </w:rPr>
            </w:pPr>
            <w:r>
              <w:rPr>
                <w:rFonts w:hAnsi="宋体"/>
                <w:sz w:val="24"/>
              </w:rPr>
              <w:t>防</w:t>
            </w:r>
            <w:r>
              <w:rPr>
                <w:rFonts w:hint="eastAsia" w:ascii="宋体" w:hAnsi="宋体" w:cs="宋体"/>
                <w:sz w:val="24"/>
              </w:rPr>
              <w:t>锈油、</w:t>
            </w:r>
            <w:r>
              <w:rPr>
                <w:rFonts w:hint="eastAsia" w:hAnsi="宋体"/>
                <w:sz w:val="24"/>
              </w:rPr>
              <w:t>液压</w:t>
            </w:r>
            <w:r>
              <w:rPr>
                <w:rFonts w:hAnsi="宋体"/>
                <w:sz w:val="24"/>
              </w:rPr>
              <w:t>油采用</w:t>
            </w:r>
            <w:r>
              <w:rPr>
                <w:sz w:val="24"/>
              </w:rPr>
              <w:t>1</w:t>
            </w:r>
            <w:r>
              <w:rPr>
                <w:rFonts w:hint="eastAsia"/>
                <w:sz w:val="24"/>
              </w:rPr>
              <w:t>7</w:t>
            </w:r>
            <w:r>
              <w:rPr>
                <w:sz w:val="24"/>
              </w:rPr>
              <w:t>0kg</w:t>
            </w:r>
            <w:r>
              <w:rPr>
                <w:rFonts w:hAnsi="宋体"/>
                <w:sz w:val="24"/>
              </w:rPr>
              <w:t>桶装</w:t>
            </w:r>
            <w:r>
              <w:rPr>
                <w:rFonts w:hint="eastAsia"/>
                <w:sz w:val="24"/>
              </w:rPr>
              <w:t>，</w:t>
            </w:r>
            <w:r>
              <w:rPr>
                <w:rFonts w:hint="eastAsia"/>
                <w:sz w:val="24"/>
                <w:lang w:eastAsia="zh-CN"/>
              </w:rPr>
              <w:t>切削油</w:t>
            </w:r>
            <w:r>
              <w:rPr>
                <w:rFonts w:hint="eastAsia"/>
                <w:sz w:val="24"/>
              </w:rPr>
              <w:t>采用25kg桶装，</w:t>
            </w:r>
            <w:r>
              <w:rPr>
                <w:sz w:val="24"/>
              </w:rPr>
              <w:t>使用过程中会产生废包装桶，每年</w:t>
            </w:r>
            <w:r>
              <w:rPr>
                <w:rFonts w:hint="eastAsia"/>
                <w:sz w:val="24"/>
              </w:rPr>
              <w:t>产生废包装</w:t>
            </w:r>
            <w:r>
              <w:rPr>
                <w:rFonts w:hint="eastAsia"/>
                <w:sz w:val="24"/>
                <w:lang w:eastAsia="zh-CN"/>
              </w:rPr>
              <w:t>桶60个（包含10个废防锈油桶，10个废液压油桶，40个废切削油桶，均为矿物油桶），则废包装桶产生量为0.6t/a。经查《国家危险废物名录》（2021），为危险固废，废物类别HW</w:t>
            </w:r>
            <w:r>
              <w:rPr>
                <w:rFonts w:hint="eastAsia"/>
                <w:sz w:val="24"/>
                <w:lang w:val="en-US" w:eastAsia="zh-CN"/>
              </w:rPr>
              <w:t>08</w:t>
            </w:r>
            <w:r>
              <w:rPr>
                <w:rFonts w:hint="eastAsia"/>
                <w:sz w:val="24"/>
                <w:lang w:eastAsia="zh-CN"/>
              </w:rPr>
              <w:t>，废物代码900</w:t>
            </w:r>
            <w:r>
              <w:rPr>
                <w:rFonts w:hint="eastAsia"/>
                <w:sz w:val="24"/>
              </w:rPr>
              <w:t>-</w:t>
            </w:r>
            <w:r>
              <w:rPr>
                <w:rFonts w:hint="eastAsia"/>
                <w:sz w:val="24"/>
                <w:lang w:val="en-US" w:eastAsia="zh-CN"/>
              </w:rPr>
              <w:t>249</w:t>
            </w:r>
            <w:r>
              <w:rPr>
                <w:rFonts w:hint="eastAsia"/>
                <w:sz w:val="24"/>
              </w:rPr>
              <w:t>-</w:t>
            </w:r>
            <w:r>
              <w:rPr>
                <w:rFonts w:hint="eastAsia"/>
                <w:sz w:val="24"/>
                <w:lang w:val="en-US" w:eastAsia="zh-CN"/>
              </w:rPr>
              <w:t>08</w:t>
            </w:r>
            <w:r>
              <w:rPr>
                <w:rFonts w:hint="eastAsia"/>
                <w:sz w:val="24"/>
              </w:rPr>
              <w:t>，存放于厂内危险废物仓库，经收集后委托有资质单位处置。</w:t>
            </w:r>
          </w:p>
          <w:p>
            <w:pPr>
              <w:keepNext w:val="0"/>
              <w:keepLines w:val="0"/>
              <w:suppressLineNumbers w:val="0"/>
              <w:spacing w:before="0" w:beforeAutospacing="0" w:after="0" w:afterAutospacing="0" w:line="360" w:lineRule="auto"/>
              <w:ind w:left="0" w:right="0" w:firstLine="482" w:firstLineChars="200"/>
              <w:rPr>
                <w:sz w:val="24"/>
              </w:rPr>
            </w:pPr>
            <w:r>
              <w:rPr>
                <w:rFonts w:hint="eastAsia"/>
                <w:b/>
                <w:sz w:val="24"/>
                <w:lang w:eastAsia="zh-CN"/>
              </w:rPr>
              <w:t>废矿物油：</w:t>
            </w:r>
            <w:r>
              <w:rPr>
                <w:rFonts w:hint="eastAsia"/>
                <w:b w:val="0"/>
                <w:bCs/>
                <w:sz w:val="24"/>
                <w:lang w:eastAsia="zh-CN"/>
              </w:rPr>
              <w:t>项目冲压、机加工和攻丝加工中涉及使用冲压油、液压油和切削油，该过程会产生废冲压油、废液压油和废切削油，这些危废均属于废矿物油，废矿物油产生量约为</w:t>
            </w:r>
            <w:r>
              <w:rPr>
                <w:rFonts w:hint="eastAsia"/>
                <w:b w:val="0"/>
                <w:bCs/>
                <w:sz w:val="24"/>
                <w:lang w:val="en-US" w:eastAsia="zh-CN"/>
              </w:rPr>
              <w:t>4t/a。</w:t>
            </w:r>
            <w:r>
              <w:rPr>
                <w:rFonts w:hint="eastAsia"/>
                <w:sz w:val="24"/>
              </w:rPr>
              <w:t>经</w:t>
            </w:r>
            <w:r>
              <w:rPr>
                <w:rFonts w:hint="eastAsia" w:ascii="宋体" w:hAnsi="宋体" w:cs="宋体"/>
                <w:bCs/>
                <w:color w:val="000000"/>
                <w:sz w:val="24"/>
              </w:rPr>
              <w:t>查《国家危险废物名录》（</w:t>
            </w:r>
            <w:r>
              <w:rPr>
                <w:rFonts w:hint="eastAsia" w:cs="宋体"/>
                <w:bCs/>
                <w:color w:val="000000"/>
                <w:sz w:val="24"/>
              </w:rPr>
              <w:t>2021</w:t>
            </w:r>
            <w:r>
              <w:rPr>
                <w:rFonts w:hint="eastAsia" w:ascii="宋体" w:hAnsi="宋体" w:cs="宋体"/>
                <w:bCs/>
                <w:color w:val="000000"/>
                <w:sz w:val="24"/>
              </w:rPr>
              <w:t>），为危险固废，废物类别</w:t>
            </w:r>
            <w:r>
              <w:rPr>
                <w:rFonts w:hint="eastAsia" w:cs="宋体"/>
                <w:bCs/>
                <w:color w:val="000000"/>
                <w:sz w:val="24"/>
              </w:rPr>
              <w:t>HW08</w:t>
            </w:r>
            <w:r>
              <w:rPr>
                <w:rFonts w:hint="eastAsia" w:ascii="宋体" w:hAnsi="宋体" w:cs="宋体"/>
                <w:bCs/>
                <w:color w:val="000000"/>
                <w:sz w:val="24"/>
              </w:rPr>
              <w:t>，废物代码</w:t>
            </w:r>
            <w:r>
              <w:rPr>
                <w:rFonts w:hint="eastAsia" w:cs="宋体"/>
                <w:bCs/>
                <w:color w:val="000000"/>
                <w:sz w:val="24"/>
              </w:rPr>
              <w:t>900</w:t>
            </w:r>
            <w:r>
              <w:rPr>
                <w:rFonts w:hint="eastAsia" w:ascii="宋体" w:hAnsi="宋体" w:cs="宋体"/>
                <w:bCs/>
                <w:color w:val="000000"/>
                <w:sz w:val="24"/>
              </w:rPr>
              <w:t>-</w:t>
            </w:r>
            <w:r>
              <w:rPr>
                <w:rFonts w:hint="eastAsia" w:cs="宋体"/>
                <w:bCs/>
                <w:color w:val="000000"/>
                <w:sz w:val="24"/>
              </w:rPr>
              <w:t>249</w:t>
            </w:r>
            <w:r>
              <w:rPr>
                <w:rFonts w:hint="eastAsia" w:ascii="宋体" w:hAnsi="宋体" w:cs="宋体"/>
                <w:bCs/>
                <w:color w:val="000000"/>
                <w:sz w:val="24"/>
              </w:rPr>
              <w:t>-</w:t>
            </w:r>
            <w:r>
              <w:rPr>
                <w:rFonts w:hint="eastAsia" w:cs="宋体"/>
                <w:bCs/>
                <w:color w:val="000000"/>
                <w:sz w:val="24"/>
              </w:rPr>
              <w:t>08</w:t>
            </w:r>
            <w:r>
              <w:rPr>
                <w:rFonts w:hint="eastAsia" w:ascii="宋体" w:hAnsi="宋体" w:cs="宋体"/>
                <w:bCs/>
                <w:color w:val="000000"/>
                <w:sz w:val="24"/>
              </w:rPr>
              <w:t>，</w:t>
            </w:r>
            <w:r>
              <w:rPr>
                <w:sz w:val="24"/>
              </w:rPr>
              <w:t>存放于厂内危险废物仓库，经收集后委托有资质单位处置</w:t>
            </w:r>
            <w:r>
              <w:rPr>
                <w:bCs/>
                <w:sz w:val="24"/>
              </w:rPr>
              <w:t>。</w:t>
            </w:r>
          </w:p>
          <w:p>
            <w:pPr>
              <w:keepNext w:val="0"/>
              <w:keepLines w:val="0"/>
              <w:suppressLineNumbers w:val="0"/>
              <w:spacing w:before="0" w:beforeAutospacing="0" w:after="0" w:afterAutospacing="0" w:line="360" w:lineRule="auto"/>
              <w:ind w:left="0" w:right="0" w:firstLine="482" w:firstLineChars="200"/>
              <w:rPr>
                <w:sz w:val="24"/>
              </w:rPr>
            </w:pPr>
            <w:r>
              <w:rPr>
                <w:rFonts w:hint="eastAsia"/>
                <w:b/>
                <w:sz w:val="24"/>
              </w:rPr>
              <w:t>含油抹布手套：</w:t>
            </w:r>
            <w:r>
              <w:rPr>
                <w:rFonts w:hint="eastAsia"/>
                <w:sz w:val="24"/>
              </w:rPr>
              <w:t>项目</w:t>
            </w:r>
            <w:r>
              <w:rPr>
                <w:rFonts w:hint="eastAsia"/>
                <w:sz w:val="24"/>
                <w:lang w:eastAsia="zh-CN"/>
              </w:rPr>
              <w:t>冲压、</w:t>
            </w:r>
            <w:r>
              <w:rPr>
                <w:rFonts w:hint="eastAsia"/>
                <w:sz w:val="24"/>
              </w:rPr>
              <w:t>机加工、攻丝加工过程中员工佩戴使用抹布手套，含油抹布手套的产生量约为0.2t/a，根据《国家危险废物名录》（2021）中“附录”中“危险废物豁免管理清单”，废物类别“HW49”、废物代码“900-041-49”，危险废物“废弃的含油抹布、劳保用品”“全部环节”豁免，豁免条件“混入生活垃圾”，豁免内容“全过程不按危险废物管理”。故全过程可不按危险废物管理，产生后混入生活垃圾，由环卫部门定期清运。</w:t>
            </w:r>
          </w:p>
          <w:p>
            <w:pPr>
              <w:keepNext w:val="0"/>
              <w:keepLines w:val="0"/>
              <w:suppressLineNumbers w:val="0"/>
              <w:spacing w:before="0" w:beforeAutospacing="0" w:after="0" w:afterAutospacing="0" w:line="360" w:lineRule="auto"/>
              <w:ind w:left="0" w:right="0" w:firstLine="482" w:firstLineChars="200"/>
              <w:rPr>
                <w:b/>
                <w:sz w:val="24"/>
              </w:rPr>
            </w:pPr>
            <w:r>
              <w:rPr>
                <w:rFonts w:hint="eastAsia"/>
                <w:b/>
                <w:color w:val="000000"/>
                <w:sz w:val="24"/>
              </w:rPr>
              <w:t>3</w:t>
            </w:r>
            <w:r>
              <w:rPr>
                <w:rFonts w:hint="eastAsia" w:ascii="宋体" w:hAnsi="宋体"/>
                <w:b/>
                <w:color w:val="000000"/>
                <w:sz w:val="24"/>
              </w:rPr>
              <w:t>）生活垃圾</w:t>
            </w:r>
          </w:p>
          <w:p>
            <w:pPr>
              <w:keepNext w:val="0"/>
              <w:keepLines w:val="0"/>
              <w:suppressLineNumbers w:val="0"/>
              <w:spacing w:before="0" w:beforeAutospacing="0" w:after="0" w:afterAutospacing="0" w:line="360" w:lineRule="auto"/>
              <w:ind w:left="0" w:right="0" w:firstLine="480" w:firstLineChars="200"/>
              <w:rPr>
                <w:color w:val="000000"/>
                <w:sz w:val="24"/>
              </w:rPr>
            </w:pPr>
            <w:r>
              <w:rPr>
                <w:rFonts w:hint="eastAsia"/>
                <w:color w:val="000000"/>
                <w:sz w:val="24"/>
              </w:rPr>
              <w:t>职</w:t>
            </w:r>
            <w:r>
              <w:rPr>
                <w:color w:val="000000"/>
                <w:sz w:val="24"/>
              </w:rPr>
              <w:t>工日常生活会产生生活垃圾，项目拟用</w:t>
            </w:r>
            <w:r>
              <w:rPr>
                <w:rFonts w:hint="eastAsia"/>
                <w:color w:val="000000"/>
                <w:sz w:val="24"/>
              </w:rPr>
              <w:t>职</w:t>
            </w:r>
            <w:r>
              <w:rPr>
                <w:color w:val="000000"/>
                <w:sz w:val="24"/>
              </w:rPr>
              <w:t>工</w:t>
            </w:r>
            <w:r>
              <w:rPr>
                <w:rFonts w:hint="eastAsia"/>
                <w:color w:val="000000"/>
                <w:sz w:val="24"/>
              </w:rPr>
              <w:t>1</w:t>
            </w:r>
            <w:r>
              <w:rPr>
                <w:color w:val="000000"/>
                <w:sz w:val="24"/>
              </w:rPr>
              <w:t>20人，日产生量按1kg/人计，年工作300天，则生活垃圾产生量为</w:t>
            </w:r>
            <w:r>
              <w:rPr>
                <w:rFonts w:hint="eastAsia"/>
                <w:color w:val="000000"/>
                <w:sz w:val="24"/>
              </w:rPr>
              <w:t>3</w:t>
            </w:r>
            <w:r>
              <w:rPr>
                <w:color w:val="000000"/>
                <w:sz w:val="24"/>
              </w:rPr>
              <w:t>6t/a。</w:t>
            </w:r>
          </w:p>
          <w:p>
            <w:pPr>
              <w:keepNext w:val="0"/>
              <w:keepLines w:val="0"/>
              <w:suppressLineNumbers w:val="0"/>
              <w:spacing w:before="0" w:beforeAutospacing="0" w:after="0" w:afterAutospacing="0" w:line="360" w:lineRule="auto"/>
              <w:ind w:left="0" w:right="0" w:firstLine="480" w:firstLineChars="200"/>
              <w:rPr>
                <w:bCs/>
                <w:sz w:val="24"/>
              </w:rPr>
            </w:pPr>
            <w:r>
              <w:rPr>
                <w:sz w:val="24"/>
              </w:rPr>
              <w:t>根据《国家危险废物名录》（2021年）以及危险废物鉴别标准，判定该固体废物是否属于危险废物，项目固体废物分析结果汇总见下表</w:t>
            </w:r>
            <w:r>
              <w:rPr>
                <w:rFonts w:hint="eastAsia"/>
                <w:bCs/>
                <w:sz w:val="24"/>
              </w:rPr>
              <w:t>。</w:t>
            </w:r>
          </w:p>
          <w:p>
            <w:pPr>
              <w:pStyle w:val="50"/>
              <w:keepNext w:val="0"/>
              <w:keepLines w:val="0"/>
              <w:suppressLineNumbers w:val="0"/>
              <w:tabs>
                <w:tab w:val="left" w:pos="3240"/>
              </w:tabs>
              <w:adjustRightInd w:val="0"/>
              <w:snapToGrid w:val="0"/>
              <w:spacing w:before="0" w:beforeAutospacing="0" w:after="0" w:afterAutospacing="0" w:line="240" w:lineRule="auto"/>
              <w:ind w:left="0" w:right="0"/>
              <w:jc w:val="center"/>
              <w:rPr>
                <w:rFonts w:ascii="Times New Roman" w:hAnsi="Times New Roman"/>
                <w:b/>
                <w:sz w:val="24"/>
              </w:rPr>
            </w:pPr>
            <w:r>
              <w:rPr>
                <w:rFonts w:ascii="Times New Roman" w:hAnsi="Times New Roman"/>
                <w:b/>
                <w:sz w:val="24"/>
              </w:rPr>
              <w:t>表</w:t>
            </w:r>
            <w:r>
              <w:rPr>
                <w:rFonts w:hint="eastAsia" w:ascii="Times New Roman" w:hAnsi="Times New Roman"/>
                <w:b/>
                <w:sz w:val="24"/>
              </w:rPr>
              <w:t>4-20</w:t>
            </w:r>
            <w:r>
              <w:rPr>
                <w:rFonts w:ascii="Times New Roman" w:hAnsi="Times New Roman"/>
                <w:b/>
                <w:sz w:val="24"/>
              </w:rPr>
              <w:t xml:space="preserve"> 项目固废产生及排放情况</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437"/>
              <w:gridCol w:w="1150"/>
              <w:gridCol w:w="643"/>
              <w:gridCol w:w="916"/>
              <w:gridCol w:w="560"/>
              <w:gridCol w:w="1051"/>
              <w:gridCol w:w="692"/>
              <w:gridCol w:w="705"/>
              <w:gridCol w:w="1106"/>
              <w:gridCol w:w="92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67" w:type="pct"/>
                  <w:tcBorders>
                    <w:top w:val="single" w:color="auto" w:sz="12" w:space="0"/>
                    <w:left w:val="nil"/>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rPr>
                    <w:t>序号</w:t>
                  </w:r>
                </w:p>
              </w:tc>
              <w:tc>
                <w:tcPr>
                  <w:tcW w:w="702" w:type="pct"/>
                  <w:tcBorders>
                    <w:top w:val="single" w:color="auto" w:sz="12"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rPr>
                    <w:t>固废名称</w:t>
                  </w:r>
                </w:p>
              </w:tc>
              <w:tc>
                <w:tcPr>
                  <w:tcW w:w="392" w:type="pct"/>
                  <w:tcBorders>
                    <w:top w:val="single" w:color="auto" w:sz="12"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rPr>
                    <w:t>属性</w:t>
                  </w:r>
                </w:p>
              </w:tc>
              <w:tc>
                <w:tcPr>
                  <w:tcW w:w="559" w:type="pct"/>
                  <w:tcBorders>
                    <w:top w:val="single" w:color="auto" w:sz="12"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rPr>
                    <w:t>产生来源</w:t>
                  </w:r>
                </w:p>
              </w:tc>
              <w:tc>
                <w:tcPr>
                  <w:tcW w:w="342" w:type="pct"/>
                  <w:tcBorders>
                    <w:top w:val="single" w:color="auto" w:sz="12"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rPr>
                    <w:t>形态</w:t>
                  </w:r>
                </w:p>
              </w:tc>
              <w:tc>
                <w:tcPr>
                  <w:tcW w:w="642" w:type="pct"/>
                  <w:tcBorders>
                    <w:top w:val="single" w:color="auto" w:sz="12"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rPr>
                    <w:t>主要成分</w:t>
                  </w:r>
                </w:p>
              </w:tc>
              <w:tc>
                <w:tcPr>
                  <w:tcW w:w="422" w:type="pct"/>
                  <w:tcBorders>
                    <w:top w:val="single" w:color="auto" w:sz="12"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rPr>
                    <w:t>危废毒性</w:t>
                  </w:r>
                </w:p>
              </w:tc>
              <w:tc>
                <w:tcPr>
                  <w:tcW w:w="430" w:type="pct"/>
                  <w:tcBorders>
                    <w:top w:val="single" w:color="auto" w:sz="12"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rPr>
                    <w:t>废物类别</w:t>
                  </w:r>
                </w:p>
              </w:tc>
              <w:tc>
                <w:tcPr>
                  <w:tcW w:w="675" w:type="pct"/>
                  <w:tcBorders>
                    <w:top w:val="single" w:color="auto" w:sz="12"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rPr>
                    <w:t>废物代码</w:t>
                  </w:r>
                </w:p>
              </w:tc>
              <w:tc>
                <w:tcPr>
                  <w:tcW w:w="563" w:type="pct"/>
                  <w:tcBorders>
                    <w:top w:val="single" w:color="auto" w:sz="12" w:space="0"/>
                    <w:left w:val="single" w:color="auto" w:sz="4" w:space="0"/>
                    <w:bottom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rPr>
                    <w:t>估算产生量（t/a）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67" w:type="pct"/>
                  <w:tcBorders>
                    <w:top w:val="single" w:color="auto" w:sz="4" w:space="0"/>
                    <w:left w:val="nil"/>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r>
                    <w:rPr>
                      <w:rFonts w:ascii="Times New Roman" w:hAnsi="Times New Roman"/>
                    </w:rPr>
                    <w:t>1</w:t>
                  </w:r>
                </w:p>
              </w:tc>
              <w:tc>
                <w:tcPr>
                  <w:tcW w:w="702" w:type="pct"/>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废包装袋</w:t>
                  </w:r>
                </w:p>
              </w:tc>
              <w:tc>
                <w:tcPr>
                  <w:tcW w:w="392" w:type="pct"/>
                  <w:vMerge w:val="restart"/>
                  <w:tcBorders>
                    <w:top w:val="single" w:color="auto" w:sz="4" w:space="0"/>
                    <w:left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r>
                    <w:rPr>
                      <w:rFonts w:ascii="Times New Roman" w:hAnsi="Times New Roman"/>
                    </w:rPr>
                    <w:t>一般固废</w:t>
                  </w:r>
                </w:p>
              </w:tc>
              <w:tc>
                <w:tcPr>
                  <w:tcW w:w="559" w:type="pct"/>
                  <w:tcBorders>
                    <w:top w:val="single" w:color="auto" w:sz="4" w:space="0"/>
                    <w:left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r>
                    <w:rPr>
                      <w:rFonts w:ascii="Times New Roman" w:hAnsi="Times New Roman"/>
                    </w:rPr>
                    <w:t>原辅料包装</w:t>
                  </w:r>
                </w:p>
              </w:tc>
              <w:tc>
                <w:tcPr>
                  <w:tcW w:w="342" w:type="pct"/>
                  <w:tcBorders>
                    <w:top w:val="single" w:color="auto" w:sz="4" w:space="0"/>
                    <w:left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r>
                    <w:rPr>
                      <w:rFonts w:ascii="Times New Roman" w:hAnsi="Times New Roman"/>
                    </w:rPr>
                    <w:t>固</w:t>
                  </w:r>
                  <w:r>
                    <w:rPr>
                      <w:rFonts w:hint="eastAsia" w:ascii="Times New Roman" w:hAnsi="Times New Roman"/>
                    </w:rPr>
                    <w:t>态</w:t>
                  </w:r>
                </w:p>
              </w:tc>
              <w:tc>
                <w:tcPr>
                  <w:tcW w:w="642" w:type="pct"/>
                  <w:tcBorders>
                    <w:top w:val="single" w:color="auto" w:sz="4" w:space="0"/>
                    <w:left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r>
                    <w:rPr>
                      <w:rFonts w:ascii="Times New Roman" w:hAnsi="Times New Roman"/>
                    </w:rPr>
                    <w:t>塑料</w:t>
                  </w:r>
                </w:p>
              </w:tc>
              <w:tc>
                <w:tcPr>
                  <w:tcW w:w="422" w:type="pct"/>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t>/</w:t>
                  </w:r>
                </w:p>
              </w:tc>
              <w:tc>
                <w:tcPr>
                  <w:tcW w:w="430" w:type="pc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pPr>
                  <w:r>
                    <w:rPr>
                      <w:rFonts w:hint="eastAsia"/>
                    </w:rPr>
                    <w:t>其它废物</w:t>
                  </w:r>
                </w:p>
              </w:tc>
              <w:tc>
                <w:tcPr>
                  <w:tcW w:w="675" w:type="pct"/>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rPr>
                    <w:t>99</w:t>
                  </w:r>
                </w:p>
              </w:tc>
              <w:tc>
                <w:tcPr>
                  <w:tcW w:w="563" w:type="pct"/>
                  <w:tcBorders>
                    <w:top w:val="single" w:color="auto" w:sz="4" w:space="0"/>
                    <w:left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0.6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67" w:type="pct"/>
                  <w:tcBorders>
                    <w:top w:val="single" w:color="auto" w:sz="4" w:space="0"/>
                    <w:left w:val="nil"/>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r>
                    <w:rPr>
                      <w:rFonts w:hint="eastAsia" w:ascii="Times New Roman" w:hAnsi="Times New Roman"/>
                    </w:rPr>
                    <w:t>2</w:t>
                  </w:r>
                </w:p>
              </w:tc>
              <w:tc>
                <w:tcPr>
                  <w:tcW w:w="702" w:type="pct"/>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不合格品</w:t>
                  </w:r>
                </w:p>
              </w:tc>
              <w:tc>
                <w:tcPr>
                  <w:tcW w:w="392" w:type="pct"/>
                  <w:vMerge w:val="continue"/>
                  <w:tcBorders>
                    <w:left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p>
              </w:tc>
              <w:tc>
                <w:tcPr>
                  <w:tcW w:w="559" w:type="pct"/>
                  <w:tcBorders>
                    <w:top w:val="single" w:color="auto" w:sz="4" w:space="0"/>
                    <w:left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r>
                    <w:rPr>
                      <w:rFonts w:hint="eastAsia" w:ascii="Times New Roman" w:hAnsi="Times New Roman"/>
                    </w:rPr>
                    <w:t>检验</w:t>
                  </w:r>
                </w:p>
              </w:tc>
              <w:tc>
                <w:tcPr>
                  <w:tcW w:w="342" w:type="pct"/>
                  <w:tcBorders>
                    <w:top w:val="single" w:color="auto" w:sz="4" w:space="0"/>
                    <w:left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r>
                    <w:rPr>
                      <w:rFonts w:ascii="Times New Roman" w:hAnsi="Times New Roman"/>
                    </w:rPr>
                    <w:t>固</w:t>
                  </w:r>
                  <w:r>
                    <w:rPr>
                      <w:rFonts w:hint="eastAsia" w:ascii="Times New Roman" w:hAnsi="Times New Roman"/>
                    </w:rPr>
                    <w:t>态</w:t>
                  </w:r>
                </w:p>
              </w:tc>
              <w:tc>
                <w:tcPr>
                  <w:tcW w:w="642" w:type="pct"/>
                  <w:tcBorders>
                    <w:top w:val="single" w:color="auto" w:sz="4" w:space="0"/>
                    <w:left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r>
                    <w:rPr>
                      <w:rFonts w:hint="eastAsia" w:ascii="Times New Roman" w:hAnsi="Times New Roman"/>
                    </w:rPr>
                    <w:t>钢材</w:t>
                  </w:r>
                </w:p>
              </w:tc>
              <w:tc>
                <w:tcPr>
                  <w:tcW w:w="422" w:type="pct"/>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t>/</w:t>
                  </w:r>
                </w:p>
              </w:tc>
              <w:tc>
                <w:tcPr>
                  <w:tcW w:w="430" w:type="pc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pPr>
                  <w:r>
                    <w:rPr>
                      <w:rFonts w:hint="eastAsia"/>
                    </w:rPr>
                    <w:t>其它废物</w:t>
                  </w:r>
                </w:p>
              </w:tc>
              <w:tc>
                <w:tcPr>
                  <w:tcW w:w="675" w:type="pct"/>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99</w:t>
                  </w:r>
                </w:p>
              </w:tc>
              <w:tc>
                <w:tcPr>
                  <w:tcW w:w="563" w:type="pct"/>
                  <w:tcBorders>
                    <w:top w:val="single" w:color="auto" w:sz="4" w:space="0"/>
                    <w:left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67" w:type="pct"/>
                  <w:tcBorders>
                    <w:top w:val="single" w:color="auto" w:sz="4" w:space="0"/>
                    <w:left w:val="nil"/>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r>
                    <w:rPr>
                      <w:rFonts w:hint="eastAsia" w:ascii="Times New Roman" w:hAnsi="Times New Roman"/>
                    </w:rPr>
                    <w:t>3</w:t>
                  </w:r>
                </w:p>
              </w:tc>
              <w:tc>
                <w:tcPr>
                  <w:tcW w:w="702" w:type="pct"/>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边角料</w:t>
                  </w:r>
                </w:p>
              </w:tc>
              <w:tc>
                <w:tcPr>
                  <w:tcW w:w="392" w:type="pct"/>
                  <w:vMerge w:val="continue"/>
                  <w:tcBorders>
                    <w:left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p>
              </w:tc>
              <w:tc>
                <w:tcPr>
                  <w:tcW w:w="559" w:type="pct"/>
                  <w:tcBorders>
                    <w:top w:val="single" w:color="auto" w:sz="4" w:space="0"/>
                    <w:left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r>
                    <w:rPr>
                      <w:rFonts w:hint="eastAsia" w:ascii="Times New Roman" w:hAnsi="Times New Roman"/>
                    </w:rPr>
                    <w:t>纵剪、冲压、机加工、攻丝加工</w:t>
                  </w:r>
                </w:p>
              </w:tc>
              <w:tc>
                <w:tcPr>
                  <w:tcW w:w="342" w:type="pct"/>
                  <w:tcBorders>
                    <w:top w:val="single" w:color="auto" w:sz="4" w:space="0"/>
                    <w:left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r>
                    <w:rPr>
                      <w:rFonts w:hint="eastAsia" w:ascii="Times New Roman" w:hAnsi="Times New Roman"/>
                    </w:rPr>
                    <w:t>固态</w:t>
                  </w:r>
                </w:p>
              </w:tc>
              <w:tc>
                <w:tcPr>
                  <w:tcW w:w="642" w:type="pct"/>
                  <w:tcBorders>
                    <w:top w:val="single" w:color="auto" w:sz="4" w:space="0"/>
                    <w:left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r>
                    <w:rPr>
                      <w:rFonts w:hint="eastAsia" w:ascii="Times New Roman" w:hAnsi="Times New Roman"/>
                    </w:rPr>
                    <w:t>钢材</w:t>
                  </w:r>
                </w:p>
              </w:tc>
              <w:tc>
                <w:tcPr>
                  <w:tcW w:w="422" w:type="pct"/>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t>/</w:t>
                  </w:r>
                </w:p>
              </w:tc>
              <w:tc>
                <w:tcPr>
                  <w:tcW w:w="430" w:type="pc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pPr>
                  <w:r>
                    <w:rPr>
                      <w:rFonts w:hint="eastAsia"/>
                    </w:rPr>
                    <w:t>其它废物</w:t>
                  </w:r>
                </w:p>
              </w:tc>
              <w:tc>
                <w:tcPr>
                  <w:tcW w:w="675" w:type="pct"/>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99</w:t>
                  </w:r>
                </w:p>
              </w:tc>
              <w:tc>
                <w:tcPr>
                  <w:tcW w:w="563" w:type="pct"/>
                  <w:tcBorders>
                    <w:top w:val="single" w:color="auto" w:sz="4" w:space="0"/>
                    <w:left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1200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67" w:type="pct"/>
                  <w:tcBorders>
                    <w:top w:val="single" w:color="auto" w:sz="4" w:space="0"/>
                    <w:left w:val="nil"/>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r>
                    <w:rPr>
                      <w:rFonts w:hint="eastAsia" w:ascii="Times New Roman" w:hAnsi="Times New Roman"/>
                    </w:rPr>
                    <w:t>4</w:t>
                  </w:r>
                </w:p>
              </w:tc>
              <w:tc>
                <w:tcPr>
                  <w:tcW w:w="702" w:type="pct"/>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eastAsia="宋体"/>
                      <w:lang w:eastAsia="zh-CN"/>
                    </w:rPr>
                  </w:pPr>
                  <w:r>
                    <w:rPr>
                      <w:rFonts w:hint="eastAsia"/>
                    </w:rPr>
                    <w:t>收集粉尘</w:t>
                  </w:r>
                  <w:r>
                    <w:rPr>
                      <w:rFonts w:hint="eastAsia"/>
                      <w:lang w:eastAsia="zh-CN"/>
                    </w:rPr>
                    <w:t>（涂敷）</w:t>
                  </w:r>
                </w:p>
              </w:tc>
              <w:tc>
                <w:tcPr>
                  <w:tcW w:w="392" w:type="pct"/>
                  <w:vMerge w:val="continue"/>
                  <w:tcBorders>
                    <w:left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p>
              </w:tc>
              <w:tc>
                <w:tcPr>
                  <w:tcW w:w="559" w:type="pct"/>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废气处理</w:t>
                  </w:r>
                </w:p>
              </w:tc>
              <w:tc>
                <w:tcPr>
                  <w:tcW w:w="342" w:type="pct"/>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固态</w:t>
                  </w:r>
                </w:p>
              </w:tc>
              <w:tc>
                <w:tcPr>
                  <w:tcW w:w="642" w:type="pct"/>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环氧树脂粉</w:t>
                  </w:r>
                </w:p>
              </w:tc>
              <w:tc>
                <w:tcPr>
                  <w:tcW w:w="422" w:type="pct"/>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w:t>
                  </w:r>
                </w:p>
              </w:tc>
              <w:tc>
                <w:tcPr>
                  <w:tcW w:w="430" w:type="pc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pPr>
                  <w:r>
                    <w:rPr>
                      <w:rFonts w:hint="eastAsia"/>
                    </w:rPr>
                    <w:t>其它废物</w:t>
                  </w:r>
                </w:p>
              </w:tc>
              <w:tc>
                <w:tcPr>
                  <w:tcW w:w="675" w:type="pct"/>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99</w:t>
                  </w:r>
                </w:p>
              </w:tc>
              <w:tc>
                <w:tcPr>
                  <w:tcW w:w="563" w:type="pct"/>
                  <w:tcBorders>
                    <w:top w:val="single" w:color="auto" w:sz="4" w:space="0"/>
                    <w:left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9.802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67" w:type="pct"/>
                  <w:tcBorders>
                    <w:top w:val="single" w:color="auto" w:sz="4" w:space="0"/>
                    <w:left w:val="nil"/>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hint="eastAsia" w:ascii="Times New Roman" w:hAnsi="Times New Roman" w:eastAsia="宋体"/>
                      <w:lang w:val="en-US" w:eastAsia="zh-CN"/>
                    </w:rPr>
                  </w:pPr>
                  <w:r>
                    <w:rPr>
                      <w:rFonts w:hint="eastAsia" w:ascii="Times New Roman" w:hAnsi="Times New Roman"/>
                      <w:lang w:val="en-US" w:eastAsia="zh-CN"/>
                    </w:rPr>
                    <w:t>5</w:t>
                  </w:r>
                </w:p>
              </w:tc>
              <w:tc>
                <w:tcPr>
                  <w:tcW w:w="702" w:type="pct"/>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rPr>
                  </w:pPr>
                  <w:r>
                    <w:rPr>
                      <w:rFonts w:hint="eastAsia"/>
                    </w:rPr>
                    <w:t>收集粉尘</w:t>
                  </w:r>
                  <w:r>
                    <w:rPr>
                      <w:rFonts w:hint="eastAsia"/>
                      <w:lang w:eastAsia="zh-CN"/>
                    </w:rPr>
                    <w:t>（焊接）</w:t>
                  </w:r>
                </w:p>
              </w:tc>
              <w:tc>
                <w:tcPr>
                  <w:tcW w:w="392" w:type="pct"/>
                  <w:vMerge w:val="continue"/>
                  <w:tcBorders>
                    <w:left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p>
              </w:tc>
              <w:tc>
                <w:tcPr>
                  <w:tcW w:w="559" w:type="pct"/>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eastAsia="宋体"/>
                      <w:lang w:eastAsia="zh-CN"/>
                    </w:rPr>
                  </w:pPr>
                  <w:r>
                    <w:rPr>
                      <w:rFonts w:hint="eastAsia"/>
                      <w:lang w:eastAsia="zh-CN"/>
                    </w:rPr>
                    <w:t>废气处理</w:t>
                  </w:r>
                </w:p>
              </w:tc>
              <w:tc>
                <w:tcPr>
                  <w:tcW w:w="342" w:type="pct"/>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eastAsia="宋体"/>
                      <w:lang w:eastAsia="zh-CN"/>
                    </w:rPr>
                  </w:pPr>
                  <w:r>
                    <w:rPr>
                      <w:rFonts w:hint="eastAsia"/>
                      <w:lang w:eastAsia="zh-CN"/>
                    </w:rPr>
                    <w:t>固态</w:t>
                  </w:r>
                </w:p>
              </w:tc>
              <w:tc>
                <w:tcPr>
                  <w:tcW w:w="642" w:type="pct"/>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eastAsia="宋体"/>
                      <w:lang w:eastAsia="zh-CN"/>
                    </w:rPr>
                  </w:pPr>
                  <w:r>
                    <w:rPr>
                      <w:rFonts w:hint="eastAsia"/>
                      <w:lang w:eastAsia="zh-CN"/>
                    </w:rPr>
                    <w:t>焊接烟尘</w:t>
                  </w:r>
                </w:p>
              </w:tc>
              <w:tc>
                <w:tcPr>
                  <w:tcW w:w="422" w:type="pct"/>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eastAsia="宋体"/>
                      <w:lang w:val="en-US" w:eastAsia="zh-CN"/>
                    </w:rPr>
                  </w:pPr>
                  <w:r>
                    <w:rPr>
                      <w:rFonts w:hint="eastAsia"/>
                      <w:lang w:val="en-US" w:eastAsia="zh-CN"/>
                    </w:rPr>
                    <w:t>/</w:t>
                  </w:r>
                </w:p>
              </w:tc>
              <w:tc>
                <w:tcPr>
                  <w:tcW w:w="430" w:type="pc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rPr>
                  </w:pPr>
                  <w:r>
                    <w:rPr>
                      <w:rFonts w:hint="eastAsia"/>
                    </w:rPr>
                    <w:t>其它废物</w:t>
                  </w:r>
                </w:p>
              </w:tc>
              <w:tc>
                <w:tcPr>
                  <w:tcW w:w="675" w:type="pct"/>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rPr>
                  </w:pPr>
                  <w:r>
                    <w:rPr>
                      <w:rFonts w:hint="eastAsia"/>
                    </w:rPr>
                    <w:t>99</w:t>
                  </w:r>
                </w:p>
              </w:tc>
              <w:tc>
                <w:tcPr>
                  <w:tcW w:w="563" w:type="pct"/>
                  <w:tcBorders>
                    <w:top w:val="single" w:color="auto" w:sz="4" w:space="0"/>
                    <w:left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szCs w:val="21"/>
                      <w:lang w:val="en-US" w:eastAsia="zh-CN"/>
                    </w:rPr>
                  </w:pPr>
                  <w:r>
                    <w:rPr>
                      <w:rFonts w:hint="eastAsia"/>
                      <w:szCs w:val="21"/>
                      <w:lang w:val="en-US" w:eastAsia="zh-CN"/>
                    </w:rPr>
                    <w:t>0.0014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67" w:type="pct"/>
                  <w:tcBorders>
                    <w:top w:val="single" w:color="auto" w:sz="4" w:space="0"/>
                    <w:left w:val="nil"/>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hint="eastAsia" w:ascii="Times New Roman" w:hAnsi="Times New Roman" w:eastAsia="宋体"/>
                      <w:lang w:eastAsia="zh-CN"/>
                    </w:rPr>
                  </w:pPr>
                  <w:r>
                    <w:rPr>
                      <w:rFonts w:hint="eastAsia" w:ascii="Times New Roman" w:hAnsi="Times New Roman"/>
                      <w:lang w:val="en-US" w:eastAsia="zh-CN"/>
                    </w:rPr>
                    <w:t>6</w:t>
                  </w:r>
                </w:p>
              </w:tc>
              <w:tc>
                <w:tcPr>
                  <w:tcW w:w="702" w:type="pct"/>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废滤芯</w:t>
                  </w:r>
                </w:p>
              </w:tc>
              <w:tc>
                <w:tcPr>
                  <w:tcW w:w="392" w:type="pct"/>
                  <w:vMerge w:val="continue"/>
                  <w:tcBorders>
                    <w:left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p>
              </w:tc>
              <w:tc>
                <w:tcPr>
                  <w:tcW w:w="559" w:type="pct"/>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废气处理</w:t>
                  </w:r>
                </w:p>
              </w:tc>
              <w:tc>
                <w:tcPr>
                  <w:tcW w:w="342" w:type="pct"/>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固态</w:t>
                  </w:r>
                </w:p>
              </w:tc>
              <w:tc>
                <w:tcPr>
                  <w:tcW w:w="642" w:type="pct"/>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滤芯</w:t>
                  </w:r>
                </w:p>
              </w:tc>
              <w:tc>
                <w:tcPr>
                  <w:tcW w:w="422" w:type="pct"/>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w:t>
                  </w:r>
                </w:p>
              </w:tc>
              <w:tc>
                <w:tcPr>
                  <w:tcW w:w="430" w:type="pc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pPr>
                  <w:r>
                    <w:rPr>
                      <w:rFonts w:hint="eastAsia"/>
                    </w:rPr>
                    <w:t>其它废物</w:t>
                  </w:r>
                </w:p>
              </w:tc>
              <w:tc>
                <w:tcPr>
                  <w:tcW w:w="675" w:type="pct"/>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99</w:t>
                  </w:r>
                </w:p>
              </w:tc>
              <w:tc>
                <w:tcPr>
                  <w:tcW w:w="563" w:type="pct"/>
                  <w:tcBorders>
                    <w:top w:val="single" w:color="auto" w:sz="4" w:space="0"/>
                    <w:left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0.18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67" w:type="pct"/>
                  <w:tcBorders>
                    <w:top w:val="single" w:color="auto" w:sz="4" w:space="0"/>
                    <w:left w:val="nil"/>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hint="eastAsia" w:ascii="Times New Roman" w:hAnsi="Times New Roman" w:eastAsia="宋体"/>
                      <w:lang w:val="en-US" w:eastAsia="zh-CN"/>
                    </w:rPr>
                  </w:pPr>
                  <w:r>
                    <w:rPr>
                      <w:rFonts w:hint="eastAsia" w:ascii="Times New Roman" w:hAnsi="Times New Roman"/>
                      <w:lang w:val="en-US" w:eastAsia="zh-CN"/>
                    </w:rPr>
                    <w:t>7</w:t>
                  </w:r>
                </w:p>
              </w:tc>
              <w:tc>
                <w:tcPr>
                  <w:tcW w:w="702" w:type="pct"/>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eastAsia="宋体"/>
                      <w:lang w:eastAsia="zh-CN"/>
                    </w:rPr>
                  </w:pPr>
                  <w:r>
                    <w:rPr>
                      <w:rFonts w:hint="eastAsia"/>
                      <w:lang w:eastAsia="zh-CN"/>
                    </w:rPr>
                    <w:t>塑料边角料</w:t>
                  </w:r>
                </w:p>
              </w:tc>
              <w:tc>
                <w:tcPr>
                  <w:tcW w:w="392" w:type="pct"/>
                  <w:vMerge w:val="continue"/>
                  <w:tcBorders>
                    <w:left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p>
              </w:tc>
              <w:tc>
                <w:tcPr>
                  <w:tcW w:w="559" w:type="pct"/>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eastAsia="宋体"/>
                      <w:lang w:eastAsia="zh-CN"/>
                    </w:rPr>
                  </w:pPr>
                  <w:r>
                    <w:rPr>
                      <w:rFonts w:hint="eastAsia"/>
                      <w:lang w:eastAsia="zh-CN"/>
                    </w:rPr>
                    <w:t>注塑成型</w:t>
                  </w:r>
                </w:p>
              </w:tc>
              <w:tc>
                <w:tcPr>
                  <w:tcW w:w="342" w:type="pct"/>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eastAsia="宋体"/>
                      <w:lang w:eastAsia="zh-CN"/>
                    </w:rPr>
                  </w:pPr>
                  <w:r>
                    <w:rPr>
                      <w:rFonts w:hint="eastAsia"/>
                      <w:lang w:eastAsia="zh-CN"/>
                    </w:rPr>
                    <w:t>固态</w:t>
                  </w:r>
                </w:p>
              </w:tc>
              <w:tc>
                <w:tcPr>
                  <w:tcW w:w="642" w:type="pct"/>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eastAsia="宋体"/>
                      <w:lang w:eastAsia="zh-CN"/>
                    </w:rPr>
                  </w:pPr>
                  <w:r>
                    <w:rPr>
                      <w:rFonts w:hint="eastAsia"/>
                      <w:lang w:eastAsia="zh-CN"/>
                    </w:rPr>
                    <w:t>聚丙烯</w:t>
                  </w:r>
                </w:p>
              </w:tc>
              <w:tc>
                <w:tcPr>
                  <w:tcW w:w="422" w:type="pct"/>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eastAsia="宋体"/>
                      <w:lang w:val="en-US" w:eastAsia="zh-CN"/>
                    </w:rPr>
                  </w:pPr>
                  <w:r>
                    <w:rPr>
                      <w:rFonts w:hint="eastAsia"/>
                      <w:lang w:val="en-US" w:eastAsia="zh-CN"/>
                    </w:rPr>
                    <w:t>/</w:t>
                  </w:r>
                </w:p>
              </w:tc>
              <w:tc>
                <w:tcPr>
                  <w:tcW w:w="430" w:type="pc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rPr>
                  </w:pPr>
                  <w:r>
                    <w:rPr>
                      <w:rFonts w:hint="eastAsia"/>
                    </w:rPr>
                    <w:t>其它废物</w:t>
                  </w:r>
                </w:p>
              </w:tc>
              <w:tc>
                <w:tcPr>
                  <w:tcW w:w="675" w:type="pct"/>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rPr>
                  </w:pPr>
                  <w:r>
                    <w:rPr>
                      <w:rFonts w:hint="eastAsia"/>
                    </w:rPr>
                    <w:t>99</w:t>
                  </w:r>
                </w:p>
              </w:tc>
              <w:tc>
                <w:tcPr>
                  <w:tcW w:w="563" w:type="pct"/>
                  <w:tcBorders>
                    <w:top w:val="single" w:color="auto" w:sz="4" w:space="0"/>
                    <w:left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67" w:type="pct"/>
                  <w:tcBorders>
                    <w:top w:val="single" w:color="auto" w:sz="4" w:space="0"/>
                    <w:left w:val="nil"/>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hint="eastAsia" w:ascii="Times New Roman" w:hAnsi="Times New Roman" w:eastAsia="宋体"/>
                      <w:lang w:eastAsia="zh-CN"/>
                    </w:rPr>
                  </w:pPr>
                  <w:r>
                    <w:rPr>
                      <w:rFonts w:hint="eastAsia" w:ascii="Times New Roman" w:hAnsi="Times New Roman"/>
                      <w:lang w:val="en-US" w:eastAsia="zh-CN"/>
                    </w:rPr>
                    <w:t>8</w:t>
                  </w:r>
                </w:p>
              </w:tc>
              <w:tc>
                <w:tcPr>
                  <w:tcW w:w="702" w:type="pct"/>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餐厨垃圾</w:t>
                  </w:r>
                </w:p>
              </w:tc>
              <w:tc>
                <w:tcPr>
                  <w:tcW w:w="392" w:type="pct"/>
                  <w:vMerge w:val="continue"/>
                  <w:tcBorders>
                    <w:left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p>
              </w:tc>
              <w:tc>
                <w:tcPr>
                  <w:tcW w:w="559" w:type="pc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ascii="宋体" w:hAnsi="宋体" w:cs="宋体"/>
                      <w:szCs w:val="21"/>
                    </w:rPr>
                  </w:pPr>
                  <w:r>
                    <w:rPr>
                      <w:rFonts w:hint="eastAsia" w:ascii="宋体" w:hAnsi="宋体" w:cs="宋体"/>
                      <w:szCs w:val="21"/>
                    </w:rPr>
                    <w:t>隔油池、食堂</w:t>
                  </w:r>
                </w:p>
              </w:tc>
              <w:tc>
                <w:tcPr>
                  <w:tcW w:w="342" w:type="pc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ascii="宋体" w:hAnsi="宋体" w:cs="宋体"/>
                      <w:szCs w:val="21"/>
                    </w:rPr>
                  </w:pPr>
                  <w:r>
                    <w:rPr>
                      <w:rFonts w:hint="eastAsia" w:ascii="宋体" w:hAnsi="宋体" w:cs="宋体"/>
                      <w:szCs w:val="21"/>
                    </w:rPr>
                    <w:t>固/液态</w:t>
                  </w:r>
                </w:p>
              </w:tc>
              <w:tc>
                <w:tcPr>
                  <w:tcW w:w="642" w:type="pc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ascii="宋体" w:hAnsi="宋体" w:cs="宋体"/>
                      <w:szCs w:val="21"/>
                    </w:rPr>
                  </w:pPr>
                  <w:r>
                    <w:rPr>
                      <w:rFonts w:hint="eastAsia" w:ascii="宋体" w:hAnsi="宋体" w:cs="宋体"/>
                      <w:szCs w:val="21"/>
                    </w:rPr>
                    <w:t>餐厨垃圾</w:t>
                  </w:r>
                </w:p>
              </w:tc>
              <w:tc>
                <w:tcPr>
                  <w:tcW w:w="422" w:type="pct"/>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w:t>
                  </w:r>
                </w:p>
              </w:tc>
              <w:tc>
                <w:tcPr>
                  <w:tcW w:w="430" w:type="pc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pPr>
                  <w:r>
                    <w:rPr>
                      <w:rFonts w:hint="eastAsia"/>
                    </w:rPr>
                    <w:t>其它废物</w:t>
                  </w:r>
                </w:p>
              </w:tc>
              <w:tc>
                <w:tcPr>
                  <w:tcW w:w="675" w:type="pct"/>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99</w:t>
                  </w:r>
                </w:p>
              </w:tc>
              <w:tc>
                <w:tcPr>
                  <w:tcW w:w="563" w:type="pct"/>
                  <w:tcBorders>
                    <w:top w:val="single" w:color="auto" w:sz="4" w:space="0"/>
                    <w:left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67" w:type="pct"/>
                  <w:tcBorders>
                    <w:top w:val="single" w:color="auto" w:sz="4" w:space="0"/>
                    <w:left w:val="nil"/>
                    <w:bottom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hint="eastAsia" w:ascii="Times New Roman" w:hAnsi="Times New Roman" w:eastAsia="宋体"/>
                      <w:lang w:eastAsia="zh-CN"/>
                    </w:rPr>
                  </w:pPr>
                  <w:r>
                    <w:rPr>
                      <w:rFonts w:hint="eastAsia" w:ascii="Times New Roman" w:hAnsi="Times New Roman"/>
                      <w:lang w:val="en-US" w:eastAsia="zh-CN"/>
                    </w:rPr>
                    <w:t>9</w:t>
                  </w:r>
                </w:p>
              </w:tc>
              <w:tc>
                <w:tcPr>
                  <w:tcW w:w="70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废活性炭</w:t>
                  </w:r>
                </w:p>
              </w:tc>
              <w:tc>
                <w:tcPr>
                  <w:tcW w:w="392" w:type="pct"/>
                  <w:vMerge w:val="restart"/>
                  <w:tcBorders>
                    <w:top w:val="single" w:color="auto" w:sz="4" w:space="0"/>
                    <w:left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r>
                    <w:rPr>
                      <w:rFonts w:ascii="Times New Roman" w:hAnsi="Times New Roman"/>
                    </w:rPr>
                    <w:t>危险固废</w:t>
                  </w:r>
                </w:p>
              </w:tc>
              <w:tc>
                <w:tcPr>
                  <w:tcW w:w="559" w:type="pct"/>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r>
                    <w:rPr>
                      <w:rFonts w:ascii="Times New Roman" w:hAnsi="Times New Roman"/>
                    </w:rPr>
                    <w:t>废气处理</w:t>
                  </w:r>
                </w:p>
              </w:tc>
              <w:tc>
                <w:tcPr>
                  <w:tcW w:w="342" w:type="pct"/>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r>
                    <w:rPr>
                      <w:rFonts w:ascii="Times New Roman" w:hAnsi="Times New Roman"/>
                    </w:rPr>
                    <w:t>固态</w:t>
                  </w:r>
                </w:p>
              </w:tc>
              <w:tc>
                <w:tcPr>
                  <w:tcW w:w="642" w:type="pct"/>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r>
                    <w:rPr>
                      <w:rFonts w:ascii="Times New Roman" w:hAnsi="Times New Roman"/>
                    </w:rPr>
                    <w:t>废活性炭</w:t>
                  </w:r>
                </w:p>
              </w:tc>
              <w:tc>
                <w:tcPr>
                  <w:tcW w:w="42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T</w:t>
                  </w:r>
                </w:p>
              </w:tc>
              <w:tc>
                <w:tcPr>
                  <w:tcW w:w="430"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HW49</w:t>
                  </w:r>
                </w:p>
              </w:tc>
              <w:tc>
                <w:tcPr>
                  <w:tcW w:w="675"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900-039-49</w:t>
                  </w:r>
                </w:p>
              </w:tc>
              <w:tc>
                <w:tcPr>
                  <w:tcW w:w="563" w:type="pct"/>
                  <w:tcBorders>
                    <w:top w:val="single" w:color="auto" w:sz="4" w:space="0"/>
                    <w:left w:val="single" w:color="auto" w:sz="4" w:space="0"/>
                    <w:bottom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4.9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67" w:type="pct"/>
                  <w:tcBorders>
                    <w:top w:val="single" w:color="auto" w:sz="4" w:space="0"/>
                    <w:left w:val="nil"/>
                    <w:bottom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hint="eastAsia" w:ascii="Times New Roman" w:hAnsi="Times New Roman" w:eastAsia="宋体"/>
                      <w:lang w:eastAsia="zh-CN"/>
                    </w:rPr>
                  </w:pPr>
                  <w:r>
                    <w:rPr>
                      <w:rFonts w:hint="eastAsia" w:ascii="Times New Roman" w:hAnsi="Times New Roman"/>
                      <w:lang w:val="en-US" w:eastAsia="zh-CN"/>
                    </w:rPr>
                    <w:t>10</w:t>
                  </w:r>
                </w:p>
              </w:tc>
              <w:tc>
                <w:tcPr>
                  <w:tcW w:w="70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废包装桶</w:t>
                  </w:r>
                </w:p>
              </w:tc>
              <w:tc>
                <w:tcPr>
                  <w:tcW w:w="392" w:type="pct"/>
                  <w:vMerge w:val="continue"/>
                  <w:tcBorders>
                    <w:left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p>
              </w:tc>
              <w:tc>
                <w:tcPr>
                  <w:tcW w:w="559"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设备维护</w:t>
                  </w:r>
                </w:p>
              </w:tc>
              <w:tc>
                <w:tcPr>
                  <w:tcW w:w="34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lang w:eastAsia="zh-CN"/>
                    </w:rPr>
                    <w:t>固</w:t>
                  </w:r>
                  <w:r>
                    <w:rPr>
                      <w:rFonts w:hint="eastAsia"/>
                    </w:rPr>
                    <w:t>态</w:t>
                  </w:r>
                </w:p>
              </w:tc>
              <w:tc>
                <w:tcPr>
                  <w:tcW w:w="642" w:type="pct"/>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r>
                    <w:rPr>
                      <w:rFonts w:hint="eastAsia"/>
                    </w:rPr>
                    <w:t>液压油、</w:t>
                  </w:r>
                  <w:r>
                    <w:rPr>
                      <w:rFonts w:hint="eastAsia"/>
                      <w:lang w:eastAsia="zh-CN"/>
                    </w:rPr>
                    <w:t>切削油</w:t>
                  </w:r>
                  <w:r>
                    <w:rPr>
                      <w:rFonts w:hint="eastAsia"/>
                    </w:rPr>
                    <w:t>、铁等</w:t>
                  </w:r>
                </w:p>
              </w:tc>
              <w:tc>
                <w:tcPr>
                  <w:tcW w:w="42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eastAsia="宋体"/>
                      <w:lang w:val="en-US" w:eastAsia="zh-CN"/>
                    </w:rPr>
                  </w:pPr>
                  <w:r>
                    <w:rPr>
                      <w:rFonts w:hint="eastAsia"/>
                    </w:rPr>
                    <w:t>T</w:t>
                  </w:r>
                  <w:r>
                    <w:rPr>
                      <w:rFonts w:hint="eastAsia"/>
                      <w:lang w:eastAsia="zh-CN"/>
                    </w:rPr>
                    <w:t>，</w:t>
                  </w:r>
                  <w:r>
                    <w:rPr>
                      <w:rFonts w:hint="eastAsia"/>
                      <w:lang w:val="en-US" w:eastAsia="zh-CN"/>
                    </w:rPr>
                    <w:t>I</w:t>
                  </w:r>
                </w:p>
              </w:tc>
              <w:tc>
                <w:tcPr>
                  <w:tcW w:w="430"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eastAsia="宋体"/>
                      <w:lang w:val="en-US" w:eastAsia="zh-CN"/>
                    </w:rPr>
                  </w:pPr>
                  <w:r>
                    <w:rPr>
                      <w:rFonts w:hint="eastAsia"/>
                    </w:rPr>
                    <w:t>HW</w:t>
                  </w:r>
                  <w:r>
                    <w:rPr>
                      <w:rFonts w:hint="eastAsia"/>
                      <w:lang w:val="en-US" w:eastAsia="zh-CN"/>
                    </w:rPr>
                    <w:t>08</w:t>
                  </w:r>
                </w:p>
              </w:tc>
              <w:tc>
                <w:tcPr>
                  <w:tcW w:w="675"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eastAsia="宋体"/>
                      <w:lang w:val="en-US" w:eastAsia="zh-CN"/>
                    </w:rPr>
                  </w:pPr>
                  <w:r>
                    <w:rPr>
                      <w:rFonts w:hint="eastAsia"/>
                    </w:rPr>
                    <w:t>900-</w:t>
                  </w:r>
                  <w:r>
                    <w:rPr>
                      <w:rFonts w:hint="eastAsia"/>
                      <w:lang w:val="en-US" w:eastAsia="zh-CN"/>
                    </w:rPr>
                    <w:t>249</w:t>
                  </w:r>
                  <w:r>
                    <w:rPr>
                      <w:rFonts w:hint="eastAsia"/>
                    </w:rPr>
                    <w:t>-</w:t>
                  </w:r>
                  <w:r>
                    <w:rPr>
                      <w:rFonts w:hint="eastAsia"/>
                      <w:lang w:val="en-US" w:eastAsia="zh-CN"/>
                    </w:rPr>
                    <w:t>08</w:t>
                  </w:r>
                </w:p>
              </w:tc>
              <w:tc>
                <w:tcPr>
                  <w:tcW w:w="563" w:type="pct"/>
                  <w:tcBorders>
                    <w:top w:val="single" w:color="auto" w:sz="4" w:space="0"/>
                    <w:left w:val="single" w:color="auto" w:sz="4" w:space="0"/>
                    <w:bottom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0.6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67" w:type="pct"/>
                  <w:tcBorders>
                    <w:top w:val="single" w:color="auto" w:sz="4" w:space="0"/>
                    <w:left w:val="nil"/>
                    <w:bottom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hint="default" w:ascii="Times New Roman" w:hAnsi="Times New Roman" w:eastAsia="宋体"/>
                      <w:lang w:val="en-US" w:eastAsia="zh-CN"/>
                    </w:rPr>
                  </w:pPr>
                  <w:r>
                    <w:rPr>
                      <w:rFonts w:hint="eastAsia" w:ascii="Times New Roman" w:hAnsi="Times New Roman"/>
                      <w:lang w:val="en-US" w:eastAsia="zh-CN"/>
                    </w:rPr>
                    <w:t>11</w:t>
                  </w:r>
                </w:p>
              </w:tc>
              <w:tc>
                <w:tcPr>
                  <w:tcW w:w="70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废</w:t>
                  </w:r>
                  <w:r>
                    <w:rPr>
                      <w:rFonts w:hint="eastAsia"/>
                      <w:lang w:eastAsia="zh-CN"/>
                    </w:rPr>
                    <w:t>矿物</w:t>
                  </w:r>
                  <w:r>
                    <w:rPr>
                      <w:rFonts w:hint="eastAsia"/>
                    </w:rPr>
                    <w:t>油</w:t>
                  </w:r>
                </w:p>
              </w:tc>
              <w:tc>
                <w:tcPr>
                  <w:tcW w:w="392" w:type="pct"/>
                  <w:vMerge w:val="continue"/>
                  <w:tcBorders>
                    <w:left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p>
              </w:tc>
              <w:tc>
                <w:tcPr>
                  <w:tcW w:w="559"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lang w:eastAsia="zh-CN"/>
                    </w:rPr>
                    <w:t>冲压、机加工、攻丝加工</w:t>
                  </w:r>
                  <w:r>
                    <w:rPr>
                      <w:rFonts w:hint="eastAsia"/>
                    </w:rPr>
                    <w:t>、设备维护</w:t>
                  </w:r>
                </w:p>
              </w:tc>
              <w:tc>
                <w:tcPr>
                  <w:tcW w:w="34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液态</w:t>
                  </w:r>
                </w:p>
              </w:tc>
              <w:tc>
                <w:tcPr>
                  <w:tcW w:w="642" w:type="pct"/>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hint="eastAsia" w:ascii="Times New Roman" w:hAnsi="Times New Roman" w:eastAsia="宋体"/>
                      <w:lang w:eastAsia="zh-CN"/>
                    </w:rPr>
                  </w:pPr>
                  <w:r>
                    <w:rPr>
                      <w:rFonts w:hint="eastAsia"/>
                    </w:rPr>
                    <w:t>液压油</w:t>
                  </w:r>
                  <w:r>
                    <w:rPr>
                      <w:rFonts w:hint="eastAsia"/>
                      <w:lang w:eastAsia="zh-CN"/>
                    </w:rPr>
                    <w:t>、冲压油、切削油</w:t>
                  </w:r>
                </w:p>
              </w:tc>
              <w:tc>
                <w:tcPr>
                  <w:tcW w:w="42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T，I</w:t>
                  </w:r>
                </w:p>
              </w:tc>
              <w:tc>
                <w:tcPr>
                  <w:tcW w:w="430"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HW08</w:t>
                  </w:r>
                </w:p>
              </w:tc>
              <w:tc>
                <w:tcPr>
                  <w:tcW w:w="675"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900-249-08</w:t>
                  </w:r>
                </w:p>
              </w:tc>
              <w:tc>
                <w:tcPr>
                  <w:tcW w:w="563" w:type="pct"/>
                  <w:tcBorders>
                    <w:top w:val="single" w:color="auto" w:sz="4" w:space="0"/>
                    <w:left w:val="single" w:color="auto" w:sz="4" w:space="0"/>
                    <w:bottom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rFonts w:hint="eastAsia" w:eastAsia="宋体"/>
                      <w:szCs w:val="21"/>
                      <w:lang w:eastAsia="zh-CN"/>
                    </w:rPr>
                  </w:pPr>
                  <w:r>
                    <w:rPr>
                      <w:rFonts w:hint="eastAsia"/>
                      <w:szCs w:val="21"/>
                      <w:lang w:val="en-US" w:eastAsia="zh-CN"/>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67" w:type="pct"/>
                  <w:tcBorders>
                    <w:top w:val="single" w:color="auto" w:sz="4" w:space="0"/>
                    <w:left w:val="nil"/>
                    <w:bottom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hint="eastAsia" w:ascii="Times New Roman" w:hAnsi="Times New Roman" w:eastAsia="宋体"/>
                      <w:lang w:eastAsia="zh-CN"/>
                    </w:rPr>
                  </w:pPr>
                  <w:r>
                    <w:rPr>
                      <w:rFonts w:hint="eastAsia" w:ascii="Times New Roman" w:hAnsi="Times New Roman"/>
                    </w:rPr>
                    <w:t>1</w:t>
                  </w:r>
                  <w:r>
                    <w:rPr>
                      <w:rFonts w:hint="eastAsia" w:ascii="Times New Roman" w:hAnsi="Times New Roman"/>
                      <w:lang w:val="en-US" w:eastAsia="zh-CN"/>
                    </w:rPr>
                    <w:t>2</w:t>
                  </w:r>
                </w:p>
              </w:tc>
              <w:tc>
                <w:tcPr>
                  <w:tcW w:w="70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含油抹布手套（豁免）</w:t>
                  </w:r>
                </w:p>
              </w:tc>
              <w:tc>
                <w:tcPr>
                  <w:tcW w:w="392" w:type="pct"/>
                  <w:vMerge w:val="continue"/>
                  <w:tcBorders>
                    <w:left w:val="single" w:color="auto" w:sz="4" w:space="0"/>
                    <w:bottom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p>
              </w:tc>
              <w:tc>
                <w:tcPr>
                  <w:tcW w:w="559"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机加工、攻丝加工</w:t>
                  </w:r>
                </w:p>
              </w:tc>
              <w:tc>
                <w:tcPr>
                  <w:tcW w:w="34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固态</w:t>
                  </w:r>
                </w:p>
              </w:tc>
              <w:tc>
                <w:tcPr>
                  <w:tcW w:w="642" w:type="pct"/>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pPr>
                  <w:r>
                    <w:rPr>
                      <w:rFonts w:hint="eastAsia"/>
                    </w:rPr>
                    <w:t>油</w:t>
                  </w:r>
                </w:p>
              </w:tc>
              <w:tc>
                <w:tcPr>
                  <w:tcW w:w="42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pPr>
                  <w:r>
                    <w:t>T/In</w:t>
                  </w:r>
                </w:p>
              </w:tc>
              <w:tc>
                <w:tcPr>
                  <w:tcW w:w="430"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HW49</w:t>
                  </w:r>
                </w:p>
              </w:tc>
              <w:tc>
                <w:tcPr>
                  <w:tcW w:w="675"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900-0</w:t>
                  </w:r>
                  <w:r>
                    <w:rPr>
                      <w:rFonts w:hint="eastAsia"/>
                    </w:rPr>
                    <w:t>41</w:t>
                  </w:r>
                  <w:r>
                    <w:t>-49</w:t>
                  </w:r>
                </w:p>
              </w:tc>
              <w:tc>
                <w:tcPr>
                  <w:tcW w:w="563" w:type="pct"/>
                  <w:tcBorders>
                    <w:top w:val="single" w:color="auto" w:sz="4" w:space="0"/>
                    <w:left w:val="single" w:color="auto" w:sz="4" w:space="0"/>
                    <w:bottom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67" w:type="pct"/>
                  <w:tcBorders>
                    <w:top w:val="single" w:color="auto" w:sz="4" w:space="0"/>
                    <w:left w:val="nil"/>
                    <w:bottom w:val="single" w:color="auto" w:sz="12"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hint="eastAsia" w:ascii="Times New Roman" w:hAnsi="Times New Roman" w:eastAsia="宋体"/>
                      <w:lang w:eastAsia="zh-CN"/>
                    </w:rPr>
                  </w:pPr>
                  <w:r>
                    <w:rPr>
                      <w:rFonts w:hint="eastAsia" w:ascii="Times New Roman" w:hAnsi="Times New Roman"/>
                    </w:rPr>
                    <w:t>1</w:t>
                  </w:r>
                  <w:r>
                    <w:rPr>
                      <w:rFonts w:hint="eastAsia" w:ascii="Times New Roman" w:hAnsi="Times New Roman"/>
                      <w:lang w:val="en-US" w:eastAsia="zh-CN"/>
                    </w:rPr>
                    <w:t>3</w:t>
                  </w:r>
                </w:p>
              </w:tc>
              <w:tc>
                <w:tcPr>
                  <w:tcW w:w="702" w:type="pct"/>
                  <w:tcBorders>
                    <w:top w:val="single" w:color="auto" w:sz="4" w:space="0"/>
                    <w:left w:val="single" w:color="auto" w:sz="4" w:space="0"/>
                    <w:bottom w:val="single" w:color="auto" w:sz="12"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生活垃圾</w:t>
                  </w:r>
                </w:p>
              </w:tc>
              <w:tc>
                <w:tcPr>
                  <w:tcW w:w="392" w:type="pct"/>
                  <w:tcBorders>
                    <w:top w:val="single" w:color="auto" w:sz="4" w:space="0"/>
                    <w:left w:val="single" w:color="auto" w:sz="4" w:space="0"/>
                    <w:bottom w:val="single" w:color="auto" w:sz="12"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r>
                    <w:rPr>
                      <w:rFonts w:ascii="Times New Roman" w:hAnsi="Times New Roman"/>
                    </w:rPr>
                    <w:t>生活垃圾</w:t>
                  </w:r>
                </w:p>
              </w:tc>
              <w:tc>
                <w:tcPr>
                  <w:tcW w:w="559" w:type="pct"/>
                  <w:tcBorders>
                    <w:top w:val="single" w:color="auto" w:sz="4" w:space="0"/>
                    <w:left w:val="single" w:color="auto" w:sz="4" w:space="0"/>
                    <w:bottom w:val="single" w:color="auto" w:sz="12"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r>
                    <w:rPr>
                      <w:rFonts w:ascii="Times New Roman" w:hAnsi="Times New Roman"/>
                    </w:rPr>
                    <w:t>员工生活</w:t>
                  </w:r>
                </w:p>
              </w:tc>
              <w:tc>
                <w:tcPr>
                  <w:tcW w:w="342" w:type="pct"/>
                  <w:tcBorders>
                    <w:top w:val="single" w:color="auto" w:sz="4" w:space="0"/>
                    <w:left w:val="single" w:color="auto" w:sz="4" w:space="0"/>
                    <w:bottom w:val="single" w:color="auto" w:sz="12"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r>
                    <w:rPr>
                      <w:rFonts w:ascii="Times New Roman" w:hAnsi="Times New Roman"/>
                    </w:rPr>
                    <w:t>固态</w:t>
                  </w:r>
                </w:p>
              </w:tc>
              <w:tc>
                <w:tcPr>
                  <w:tcW w:w="642" w:type="pct"/>
                  <w:tcBorders>
                    <w:top w:val="single" w:color="auto" w:sz="4" w:space="0"/>
                    <w:left w:val="single" w:color="auto" w:sz="4" w:space="0"/>
                    <w:bottom w:val="single" w:color="auto" w:sz="12" w:space="0"/>
                    <w:right w:val="single" w:color="auto" w:sz="4"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rPr>
                  </w:pPr>
                  <w:r>
                    <w:rPr>
                      <w:rFonts w:ascii="Times New Roman" w:hAnsi="Times New Roman"/>
                    </w:rPr>
                    <w:t>垃圾</w:t>
                  </w:r>
                </w:p>
              </w:tc>
              <w:tc>
                <w:tcPr>
                  <w:tcW w:w="422" w:type="pct"/>
                  <w:tcBorders>
                    <w:top w:val="single" w:color="auto" w:sz="4" w:space="0"/>
                    <w:left w:val="single" w:color="auto" w:sz="4" w:space="0"/>
                    <w:bottom w:val="single" w:color="auto" w:sz="12"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w:t>
                  </w:r>
                </w:p>
              </w:tc>
              <w:tc>
                <w:tcPr>
                  <w:tcW w:w="430" w:type="pct"/>
                  <w:tcBorders>
                    <w:top w:val="single" w:color="auto" w:sz="4" w:space="0"/>
                    <w:left w:val="single" w:color="auto" w:sz="4" w:space="0"/>
                    <w:bottom w:val="single" w:color="auto" w:sz="12"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w:t>
                  </w:r>
                </w:p>
              </w:tc>
              <w:tc>
                <w:tcPr>
                  <w:tcW w:w="675" w:type="pct"/>
                  <w:tcBorders>
                    <w:top w:val="single" w:color="auto" w:sz="4" w:space="0"/>
                    <w:left w:val="single" w:color="auto" w:sz="4" w:space="0"/>
                    <w:bottom w:val="single" w:color="auto" w:sz="12"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w:t>
                  </w:r>
                </w:p>
              </w:tc>
              <w:tc>
                <w:tcPr>
                  <w:tcW w:w="563" w:type="pct"/>
                  <w:tcBorders>
                    <w:top w:val="single" w:color="auto" w:sz="4" w:space="0"/>
                    <w:left w:val="single" w:color="auto" w:sz="4" w:space="0"/>
                    <w:bottom w:val="single" w:color="auto" w:sz="12" w:space="0"/>
                    <w:right w:val="nil"/>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36</w:t>
                  </w:r>
                </w:p>
              </w:tc>
            </w:tr>
          </w:tbl>
          <w:p>
            <w:pPr>
              <w:keepNext w:val="0"/>
              <w:keepLines w:val="0"/>
              <w:suppressLineNumbers w:val="0"/>
              <w:adjustRightInd w:val="0"/>
              <w:snapToGrid w:val="0"/>
              <w:spacing w:before="0" w:beforeAutospacing="0" w:after="0" w:afterAutospacing="0" w:line="360" w:lineRule="auto"/>
              <w:ind w:left="0" w:right="0" w:firstLine="482" w:firstLineChars="200"/>
              <w:rPr>
                <w:b/>
                <w:sz w:val="24"/>
              </w:rPr>
            </w:pPr>
            <w:r>
              <w:rPr>
                <w:rFonts w:hint="eastAsia"/>
                <w:b/>
                <w:sz w:val="24"/>
              </w:rPr>
              <w:t>（2</w:t>
            </w:r>
            <w:r>
              <w:rPr>
                <w:b/>
                <w:sz w:val="24"/>
              </w:rPr>
              <w:t>）防治措施</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sz w:val="24"/>
              </w:rPr>
              <w:t>一般固废：</w:t>
            </w:r>
            <w:r>
              <w:rPr>
                <w:rFonts w:hint="eastAsia"/>
                <w:sz w:val="24"/>
              </w:rPr>
              <w:t>废包装袋、不合格品、边角料、废滤芯</w:t>
            </w:r>
            <w:r>
              <w:rPr>
                <w:rFonts w:hint="eastAsia"/>
                <w:sz w:val="24"/>
                <w:lang w:eastAsia="zh-CN"/>
              </w:rPr>
              <w:t>、塑料边角料、收集粉尘（焊接）</w:t>
            </w:r>
            <w:r>
              <w:rPr>
                <w:rFonts w:hint="eastAsia"/>
                <w:sz w:val="24"/>
              </w:rPr>
              <w:t>收集后外售综合利用</w:t>
            </w:r>
            <w:r>
              <w:rPr>
                <w:rFonts w:hint="eastAsia"/>
                <w:sz w:val="24"/>
                <w:lang w:eastAsia="zh-CN"/>
              </w:rPr>
              <w:t>；</w:t>
            </w:r>
            <w:r>
              <w:rPr>
                <w:rFonts w:hint="eastAsia"/>
                <w:sz w:val="24"/>
              </w:rPr>
              <w:t>收集粉尘</w:t>
            </w:r>
            <w:r>
              <w:rPr>
                <w:rFonts w:hint="eastAsia"/>
                <w:sz w:val="24"/>
                <w:lang w:eastAsia="zh-CN"/>
              </w:rPr>
              <w:t>（涂敷）收集后</w:t>
            </w:r>
            <w:r>
              <w:rPr>
                <w:rFonts w:hint="eastAsia"/>
                <w:sz w:val="24"/>
              </w:rPr>
              <w:t>回用于生产；</w:t>
            </w:r>
            <w:r>
              <w:rPr>
                <w:rFonts w:hint="eastAsia" w:ascii="宋体" w:hAnsi="宋体" w:cs="宋体"/>
                <w:sz w:val="24"/>
              </w:rPr>
              <w:t>餐厨垃圾委托专业单位集中处理；</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rFonts w:hint="eastAsia"/>
                <w:sz w:val="24"/>
              </w:rPr>
              <w:t>危险废物：废活性炭、废包装桶、废</w:t>
            </w:r>
            <w:r>
              <w:rPr>
                <w:rFonts w:hint="eastAsia"/>
                <w:sz w:val="24"/>
                <w:lang w:eastAsia="zh-CN"/>
              </w:rPr>
              <w:t>矿物油</w:t>
            </w:r>
            <w:r>
              <w:rPr>
                <w:rFonts w:hint="eastAsia"/>
                <w:sz w:val="24"/>
              </w:rPr>
              <w:t>收集后委托有资质单位处置；含油抹布手套委托环卫清运；</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sz w:val="24"/>
              </w:rPr>
              <w:t>生活垃圾：由环卫部门统一清运。</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sz w:val="24"/>
              </w:rPr>
              <w:t>本项目在厂区内设置了</w:t>
            </w:r>
            <w:r>
              <w:rPr>
                <w:rFonts w:hint="eastAsia"/>
                <w:sz w:val="24"/>
              </w:rPr>
              <w:t>一般固废堆场和危废仓库。一般固废堆场位于厂区北侧，占地面积为32m</w:t>
            </w:r>
            <w:r>
              <w:rPr>
                <w:rFonts w:hint="eastAsia"/>
                <w:sz w:val="24"/>
                <w:vertAlign w:val="superscript"/>
              </w:rPr>
              <w:t>2</w:t>
            </w:r>
            <w:r>
              <w:rPr>
                <w:rFonts w:hint="eastAsia"/>
                <w:sz w:val="24"/>
              </w:rPr>
              <w:t>；危废仓库</w:t>
            </w:r>
            <w:r>
              <w:rPr>
                <w:sz w:val="24"/>
              </w:rPr>
              <w:t>位</w:t>
            </w:r>
            <w:r>
              <w:rPr>
                <w:rFonts w:hint="eastAsia"/>
                <w:sz w:val="24"/>
              </w:rPr>
              <w:t>于厂区北</w:t>
            </w:r>
            <w:r>
              <w:rPr>
                <w:sz w:val="24"/>
              </w:rPr>
              <w:t>侧，占地面积为</w:t>
            </w:r>
            <w:r>
              <w:rPr>
                <w:rFonts w:hint="eastAsia"/>
                <w:sz w:val="24"/>
              </w:rPr>
              <w:t>64</w:t>
            </w:r>
            <w:r>
              <w:rPr>
                <w:sz w:val="24"/>
              </w:rPr>
              <w:t>m</w:t>
            </w:r>
            <w:r>
              <w:rPr>
                <w:sz w:val="24"/>
                <w:vertAlign w:val="superscript"/>
              </w:rPr>
              <w:t>2</w:t>
            </w:r>
            <w:r>
              <w:rPr>
                <w:rFonts w:hint="eastAsia"/>
                <w:sz w:val="24"/>
              </w:rPr>
              <w:t>，</w:t>
            </w:r>
            <w:r>
              <w:rPr>
                <w:sz w:val="24"/>
              </w:rPr>
              <w:t>设置标示牌</w:t>
            </w:r>
            <w:r>
              <w:rPr>
                <w:rFonts w:hint="eastAsia"/>
                <w:sz w:val="24"/>
              </w:rPr>
              <w:t>。</w:t>
            </w:r>
          </w:p>
          <w:p>
            <w:pPr>
              <w:keepNext w:val="0"/>
              <w:keepLines w:val="0"/>
              <w:suppressLineNumbers w:val="0"/>
              <w:adjustRightInd w:val="0"/>
              <w:snapToGrid w:val="0"/>
              <w:spacing w:before="0" w:beforeAutospacing="0" w:after="0" w:afterAutospacing="0" w:line="360" w:lineRule="auto"/>
              <w:ind w:left="0" w:right="0" w:firstLine="480" w:firstLineChars="200"/>
              <w:rPr>
                <w:bCs/>
                <w:sz w:val="24"/>
              </w:rPr>
            </w:pPr>
            <w:r>
              <w:rPr>
                <w:bCs/>
                <w:sz w:val="24"/>
              </w:rPr>
              <w:t>根据《建设项目危险废物环境影响评价指南》（公告2017年第43号）要求，项目危险废物贮存场所基本情况详见下表。</w:t>
            </w:r>
          </w:p>
          <w:p>
            <w:pPr>
              <w:keepNext w:val="0"/>
              <w:keepLines w:val="0"/>
              <w:suppressLineNumbers w:val="0"/>
              <w:adjustRightInd w:val="0"/>
              <w:snapToGrid w:val="0"/>
              <w:spacing w:before="0" w:beforeAutospacing="0" w:after="0" w:afterAutospacing="0"/>
              <w:ind w:left="0" w:right="0"/>
              <w:jc w:val="center"/>
              <w:rPr>
                <w:b/>
                <w:sz w:val="24"/>
              </w:rPr>
            </w:pPr>
            <w:r>
              <w:rPr>
                <w:b/>
                <w:sz w:val="24"/>
              </w:rPr>
              <w:t>表4-</w:t>
            </w:r>
            <w:r>
              <w:rPr>
                <w:rFonts w:hint="eastAsia"/>
                <w:b/>
                <w:sz w:val="24"/>
              </w:rPr>
              <w:t>21</w:t>
            </w:r>
            <w:r>
              <w:rPr>
                <w:b/>
                <w:sz w:val="24"/>
              </w:rPr>
              <w:t xml:space="preserve"> 建设项目危险废物贮存场所（设施）基本情况表</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79" w:type="dxa"/>
                <w:bottom w:w="0" w:type="dxa"/>
                <w:right w:w="79" w:type="dxa"/>
              </w:tblCellMar>
            </w:tblPr>
            <w:tblGrid>
              <w:gridCol w:w="387"/>
              <w:gridCol w:w="1015"/>
              <w:gridCol w:w="830"/>
              <w:gridCol w:w="900"/>
              <w:gridCol w:w="1093"/>
              <w:gridCol w:w="453"/>
              <w:gridCol w:w="794"/>
              <w:gridCol w:w="971"/>
              <w:gridCol w:w="904"/>
              <w:gridCol w:w="83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236" w:type="pct"/>
                  <w:tcBorders>
                    <w:tl2br w:val="nil"/>
                    <w:tr2bl w:val="nil"/>
                  </w:tcBorders>
                  <w:vAlign w:val="center"/>
                </w:tcPr>
                <w:p>
                  <w:pPr>
                    <w:keepNext w:val="0"/>
                    <w:keepLines w:val="0"/>
                    <w:suppressLineNumbers w:val="0"/>
                    <w:spacing w:before="0" w:beforeAutospacing="0" w:after="0" w:afterAutospacing="0"/>
                    <w:ind w:left="0" w:right="0"/>
                    <w:jc w:val="center"/>
                    <w:rPr>
                      <w:b/>
                      <w:bCs/>
                      <w:kern w:val="0"/>
                      <w:szCs w:val="21"/>
                    </w:rPr>
                  </w:pPr>
                  <w:r>
                    <w:rPr>
                      <w:b/>
                      <w:bCs/>
                      <w:kern w:val="0"/>
                      <w:szCs w:val="21"/>
                    </w:rPr>
                    <w:t>序号</w:t>
                  </w:r>
                </w:p>
              </w:tc>
              <w:tc>
                <w:tcPr>
                  <w:tcW w:w="620" w:type="pct"/>
                  <w:tcBorders>
                    <w:tl2br w:val="nil"/>
                    <w:tr2bl w:val="nil"/>
                  </w:tcBorders>
                  <w:vAlign w:val="center"/>
                </w:tcPr>
                <w:p>
                  <w:pPr>
                    <w:keepNext w:val="0"/>
                    <w:keepLines w:val="0"/>
                    <w:suppressLineNumbers w:val="0"/>
                    <w:spacing w:before="0" w:beforeAutospacing="0" w:after="0" w:afterAutospacing="0"/>
                    <w:ind w:left="0" w:right="0"/>
                    <w:jc w:val="center"/>
                    <w:rPr>
                      <w:b/>
                      <w:bCs/>
                      <w:kern w:val="0"/>
                      <w:szCs w:val="21"/>
                    </w:rPr>
                  </w:pPr>
                  <w:r>
                    <w:rPr>
                      <w:b/>
                      <w:bCs/>
                      <w:kern w:val="0"/>
                      <w:szCs w:val="21"/>
                    </w:rPr>
                    <w:t>贮存场所</w:t>
                  </w:r>
                  <w:r>
                    <w:rPr>
                      <w:rFonts w:hint="eastAsia"/>
                      <w:b/>
                      <w:bCs/>
                      <w:kern w:val="0"/>
                      <w:szCs w:val="21"/>
                      <w:lang w:eastAsia="zh-CN"/>
                    </w:rPr>
                    <w:t>（</w:t>
                  </w:r>
                  <w:r>
                    <w:rPr>
                      <w:b/>
                      <w:bCs/>
                      <w:kern w:val="0"/>
                      <w:szCs w:val="21"/>
                    </w:rPr>
                    <w:t>设施</w:t>
                  </w:r>
                  <w:r>
                    <w:rPr>
                      <w:rFonts w:hint="eastAsia"/>
                      <w:b/>
                      <w:bCs/>
                      <w:kern w:val="0"/>
                      <w:szCs w:val="21"/>
                      <w:lang w:eastAsia="zh-CN"/>
                    </w:rPr>
                    <w:t>）</w:t>
                  </w:r>
                  <w:r>
                    <w:rPr>
                      <w:b/>
                      <w:bCs/>
                      <w:kern w:val="0"/>
                      <w:szCs w:val="21"/>
                    </w:rPr>
                    <w:t>名称</w:t>
                  </w:r>
                </w:p>
              </w:tc>
              <w:tc>
                <w:tcPr>
                  <w:tcW w:w="507" w:type="pct"/>
                  <w:tcBorders>
                    <w:tl2br w:val="nil"/>
                    <w:tr2bl w:val="nil"/>
                  </w:tcBorders>
                  <w:vAlign w:val="center"/>
                </w:tcPr>
                <w:p>
                  <w:pPr>
                    <w:keepNext w:val="0"/>
                    <w:keepLines w:val="0"/>
                    <w:suppressLineNumbers w:val="0"/>
                    <w:spacing w:before="0" w:beforeAutospacing="0" w:after="0" w:afterAutospacing="0"/>
                    <w:ind w:left="0" w:right="0"/>
                    <w:jc w:val="center"/>
                    <w:rPr>
                      <w:b/>
                      <w:bCs/>
                      <w:kern w:val="0"/>
                      <w:szCs w:val="21"/>
                    </w:rPr>
                  </w:pPr>
                  <w:r>
                    <w:rPr>
                      <w:b/>
                      <w:bCs/>
                      <w:kern w:val="0"/>
                      <w:szCs w:val="21"/>
                    </w:rPr>
                    <w:t>危险废物名称</w:t>
                  </w:r>
                </w:p>
              </w:tc>
              <w:tc>
                <w:tcPr>
                  <w:tcW w:w="549" w:type="pct"/>
                  <w:tcBorders>
                    <w:tl2br w:val="nil"/>
                    <w:tr2bl w:val="nil"/>
                  </w:tcBorders>
                  <w:vAlign w:val="center"/>
                </w:tcPr>
                <w:p>
                  <w:pPr>
                    <w:keepNext w:val="0"/>
                    <w:keepLines w:val="0"/>
                    <w:suppressLineNumbers w:val="0"/>
                    <w:spacing w:before="0" w:beforeAutospacing="0" w:after="0" w:afterAutospacing="0"/>
                    <w:ind w:left="0" w:right="0"/>
                    <w:jc w:val="center"/>
                    <w:rPr>
                      <w:b/>
                      <w:bCs/>
                      <w:kern w:val="0"/>
                      <w:szCs w:val="21"/>
                    </w:rPr>
                  </w:pPr>
                  <w:r>
                    <w:rPr>
                      <w:b/>
                      <w:bCs/>
                      <w:kern w:val="0"/>
                      <w:szCs w:val="21"/>
                    </w:rPr>
                    <w:t>危险废物类别</w:t>
                  </w:r>
                </w:p>
              </w:tc>
              <w:tc>
                <w:tcPr>
                  <w:tcW w:w="667" w:type="pct"/>
                  <w:tcBorders>
                    <w:tl2br w:val="nil"/>
                    <w:tr2bl w:val="nil"/>
                  </w:tcBorders>
                  <w:vAlign w:val="center"/>
                </w:tcPr>
                <w:p>
                  <w:pPr>
                    <w:keepNext w:val="0"/>
                    <w:keepLines w:val="0"/>
                    <w:suppressLineNumbers w:val="0"/>
                    <w:spacing w:before="0" w:beforeAutospacing="0" w:after="0" w:afterAutospacing="0"/>
                    <w:ind w:left="0" w:right="0"/>
                    <w:jc w:val="center"/>
                    <w:rPr>
                      <w:b/>
                      <w:bCs/>
                      <w:kern w:val="0"/>
                      <w:szCs w:val="21"/>
                    </w:rPr>
                  </w:pPr>
                  <w:r>
                    <w:rPr>
                      <w:b/>
                      <w:bCs/>
                      <w:kern w:val="0"/>
                      <w:szCs w:val="21"/>
                    </w:rPr>
                    <w:t>危险废物代码</w:t>
                  </w:r>
                </w:p>
              </w:tc>
              <w:tc>
                <w:tcPr>
                  <w:tcW w:w="276" w:type="pct"/>
                  <w:tcBorders>
                    <w:tl2br w:val="nil"/>
                    <w:tr2bl w:val="nil"/>
                  </w:tcBorders>
                  <w:vAlign w:val="center"/>
                </w:tcPr>
                <w:p>
                  <w:pPr>
                    <w:keepNext w:val="0"/>
                    <w:keepLines w:val="0"/>
                    <w:suppressLineNumbers w:val="0"/>
                    <w:spacing w:before="0" w:beforeAutospacing="0" w:after="0" w:afterAutospacing="0"/>
                    <w:ind w:left="0" w:right="0"/>
                    <w:jc w:val="center"/>
                    <w:rPr>
                      <w:b/>
                      <w:bCs/>
                      <w:kern w:val="0"/>
                      <w:szCs w:val="21"/>
                    </w:rPr>
                  </w:pPr>
                  <w:r>
                    <w:rPr>
                      <w:b/>
                      <w:bCs/>
                      <w:kern w:val="0"/>
                      <w:szCs w:val="21"/>
                    </w:rPr>
                    <w:t>位置</w:t>
                  </w:r>
                </w:p>
              </w:tc>
              <w:tc>
                <w:tcPr>
                  <w:tcW w:w="485" w:type="pct"/>
                  <w:tcBorders>
                    <w:tl2br w:val="nil"/>
                    <w:tr2bl w:val="nil"/>
                  </w:tcBorders>
                  <w:vAlign w:val="center"/>
                </w:tcPr>
                <w:p>
                  <w:pPr>
                    <w:pStyle w:val="85"/>
                    <w:keepNext w:val="0"/>
                    <w:keepLines w:val="0"/>
                    <w:suppressLineNumbers w:val="0"/>
                    <w:spacing w:before="0" w:beforeAutospacing="0" w:after="0" w:afterAutospacing="0"/>
                    <w:ind w:left="0" w:right="0"/>
                    <w:rPr>
                      <w:b/>
                      <w:bCs/>
                      <w:sz w:val="21"/>
                      <w:szCs w:val="21"/>
                    </w:rPr>
                  </w:pPr>
                  <w:r>
                    <w:rPr>
                      <w:b/>
                      <w:bCs/>
                      <w:sz w:val="21"/>
                      <w:szCs w:val="21"/>
                    </w:rPr>
                    <w:t>占地面积（m</w:t>
                  </w:r>
                  <w:r>
                    <w:rPr>
                      <w:b/>
                      <w:bCs/>
                      <w:sz w:val="21"/>
                      <w:szCs w:val="21"/>
                      <w:vertAlign w:val="superscript"/>
                    </w:rPr>
                    <w:t>2</w:t>
                  </w:r>
                  <w:r>
                    <w:rPr>
                      <w:b/>
                      <w:bCs/>
                      <w:sz w:val="21"/>
                      <w:szCs w:val="21"/>
                    </w:rPr>
                    <w:t>）</w:t>
                  </w:r>
                </w:p>
              </w:tc>
              <w:tc>
                <w:tcPr>
                  <w:tcW w:w="593" w:type="pct"/>
                  <w:tcBorders>
                    <w:tl2br w:val="nil"/>
                    <w:tr2bl w:val="nil"/>
                  </w:tcBorders>
                  <w:vAlign w:val="center"/>
                </w:tcPr>
                <w:p>
                  <w:pPr>
                    <w:pStyle w:val="85"/>
                    <w:keepNext w:val="0"/>
                    <w:keepLines w:val="0"/>
                    <w:suppressLineNumbers w:val="0"/>
                    <w:spacing w:before="0" w:beforeAutospacing="0" w:after="0" w:afterAutospacing="0"/>
                    <w:ind w:left="0" w:right="0"/>
                    <w:rPr>
                      <w:b/>
                      <w:bCs/>
                      <w:sz w:val="21"/>
                      <w:szCs w:val="21"/>
                    </w:rPr>
                  </w:pPr>
                  <w:r>
                    <w:rPr>
                      <w:b/>
                      <w:bCs/>
                      <w:sz w:val="21"/>
                      <w:szCs w:val="21"/>
                    </w:rPr>
                    <w:t>贮存方式</w:t>
                  </w:r>
                </w:p>
              </w:tc>
              <w:tc>
                <w:tcPr>
                  <w:tcW w:w="552" w:type="pct"/>
                  <w:tcBorders>
                    <w:tl2br w:val="nil"/>
                    <w:tr2bl w:val="nil"/>
                  </w:tcBorders>
                  <w:vAlign w:val="center"/>
                </w:tcPr>
                <w:p>
                  <w:pPr>
                    <w:pStyle w:val="85"/>
                    <w:keepNext w:val="0"/>
                    <w:keepLines w:val="0"/>
                    <w:suppressLineNumbers w:val="0"/>
                    <w:spacing w:before="0" w:beforeAutospacing="0" w:after="0" w:afterAutospacing="0"/>
                    <w:ind w:left="0" w:right="0"/>
                    <w:rPr>
                      <w:b/>
                      <w:bCs/>
                      <w:sz w:val="21"/>
                      <w:szCs w:val="21"/>
                    </w:rPr>
                  </w:pPr>
                  <w:r>
                    <w:rPr>
                      <w:b/>
                      <w:bCs/>
                      <w:sz w:val="21"/>
                      <w:szCs w:val="21"/>
                    </w:rPr>
                    <w:t>贮存</w:t>
                  </w:r>
                </w:p>
                <w:p>
                  <w:pPr>
                    <w:pStyle w:val="85"/>
                    <w:keepNext w:val="0"/>
                    <w:keepLines w:val="0"/>
                    <w:suppressLineNumbers w:val="0"/>
                    <w:spacing w:before="0" w:beforeAutospacing="0" w:after="0" w:afterAutospacing="0"/>
                    <w:ind w:left="0" w:right="0"/>
                    <w:rPr>
                      <w:b/>
                      <w:bCs/>
                      <w:sz w:val="21"/>
                      <w:szCs w:val="21"/>
                    </w:rPr>
                  </w:pPr>
                  <w:r>
                    <w:rPr>
                      <w:b/>
                      <w:bCs/>
                      <w:sz w:val="21"/>
                      <w:szCs w:val="21"/>
                    </w:rPr>
                    <w:t>能力（t）</w:t>
                  </w:r>
                </w:p>
              </w:tc>
              <w:tc>
                <w:tcPr>
                  <w:tcW w:w="510" w:type="pct"/>
                  <w:tcBorders>
                    <w:tl2br w:val="nil"/>
                    <w:tr2bl w:val="nil"/>
                  </w:tcBorders>
                  <w:vAlign w:val="center"/>
                </w:tcPr>
                <w:p>
                  <w:pPr>
                    <w:pStyle w:val="85"/>
                    <w:keepNext w:val="0"/>
                    <w:keepLines w:val="0"/>
                    <w:suppressLineNumbers w:val="0"/>
                    <w:spacing w:before="0" w:beforeAutospacing="0" w:after="0" w:afterAutospacing="0"/>
                    <w:ind w:left="0" w:right="0"/>
                    <w:rPr>
                      <w:b/>
                      <w:bCs/>
                      <w:sz w:val="21"/>
                      <w:szCs w:val="21"/>
                    </w:rPr>
                  </w:pPr>
                  <w:r>
                    <w:rPr>
                      <w:b/>
                      <w:bCs/>
                      <w:sz w:val="21"/>
                      <w:szCs w:val="21"/>
                    </w:rPr>
                    <w:t>贮存</w:t>
                  </w:r>
                </w:p>
                <w:p>
                  <w:pPr>
                    <w:pStyle w:val="85"/>
                    <w:keepNext w:val="0"/>
                    <w:keepLines w:val="0"/>
                    <w:suppressLineNumbers w:val="0"/>
                    <w:spacing w:before="0" w:beforeAutospacing="0" w:after="0" w:afterAutospacing="0"/>
                    <w:ind w:left="0" w:right="0"/>
                    <w:rPr>
                      <w:b/>
                      <w:bCs/>
                      <w:sz w:val="21"/>
                      <w:szCs w:val="21"/>
                    </w:rPr>
                  </w:pPr>
                  <w:r>
                    <w:rPr>
                      <w:b/>
                      <w:bCs/>
                      <w:sz w:val="21"/>
                      <w:szCs w:val="21"/>
                    </w:rPr>
                    <w:t>周期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236" w:type="pct"/>
                  <w:tcBorders>
                    <w:tl2br w:val="nil"/>
                    <w:tr2bl w:val="nil"/>
                  </w:tcBorders>
                  <w:vAlign w:val="center"/>
                </w:tcPr>
                <w:p>
                  <w:pPr>
                    <w:keepNext w:val="0"/>
                    <w:keepLines w:val="0"/>
                    <w:suppressLineNumbers w:val="0"/>
                    <w:spacing w:before="0" w:beforeAutospacing="0" w:after="0" w:afterAutospacing="0"/>
                    <w:ind w:left="0" w:right="0"/>
                    <w:jc w:val="center"/>
                    <w:rPr>
                      <w:kern w:val="0"/>
                      <w:szCs w:val="21"/>
                    </w:rPr>
                  </w:pPr>
                  <w:r>
                    <w:rPr>
                      <w:kern w:val="0"/>
                      <w:szCs w:val="21"/>
                    </w:rPr>
                    <w:t>1</w:t>
                  </w:r>
                </w:p>
              </w:tc>
              <w:tc>
                <w:tcPr>
                  <w:tcW w:w="620"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kern w:val="0"/>
                      <w:szCs w:val="21"/>
                    </w:rPr>
                  </w:pPr>
                  <w:r>
                    <w:rPr>
                      <w:kern w:val="0"/>
                      <w:szCs w:val="21"/>
                    </w:rPr>
                    <w:t>危废</w:t>
                  </w:r>
                </w:p>
                <w:p>
                  <w:pPr>
                    <w:keepNext w:val="0"/>
                    <w:keepLines w:val="0"/>
                    <w:suppressLineNumbers w:val="0"/>
                    <w:spacing w:before="0" w:beforeAutospacing="0" w:after="0" w:afterAutospacing="0"/>
                    <w:ind w:left="0" w:right="0"/>
                    <w:jc w:val="center"/>
                    <w:rPr>
                      <w:kern w:val="0"/>
                      <w:szCs w:val="21"/>
                    </w:rPr>
                  </w:pPr>
                  <w:r>
                    <w:rPr>
                      <w:rFonts w:hint="eastAsia"/>
                      <w:kern w:val="0"/>
                      <w:szCs w:val="21"/>
                    </w:rPr>
                    <w:t>仓库</w:t>
                  </w:r>
                </w:p>
              </w:tc>
              <w:tc>
                <w:tcPr>
                  <w:tcW w:w="507"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szCs w:val="21"/>
                    </w:rPr>
                  </w:pPr>
                  <w:r>
                    <w:t>废活性炭</w:t>
                  </w:r>
                </w:p>
              </w:tc>
              <w:tc>
                <w:tcPr>
                  <w:tcW w:w="549"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szCs w:val="21"/>
                    </w:rPr>
                  </w:pPr>
                  <w:r>
                    <w:t>HW49</w:t>
                  </w:r>
                </w:p>
              </w:tc>
              <w:tc>
                <w:tcPr>
                  <w:tcW w:w="667"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szCs w:val="21"/>
                    </w:rPr>
                  </w:pPr>
                  <w:r>
                    <w:t>900-039-49</w:t>
                  </w:r>
                </w:p>
              </w:tc>
              <w:tc>
                <w:tcPr>
                  <w:tcW w:w="276"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kern w:val="0"/>
                      <w:szCs w:val="21"/>
                    </w:rPr>
                  </w:pPr>
                  <w:r>
                    <w:rPr>
                      <w:kern w:val="0"/>
                      <w:szCs w:val="21"/>
                    </w:rPr>
                    <w:t>车间</w:t>
                  </w:r>
                  <w:r>
                    <w:rPr>
                      <w:rFonts w:hint="eastAsia"/>
                      <w:kern w:val="0"/>
                      <w:szCs w:val="21"/>
                    </w:rPr>
                    <w:t>北</w:t>
                  </w:r>
                  <w:r>
                    <w:rPr>
                      <w:kern w:val="0"/>
                      <w:szCs w:val="21"/>
                    </w:rPr>
                    <w:t>侧</w:t>
                  </w:r>
                </w:p>
              </w:tc>
              <w:tc>
                <w:tcPr>
                  <w:tcW w:w="485"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kern w:val="0"/>
                      <w:szCs w:val="21"/>
                    </w:rPr>
                  </w:pPr>
                  <w:r>
                    <w:rPr>
                      <w:rFonts w:hint="eastAsia"/>
                      <w:kern w:val="0"/>
                      <w:szCs w:val="21"/>
                    </w:rPr>
                    <w:t>64</w:t>
                  </w:r>
                </w:p>
              </w:tc>
              <w:tc>
                <w:tcPr>
                  <w:tcW w:w="593" w:type="pct"/>
                  <w:vMerge w:val="restart"/>
                  <w:tcBorders>
                    <w:tl2br w:val="nil"/>
                    <w:tr2bl w:val="nil"/>
                  </w:tcBorders>
                  <w:vAlign w:val="center"/>
                </w:tcPr>
                <w:p>
                  <w:pPr>
                    <w:keepNext w:val="0"/>
                    <w:keepLines w:val="0"/>
                    <w:suppressLineNumbers w:val="0"/>
                    <w:spacing w:before="0" w:beforeAutospacing="0" w:after="0" w:afterAutospacing="0"/>
                    <w:ind w:left="0" w:right="0"/>
                    <w:jc w:val="center"/>
                    <w:rPr>
                      <w:kern w:val="0"/>
                      <w:szCs w:val="21"/>
                    </w:rPr>
                  </w:pPr>
                  <w:r>
                    <w:rPr>
                      <w:kern w:val="0"/>
                      <w:szCs w:val="21"/>
                    </w:rPr>
                    <w:t>贴上标签，密封，分区放置</w:t>
                  </w:r>
                </w:p>
              </w:tc>
              <w:tc>
                <w:tcPr>
                  <w:tcW w:w="552"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1.225</w:t>
                  </w:r>
                </w:p>
              </w:tc>
              <w:tc>
                <w:tcPr>
                  <w:tcW w:w="510" w:type="pct"/>
                  <w:tcBorders>
                    <w:tl2br w:val="nil"/>
                    <w:tr2bl w:val="nil"/>
                  </w:tcBorders>
                  <w:vAlign w:val="center"/>
                </w:tcPr>
                <w:p>
                  <w:pPr>
                    <w:keepNext w:val="0"/>
                    <w:keepLines w:val="0"/>
                    <w:suppressLineNumbers w:val="0"/>
                    <w:spacing w:before="0" w:beforeAutospacing="0" w:after="0" w:afterAutospacing="0"/>
                    <w:ind w:left="0" w:right="0"/>
                    <w:jc w:val="center"/>
                    <w:rPr>
                      <w:szCs w:val="21"/>
                    </w:rPr>
                  </w:pPr>
                  <w:r>
                    <w:rPr>
                      <w:rFonts w:hint="eastAsia"/>
                      <w:szCs w:val="21"/>
                    </w:rPr>
                    <w:t>3个月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236" w:type="pct"/>
                  <w:tcBorders>
                    <w:tl2br w:val="nil"/>
                    <w:tr2bl w:val="nil"/>
                  </w:tcBorders>
                  <w:vAlign w:val="center"/>
                </w:tcPr>
                <w:p>
                  <w:pPr>
                    <w:keepNext w:val="0"/>
                    <w:keepLines w:val="0"/>
                    <w:suppressLineNumbers w:val="0"/>
                    <w:spacing w:before="0" w:beforeAutospacing="0" w:after="0" w:afterAutospacing="0"/>
                    <w:ind w:left="0" w:right="0"/>
                    <w:jc w:val="center"/>
                    <w:rPr>
                      <w:kern w:val="0"/>
                      <w:szCs w:val="21"/>
                    </w:rPr>
                  </w:pPr>
                  <w:r>
                    <w:rPr>
                      <w:kern w:val="0"/>
                      <w:szCs w:val="21"/>
                    </w:rPr>
                    <w:t>2</w:t>
                  </w:r>
                </w:p>
              </w:tc>
              <w:tc>
                <w:tcPr>
                  <w:tcW w:w="620"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kern w:val="0"/>
                      <w:szCs w:val="21"/>
                    </w:rPr>
                  </w:pPr>
                </w:p>
              </w:tc>
              <w:tc>
                <w:tcPr>
                  <w:tcW w:w="507"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废包装桶</w:t>
                  </w:r>
                </w:p>
              </w:tc>
              <w:tc>
                <w:tcPr>
                  <w:tcW w:w="900" w:type="dxa"/>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pPr>
                  <w:r>
                    <w:rPr>
                      <w:rFonts w:hint="eastAsia"/>
                    </w:rPr>
                    <w:t>HW</w:t>
                  </w:r>
                  <w:r>
                    <w:rPr>
                      <w:rFonts w:hint="eastAsia"/>
                      <w:lang w:val="en-US" w:eastAsia="zh-CN"/>
                    </w:rPr>
                    <w:t>08</w:t>
                  </w:r>
                </w:p>
              </w:tc>
              <w:tc>
                <w:tcPr>
                  <w:tcW w:w="1093" w:type="dxa"/>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pPr>
                  <w:r>
                    <w:rPr>
                      <w:rFonts w:hint="eastAsia"/>
                    </w:rPr>
                    <w:t>900-</w:t>
                  </w:r>
                  <w:r>
                    <w:rPr>
                      <w:rFonts w:hint="eastAsia"/>
                      <w:lang w:val="en-US" w:eastAsia="zh-CN"/>
                    </w:rPr>
                    <w:t>249</w:t>
                  </w:r>
                  <w:r>
                    <w:rPr>
                      <w:rFonts w:hint="eastAsia"/>
                    </w:rPr>
                    <w:t>-</w:t>
                  </w:r>
                  <w:r>
                    <w:rPr>
                      <w:rFonts w:hint="eastAsia"/>
                      <w:lang w:val="en-US" w:eastAsia="zh-CN"/>
                    </w:rPr>
                    <w:t>08</w:t>
                  </w:r>
                </w:p>
              </w:tc>
              <w:tc>
                <w:tcPr>
                  <w:tcW w:w="276"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kern w:val="0"/>
                      <w:szCs w:val="21"/>
                    </w:rPr>
                  </w:pPr>
                </w:p>
              </w:tc>
              <w:tc>
                <w:tcPr>
                  <w:tcW w:w="485"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kern w:val="0"/>
                      <w:szCs w:val="21"/>
                    </w:rPr>
                  </w:pPr>
                </w:p>
              </w:tc>
              <w:tc>
                <w:tcPr>
                  <w:tcW w:w="59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kern w:val="0"/>
                      <w:szCs w:val="21"/>
                    </w:rPr>
                  </w:pPr>
                </w:p>
              </w:tc>
              <w:tc>
                <w:tcPr>
                  <w:tcW w:w="552"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0.15</w:t>
                  </w:r>
                </w:p>
              </w:tc>
              <w:tc>
                <w:tcPr>
                  <w:tcW w:w="510" w:type="pct"/>
                  <w:tcBorders>
                    <w:tl2br w:val="nil"/>
                    <w:tr2bl w:val="nil"/>
                  </w:tcBorders>
                  <w:vAlign w:val="center"/>
                </w:tcPr>
                <w:p>
                  <w:pPr>
                    <w:keepNext w:val="0"/>
                    <w:keepLines w:val="0"/>
                    <w:suppressLineNumbers w:val="0"/>
                    <w:spacing w:before="0" w:beforeAutospacing="0" w:after="0" w:afterAutospacing="0"/>
                    <w:ind w:left="0" w:right="0"/>
                    <w:jc w:val="center"/>
                    <w:rPr>
                      <w:szCs w:val="21"/>
                    </w:rPr>
                  </w:pPr>
                  <w:r>
                    <w:rPr>
                      <w:rFonts w:hint="eastAsia"/>
                      <w:szCs w:val="21"/>
                      <w:lang w:val="en-US" w:eastAsia="zh-CN"/>
                    </w:rPr>
                    <w:t>3个月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236" w:type="pct"/>
                  <w:tcBorders>
                    <w:tl2br w:val="nil"/>
                    <w:tr2bl w:val="nil"/>
                  </w:tcBorders>
                  <w:vAlign w:val="center"/>
                </w:tcPr>
                <w:p>
                  <w:pPr>
                    <w:keepNext w:val="0"/>
                    <w:keepLines w:val="0"/>
                    <w:suppressLineNumbers w:val="0"/>
                    <w:spacing w:before="0" w:beforeAutospacing="0" w:after="0" w:afterAutospacing="0"/>
                    <w:ind w:left="0" w:right="0"/>
                    <w:jc w:val="center"/>
                    <w:rPr>
                      <w:kern w:val="0"/>
                      <w:szCs w:val="21"/>
                    </w:rPr>
                  </w:pPr>
                  <w:r>
                    <w:rPr>
                      <w:kern w:val="0"/>
                      <w:szCs w:val="21"/>
                    </w:rPr>
                    <w:t>3</w:t>
                  </w:r>
                </w:p>
              </w:tc>
              <w:tc>
                <w:tcPr>
                  <w:tcW w:w="620"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kern w:val="0"/>
                      <w:szCs w:val="21"/>
                    </w:rPr>
                  </w:pPr>
                </w:p>
              </w:tc>
              <w:tc>
                <w:tcPr>
                  <w:tcW w:w="507"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eastAsia" w:eastAsia="宋体"/>
                      <w:lang w:eastAsia="zh-CN"/>
                    </w:rPr>
                  </w:pPr>
                  <w:r>
                    <w:rPr>
                      <w:rFonts w:hint="eastAsia"/>
                    </w:rPr>
                    <w:t>废</w:t>
                  </w:r>
                  <w:r>
                    <w:rPr>
                      <w:rFonts w:hint="eastAsia"/>
                      <w:lang w:eastAsia="zh-CN"/>
                    </w:rPr>
                    <w:t>矿物油</w:t>
                  </w:r>
                </w:p>
              </w:tc>
              <w:tc>
                <w:tcPr>
                  <w:tcW w:w="549"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HW08</w:t>
                  </w:r>
                </w:p>
              </w:tc>
              <w:tc>
                <w:tcPr>
                  <w:tcW w:w="667"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900-249-08</w:t>
                  </w:r>
                </w:p>
              </w:tc>
              <w:tc>
                <w:tcPr>
                  <w:tcW w:w="276"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kern w:val="0"/>
                      <w:szCs w:val="21"/>
                    </w:rPr>
                  </w:pPr>
                </w:p>
              </w:tc>
              <w:tc>
                <w:tcPr>
                  <w:tcW w:w="485"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kern w:val="0"/>
                      <w:szCs w:val="21"/>
                    </w:rPr>
                  </w:pPr>
                </w:p>
              </w:tc>
              <w:tc>
                <w:tcPr>
                  <w:tcW w:w="593"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kern w:val="0"/>
                      <w:szCs w:val="21"/>
                    </w:rPr>
                  </w:pPr>
                </w:p>
              </w:tc>
              <w:tc>
                <w:tcPr>
                  <w:tcW w:w="552" w:type="pct"/>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1</w:t>
                  </w:r>
                </w:p>
              </w:tc>
              <w:tc>
                <w:tcPr>
                  <w:tcW w:w="510" w:type="pct"/>
                  <w:tcBorders>
                    <w:tl2br w:val="nil"/>
                    <w:tr2bl w:val="nil"/>
                  </w:tcBorders>
                  <w:vAlign w:val="center"/>
                </w:tcPr>
                <w:p>
                  <w:pPr>
                    <w:keepNext w:val="0"/>
                    <w:keepLines w:val="0"/>
                    <w:suppressLineNumbers w:val="0"/>
                    <w:spacing w:before="0" w:beforeAutospacing="0" w:after="0" w:afterAutospacing="0"/>
                    <w:ind w:left="0" w:right="0"/>
                    <w:jc w:val="center"/>
                    <w:rPr>
                      <w:rFonts w:hint="eastAsia" w:eastAsia="宋体"/>
                      <w:szCs w:val="21"/>
                      <w:lang w:val="en-US" w:eastAsia="zh-CN"/>
                    </w:rPr>
                  </w:pPr>
                  <w:r>
                    <w:rPr>
                      <w:rFonts w:hint="eastAsia"/>
                      <w:szCs w:val="21"/>
                      <w:lang w:val="en-US" w:eastAsia="zh-CN"/>
                    </w:rPr>
                    <w:t>3个月</w:t>
                  </w:r>
                </w:p>
              </w:tc>
            </w:tr>
          </w:tbl>
          <w:p>
            <w:pPr>
              <w:pStyle w:val="5"/>
              <w:keepNext w:val="0"/>
              <w:keepLines w:val="0"/>
              <w:suppressLineNumbers w:val="0"/>
              <w:spacing w:before="0" w:beforeAutospacing="0" w:after="0" w:afterAutospacing="0" w:line="360" w:lineRule="auto"/>
              <w:ind w:left="0" w:right="0" w:firstLine="482" w:firstLineChars="200"/>
              <w:rPr>
                <w:rFonts w:ascii="Times New Roman" w:hAnsi="Times New Roman"/>
                <w:b/>
                <w:bCs/>
                <w:sz w:val="24"/>
              </w:rPr>
            </w:pPr>
            <w:r>
              <w:rPr>
                <w:rFonts w:ascii="Times New Roman"/>
                <w:b/>
                <w:bCs/>
                <w:sz w:val="24"/>
              </w:rPr>
              <w:t>（</w:t>
            </w:r>
            <w:r>
              <w:rPr>
                <w:rFonts w:ascii="Times New Roman" w:hAnsi="Times New Roman"/>
                <w:b/>
                <w:bCs/>
                <w:sz w:val="24"/>
              </w:rPr>
              <w:t>3</w:t>
            </w:r>
            <w:r>
              <w:rPr>
                <w:rFonts w:ascii="Times New Roman"/>
                <w:b/>
                <w:bCs/>
                <w:sz w:val="24"/>
              </w:rPr>
              <w:t>）</w:t>
            </w:r>
            <w:r>
              <w:rPr>
                <w:rFonts w:hint="eastAsia" w:ascii="Times New Roman"/>
                <w:b/>
                <w:bCs/>
                <w:sz w:val="24"/>
              </w:rPr>
              <w:t>环境管理要求</w:t>
            </w:r>
          </w:p>
          <w:p>
            <w:pPr>
              <w:keepNext w:val="0"/>
              <w:keepLines w:val="0"/>
              <w:suppressLineNumbers w:val="0"/>
              <w:adjustRightInd w:val="0"/>
              <w:snapToGrid w:val="0"/>
              <w:spacing w:before="0" w:beforeAutospacing="0" w:after="0" w:afterAutospacing="0" w:line="360" w:lineRule="auto"/>
              <w:ind w:left="0" w:right="0" w:firstLine="482" w:firstLineChars="200"/>
              <w:rPr>
                <w:b/>
                <w:bCs/>
                <w:sz w:val="24"/>
              </w:rPr>
            </w:pPr>
            <w:r>
              <w:rPr>
                <w:b/>
                <w:bCs/>
                <w:sz w:val="24"/>
              </w:rPr>
              <w:t>1）一般工业固废环境管理要求</w:t>
            </w:r>
          </w:p>
          <w:p>
            <w:pPr>
              <w:pStyle w:val="5"/>
              <w:keepNext w:val="0"/>
              <w:keepLines w:val="0"/>
              <w:suppressLineNumbers w:val="0"/>
              <w:spacing w:before="0" w:beforeAutospacing="0" w:after="0" w:afterAutospacing="0" w:line="360" w:lineRule="auto"/>
              <w:ind w:left="0" w:right="0" w:firstLine="480" w:firstLineChars="200"/>
              <w:rPr>
                <w:rFonts w:ascii="Times New Roman" w:hAnsi="Times New Roman"/>
              </w:rPr>
            </w:pPr>
            <w:r>
              <w:rPr>
                <w:rFonts w:ascii="Times New Roman" w:hAnsi="Times New Roman"/>
                <w:kern w:val="0"/>
                <w:sz w:val="24"/>
                <w:szCs w:val="24"/>
              </w:rPr>
              <w:t>建设单位应严格执行《一般工业固体废物贮存、处置场污染控制标准》（GB18599-2020），</w:t>
            </w:r>
            <w:r>
              <w:rPr>
                <w:rFonts w:hint="eastAsia"/>
                <w:sz w:val="24"/>
              </w:rPr>
              <w:t>废包装袋、不合格品、边角料、废滤芯</w:t>
            </w:r>
            <w:r>
              <w:rPr>
                <w:rFonts w:hint="eastAsia"/>
                <w:sz w:val="24"/>
                <w:lang w:eastAsia="zh-CN"/>
              </w:rPr>
              <w:t>、塑料边角料、收集粉尘（焊接）</w:t>
            </w:r>
            <w:r>
              <w:rPr>
                <w:rFonts w:ascii="Times New Roman" w:hAnsi="Times New Roman"/>
                <w:kern w:val="0"/>
                <w:sz w:val="24"/>
                <w:szCs w:val="24"/>
              </w:rPr>
              <w:t>等一般工业固废收集后分别送至现有一般固废暂存场所进行分类暂存，杜绝混合存放。</w:t>
            </w:r>
          </w:p>
          <w:p>
            <w:pPr>
              <w:keepNext w:val="0"/>
              <w:keepLines w:val="0"/>
              <w:suppressLineNumbers w:val="0"/>
              <w:adjustRightInd w:val="0"/>
              <w:snapToGrid w:val="0"/>
              <w:spacing w:before="0" w:beforeAutospacing="0" w:after="0" w:afterAutospacing="0" w:line="360" w:lineRule="auto"/>
              <w:ind w:left="0" w:right="0" w:firstLine="482" w:firstLineChars="200"/>
              <w:rPr>
                <w:b/>
                <w:bCs/>
                <w:sz w:val="24"/>
              </w:rPr>
            </w:pPr>
            <w:r>
              <w:rPr>
                <w:b/>
                <w:bCs/>
                <w:sz w:val="24"/>
              </w:rPr>
              <w:t>2）危险固废环境管理要求</w:t>
            </w:r>
          </w:p>
          <w:p>
            <w:pPr>
              <w:keepNext w:val="0"/>
              <w:keepLines w:val="0"/>
              <w:suppressLineNumbers w:val="0"/>
              <w:adjustRightInd w:val="0"/>
              <w:snapToGrid w:val="0"/>
              <w:spacing w:before="0" w:beforeAutospacing="0" w:after="0" w:afterAutospacing="0" w:line="360" w:lineRule="auto"/>
              <w:ind w:left="0" w:right="0" w:firstLine="482" w:firstLineChars="200"/>
              <w:rPr>
                <w:b/>
                <w:bCs/>
                <w:sz w:val="24"/>
              </w:rPr>
            </w:pPr>
            <w:r>
              <w:rPr>
                <w:rFonts w:ascii="宋体" w:hAnsi="宋体"/>
                <w:b/>
                <w:bCs/>
                <w:sz w:val="24"/>
              </w:rPr>
              <w:t>Ⅰ</w:t>
            </w:r>
            <w:r>
              <w:rPr>
                <w:b/>
                <w:bCs/>
                <w:sz w:val="24"/>
              </w:rPr>
              <w:t>危险固废贮存及贮存场所防护措施</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bCs/>
                <w:sz w:val="24"/>
              </w:rPr>
              <w:t>根据《省生态环境厅关于进一步加强危险废物污染防治工作的实施意见》（苏环办[2019]327号）要求，企业应按照《环境保护图形标志固体废物贮存（处置）场》（GB15562.2-1995）和危险废物识别标识设置规范（见《省生态环境厅关于进一步加强危险废物污染防治工作的实施意见》（苏环办[2019]327号）附件1）设置标志，配备通讯设备、照明设施和消防设施，设置气体导出口及气体净化装置，明确废气达标排放；在出入口、设施内部、危险废物运输车辆通道等关键位置设置视频监控，并于中控室联网。</w:t>
            </w:r>
          </w:p>
          <w:p>
            <w:pPr>
              <w:keepNext w:val="0"/>
              <w:keepLines w:val="0"/>
              <w:suppressLineNumbers w:val="0"/>
              <w:adjustRightInd w:val="0"/>
              <w:snapToGrid w:val="0"/>
              <w:spacing w:before="0" w:beforeAutospacing="0" w:after="0" w:afterAutospacing="0" w:line="360" w:lineRule="auto"/>
              <w:ind w:left="0" w:right="0" w:firstLine="480" w:firstLineChars="200"/>
              <w:rPr>
                <w:kern w:val="0"/>
                <w:sz w:val="24"/>
              </w:rPr>
            </w:pPr>
            <w:r>
              <w:rPr>
                <w:bCs/>
                <w:sz w:val="24"/>
              </w:rPr>
              <w:t>企业应根据危险废物的种类和特性进行分区、分类贮存，设置防雨、防火、防雷、防扬散、防渗漏装置及泄漏液体收集装置。对易爆、易燃及排出有毒气体的危险废物进行预处理，稳定后贮存，否则按易爆、易燃危险品贮存。贮存废弃剧毒化学品的，应按照公安机关要求落实治安防范措施。</w:t>
            </w:r>
          </w:p>
          <w:p>
            <w:pPr>
              <w:keepNext w:val="0"/>
              <w:keepLines w:val="0"/>
              <w:suppressLineNumbers w:val="0"/>
              <w:adjustRightInd w:val="0"/>
              <w:snapToGrid w:val="0"/>
              <w:spacing w:before="0" w:beforeAutospacing="0" w:after="0" w:afterAutospacing="0" w:line="360" w:lineRule="auto"/>
              <w:ind w:left="0" w:right="0" w:firstLine="480" w:firstLineChars="200"/>
            </w:pPr>
            <w:r>
              <w:rPr>
                <w:kern w:val="0"/>
                <w:sz w:val="24"/>
              </w:rPr>
              <w:t>根据《省生态环境厅关于进一步加强危险废物环境管理工作的通知》（苏环办［2021］207号），危险废物产生后必须用容器或包装袋密封储存，产生的危险固废暂存在危废仓库前通过</w:t>
            </w:r>
            <w:r>
              <w:rPr>
                <w:rFonts w:hint="eastAsia"/>
                <w:kern w:val="0"/>
                <w:sz w:val="24"/>
              </w:rPr>
              <w:t>“</w:t>
            </w:r>
            <w:r>
              <w:rPr>
                <w:kern w:val="0"/>
                <w:sz w:val="24"/>
              </w:rPr>
              <w:t>江苏省危险废物全生命周期监控系统</w:t>
            </w:r>
            <w:r>
              <w:rPr>
                <w:rFonts w:hint="eastAsia"/>
                <w:kern w:val="0"/>
                <w:sz w:val="24"/>
              </w:rPr>
              <w:t>”</w:t>
            </w:r>
            <w:r>
              <w:rPr>
                <w:kern w:val="0"/>
                <w:sz w:val="24"/>
              </w:rPr>
              <w:t>进行危险废物日常申报登记，并自动生成二维码包装标识，在容器显著位置张贴</w:t>
            </w:r>
            <w:r>
              <w:rPr>
                <w:rFonts w:hint="eastAsia"/>
                <w:kern w:val="0"/>
                <w:sz w:val="24"/>
                <w:lang w:eastAsia="zh-CN"/>
              </w:rPr>
              <w:t>带有</w:t>
            </w:r>
            <w:r>
              <w:rPr>
                <w:kern w:val="0"/>
                <w:sz w:val="24"/>
              </w:rPr>
              <w:t>二维码的标识，同时同步记录纸质危废台账。</w:t>
            </w:r>
          </w:p>
          <w:p>
            <w:pPr>
              <w:keepNext w:val="0"/>
              <w:keepLines w:val="0"/>
              <w:suppressLineNumbers w:val="0"/>
              <w:adjustRightInd w:val="0"/>
              <w:snapToGrid w:val="0"/>
              <w:spacing w:before="0" w:beforeAutospacing="0" w:after="0" w:afterAutospacing="0" w:line="360" w:lineRule="auto"/>
              <w:ind w:left="0" w:right="0" w:firstLine="480" w:firstLineChars="200"/>
              <w:rPr>
                <w:sz w:val="24"/>
              </w:rPr>
            </w:pPr>
            <w:r>
              <w:rPr>
                <w:sz w:val="24"/>
              </w:rPr>
              <w:t>根据《危险废物污染防治技术政策》环发【2001】199号文以及《关于进一步规范我区企业危废贮存、处置及其他污染防治设施相关手续的通知》武安办发（2020）62号文，对危险废物的贮存要求如下：</w:t>
            </w:r>
          </w:p>
          <w:p>
            <w:pPr>
              <w:keepNext w:val="0"/>
              <w:keepLines w:val="0"/>
              <w:suppressLineNumbers w:val="0"/>
              <w:adjustRightInd w:val="0"/>
              <w:snapToGrid w:val="0"/>
              <w:spacing w:before="0" w:beforeAutospacing="0" w:after="0" w:afterAutospacing="0" w:line="360" w:lineRule="auto"/>
              <w:ind w:left="0" w:right="0" w:firstLine="480" w:firstLineChars="200"/>
              <w:rPr>
                <w:bCs/>
                <w:sz w:val="24"/>
              </w:rPr>
            </w:pPr>
            <w:r>
              <w:rPr>
                <w:bCs/>
                <w:sz w:val="24"/>
              </w:rPr>
              <w:t>①对已产生的危险废物，若暂时不能回收利用或进行处理处置的，其产生单位建设专门的危险废物贮存设施进行贮存，并建立危险废物标志，禁止将危险废物以任何形式转移给无许可证的单位，或转移到非危险废物贮存设施中。危险废物贮存设施应有相应的配套设施并按有关规定进行管理；</w:t>
            </w:r>
          </w:p>
          <w:p>
            <w:pPr>
              <w:keepNext w:val="0"/>
              <w:keepLines w:val="0"/>
              <w:suppressLineNumbers w:val="0"/>
              <w:adjustRightInd w:val="0"/>
              <w:snapToGrid w:val="0"/>
              <w:spacing w:before="0" w:beforeAutospacing="0" w:after="0" w:afterAutospacing="0" w:line="360" w:lineRule="auto"/>
              <w:ind w:left="0" w:right="0" w:firstLine="480" w:firstLineChars="200"/>
              <w:rPr>
                <w:bCs/>
                <w:sz w:val="24"/>
              </w:rPr>
            </w:pPr>
            <w:r>
              <w:rPr>
                <w:bCs/>
                <w:sz w:val="24"/>
              </w:rPr>
              <w:t>②危险废物的贮存设施应建有堵截泄漏的裙脚，地面与裙脚要用坚固防渗的材料建造，应有防风、防晒、防雨设施；</w:t>
            </w:r>
          </w:p>
          <w:p>
            <w:pPr>
              <w:keepNext w:val="0"/>
              <w:keepLines w:val="0"/>
              <w:suppressLineNumbers w:val="0"/>
              <w:adjustRightInd w:val="0"/>
              <w:snapToGrid w:val="0"/>
              <w:spacing w:before="0" w:beforeAutospacing="0" w:after="0" w:afterAutospacing="0" w:line="360" w:lineRule="auto"/>
              <w:ind w:left="0" w:right="0" w:firstLine="480" w:firstLineChars="200"/>
              <w:rPr>
                <w:bCs/>
                <w:sz w:val="24"/>
              </w:rPr>
            </w:pPr>
            <w:r>
              <w:rPr>
                <w:bCs/>
                <w:sz w:val="24"/>
              </w:rPr>
              <w:t>③基础防渗层为粘土层的，其厚度应在1米以上，渗透系数应小于1.0×10</w:t>
            </w:r>
            <w:r>
              <w:rPr>
                <w:bCs/>
                <w:sz w:val="24"/>
                <w:vertAlign w:val="superscript"/>
              </w:rPr>
              <w:t>-7</w:t>
            </w:r>
            <w:r>
              <w:rPr>
                <w:bCs/>
                <w:sz w:val="24"/>
              </w:rPr>
              <w:t>厘米/秒；基础防渗层也可用厚度在2毫米以上的高密度聚乙烯或其他人工防渗材料组成，渗透系数应小于1.0×10</w:t>
            </w:r>
            <w:r>
              <w:rPr>
                <w:bCs/>
                <w:sz w:val="24"/>
                <w:vertAlign w:val="superscript"/>
              </w:rPr>
              <w:t>-10</w:t>
            </w:r>
            <w:r>
              <w:rPr>
                <w:bCs/>
                <w:sz w:val="24"/>
              </w:rPr>
              <w:t>厘米/秒；</w:t>
            </w:r>
          </w:p>
          <w:p>
            <w:pPr>
              <w:keepNext w:val="0"/>
              <w:keepLines w:val="0"/>
              <w:suppressLineNumbers w:val="0"/>
              <w:adjustRightInd w:val="0"/>
              <w:snapToGrid w:val="0"/>
              <w:spacing w:before="0" w:beforeAutospacing="0" w:after="0" w:afterAutospacing="0" w:line="360" w:lineRule="auto"/>
              <w:ind w:left="0" w:right="0" w:firstLine="480" w:firstLineChars="200"/>
              <w:rPr>
                <w:bCs/>
                <w:sz w:val="24"/>
              </w:rPr>
            </w:pPr>
            <w:r>
              <w:rPr>
                <w:bCs/>
                <w:sz w:val="24"/>
              </w:rPr>
              <w:t>④用于存放液体、半固体危险废物的地方，还须有耐腐蚀的硬化地面，地面无裂隙；</w:t>
            </w:r>
          </w:p>
          <w:p>
            <w:pPr>
              <w:keepNext w:val="0"/>
              <w:keepLines w:val="0"/>
              <w:suppressLineNumbers w:val="0"/>
              <w:adjustRightInd w:val="0"/>
              <w:snapToGrid w:val="0"/>
              <w:spacing w:before="0" w:beforeAutospacing="0" w:after="0" w:afterAutospacing="0" w:line="360" w:lineRule="auto"/>
              <w:ind w:left="0" w:right="0" w:firstLine="480" w:firstLineChars="200"/>
              <w:rPr>
                <w:bCs/>
                <w:sz w:val="24"/>
              </w:rPr>
            </w:pPr>
            <w:r>
              <w:rPr>
                <w:bCs/>
                <w:sz w:val="24"/>
              </w:rPr>
              <w:t>⑤不相容的危险废物堆放区必须有隔离间隔断。</w:t>
            </w:r>
          </w:p>
          <w:p>
            <w:pPr>
              <w:keepNext w:val="0"/>
              <w:keepLines w:val="0"/>
              <w:suppressLineNumbers w:val="0"/>
              <w:adjustRightInd w:val="0"/>
              <w:snapToGrid w:val="0"/>
              <w:spacing w:before="0" w:beforeAutospacing="0" w:after="0" w:afterAutospacing="0" w:line="360" w:lineRule="auto"/>
              <w:ind w:left="0" w:right="0" w:firstLine="482" w:firstLineChars="200"/>
              <w:rPr>
                <w:b/>
                <w:bCs/>
                <w:sz w:val="24"/>
              </w:rPr>
            </w:pPr>
            <w:r>
              <w:rPr>
                <w:rFonts w:hAnsi="宋体"/>
                <w:b/>
                <w:sz w:val="24"/>
              </w:rPr>
              <w:t>Ⅱ</w:t>
            </w:r>
            <w:r>
              <w:rPr>
                <w:b/>
                <w:bCs/>
                <w:sz w:val="24"/>
              </w:rPr>
              <w:t>危险废物贮存容器要求</w:t>
            </w:r>
          </w:p>
          <w:p>
            <w:pPr>
              <w:keepNext w:val="0"/>
              <w:keepLines w:val="0"/>
              <w:suppressLineNumbers w:val="0"/>
              <w:adjustRightInd w:val="0"/>
              <w:snapToGrid w:val="0"/>
              <w:spacing w:before="0" w:beforeAutospacing="0" w:after="0" w:afterAutospacing="0" w:line="360" w:lineRule="auto"/>
              <w:ind w:left="0" w:right="0" w:firstLine="480" w:firstLineChars="200"/>
              <w:rPr>
                <w:bCs/>
                <w:sz w:val="24"/>
              </w:rPr>
            </w:pPr>
            <w:r>
              <w:rPr>
                <w:bCs/>
                <w:sz w:val="24"/>
              </w:rPr>
              <w:t>根据《危险废物贮存污染控制标准》（GB18597-2001），危险废物贮存容器要求如下：</w:t>
            </w:r>
          </w:p>
          <w:p>
            <w:pPr>
              <w:keepNext w:val="0"/>
              <w:keepLines w:val="0"/>
              <w:suppressLineNumbers w:val="0"/>
              <w:adjustRightInd w:val="0"/>
              <w:snapToGrid w:val="0"/>
              <w:spacing w:before="0" w:beforeAutospacing="0" w:after="0" w:afterAutospacing="0" w:line="360" w:lineRule="auto"/>
              <w:ind w:left="0" w:right="0" w:firstLine="480" w:firstLineChars="200"/>
              <w:rPr>
                <w:bCs/>
                <w:sz w:val="24"/>
              </w:rPr>
            </w:pPr>
            <w:r>
              <w:rPr>
                <w:bCs/>
                <w:sz w:val="24"/>
              </w:rPr>
              <w:t>①应当使用符合标准的容器盛装危险废物；</w:t>
            </w:r>
          </w:p>
          <w:p>
            <w:pPr>
              <w:keepNext w:val="0"/>
              <w:keepLines w:val="0"/>
              <w:suppressLineNumbers w:val="0"/>
              <w:adjustRightInd w:val="0"/>
              <w:snapToGrid w:val="0"/>
              <w:spacing w:before="0" w:beforeAutospacing="0" w:after="0" w:afterAutospacing="0" w:line="360" w:lineRule="auto"/>
              <w:ind w:left="0" w:right="0" w:firstLine="480" w:firstLineChars="200"/>
              <w:rPr>
                <w:bCs/>
                <w:sz w:val="24"/>
              </w:rPr>
            </w:pPr>
            <w:r>
              <w:rPr>
                <w:bCs/>
                <w:sz w:val="24"/>
              </w:rPr>
              <w:t>②盛装危险废物的容器及材质要满足相应的强度要求；</w:t>
            </w:r>
          </w:p>
          <w:p>
            <w:pPr>
              <w:keepNext w:val="0"/>
              <w:keepLines w:val="0"/>
              <w:suppressLineNumbers w:val="0"/>
              <w:adjustRightInd w:val="0"/>
              <w:snapToGrid w:val="0"/>
              <w:spacing w:before="0" w:beforeAutospacing="0" w:after="0" w:afterAutospacing="0" w:line="360" w:lineRule="auto"/>
              <w:ind w:left="0" w:right="0" w:firstLine="480" w:firstLineChars="200"/>
              <w:rPr>
                <w:bCs/>
                <w:sz w:val="24"/>
              </w:rPr>
            </w:pPr>
            <w:r>
              <w:rPr>
                <w:bCs/>
                <w:sz w:val="24"/>
              </w:rPr>
              <w:t>③盛装危险废物的容器必须完好无损；</w:t>
            </w:r>
          </w:p>
          <w:p>
            <w:pPr>
              <w:keepNext w:val="0"/>
              <w:keepLines w:val="0"/>
              <w:suppressLineNumbers w:val="0"/>
              <w:adjustRightInd w:val="0"/>
              <w:snapToGrid w:val="0"/>
              <w:spacing w:before="0" w:beforeAutospacing="0" w:after="0" w:afterAutospacing="0" w:line="360" w:lineRule="auto"/>
              <w:ind w:left="0" w:right="0" w:firstLine="480" w:firstLineChars="200"/>
              <w:rPr>
                <w:bCs/>
                <w:sz w:val="24"/>
              </w:rPr>
            </w:pPr>
            <w:r>
              <w:rPr>
                <w:bCs/>
                <w:sz w:val="24"/>
              </w:rPr>
              <w:t>④盛装危险废物的容器材质和衬里要与危险废物相容（不相互反应）；</w:t>
            </w:r>
          </w:p>
          <w:p>
            <w:pPr>
              <w:keepNext w:val="0"/>
              <w:keepLines w:val="0"/>
              <w:suppressLineNumbers w:val="0"/>
              <w:adjustRightInd w:val="0"/>
              <w:snapToGrid w:val="0"/>
              <w:spacing w:before="0" w:beforeAutospacing="0" w:after="0" w:afterAutospacing="0" w:line="360" w:lineRule="auto"/>
              <w:ind w:left="0" w:right="0" w:firstLine="480" w:firstLineChars="200"/>
              <w:rPr>
                <w:bCs/>
                <w:sz w:val="24"/>
              </w:rPr>
            </w:pPr>
            <w:r>
              <w:rPr>
                <w:bCs/>
                <w:sz w:val="24"/>
              </w:rPr>
              <w:t>⑤液体危险废物可注入开孔直径不超过70毫米并有放气孔的桶中。</w:t>
            </w:r>
          </w:p>
          <w:p>
            <w:pPr>
              <w:keepNext w:val="0"/>
              <w:keepLines w:val="0"/>
              <w:suppressLineNumbers w:val="0"/>
              <w:adjustRightInd w:val="0"/>
              <w:snapToGrid w:val="0"/>
              <w:spacing w:before="0" w:beforeAutospacing="0" w:after="0" w:afterAutospacing="0" w:line="360" w:lineRule="auto"/>
              <w:ind w:left="0" w:right="0" w:firstLine="482" w:firstLineChars="200"/>
              <w:rPr>
                <w:b/>
                <w:bCs/>
                <w:sz w:val="24"/>
              </w:rPr>
            </w:pPr>
            <w:r>
              <w:rPr>
                <w:rFonts w:hAnsi="宋体"/>
                <w:b/>
                <w:bCs/>
                <w:sz w:val="24"/>
              </w:rPr>
              <w:t>Ⅲ</w:t>
            </w:r>
            <w:r>
              <w:rPr>
                <w:b/>
                <w:bCs/>
                <w:sz w:val="24"/>
              </w:rPr>
              <w:t>固废处置要求</w:t>
            </w:r>
          </w:p>
          <w:p>
            <w:pPr>
              <w:keepNext w:val="0"/>
              <w:keepLines w:val="0"/>
              <w:suppressLineNumbers w:val="0"/>
              <w:adjustRightInd w:val="0"/>
              <w:snapToGrid w:val="0"/>
              <w:spacing w:before="0" w:beforeAutospacing="0" w:after="0" w:afterAutospacing="0" w:line="360" w:lineRule="auto"/>
              <w:ind w:left="0" w:right="0" w:firstLine="480" w:firstLineChars="200"/>
            </w:pPr>
            <w:r>
              <w:rPr>
                <w:kern w:val="0"/>
                <w:sz w:val="24"/>
              </w:rPr>
              <w:t>根据《省生态环境厅关于进一步加强危险废物环境管理工作的通知》（苏环办［2021］207号），产废单位必须将危险废物提供或者委托给有资质单位从事收集、贮存、利用处置活动，并有危险废物利用处置合同、资金往来、废物交接等相关证明材料。严禁产废单位委托第三方中介机构运输和利用处置危险废物；严禁将危险废物提供或者委托给无资质单位进行收集、贮存和利用处置，并加强对运输单位及处置单位的跟踪检查，危险废物通过全生命周期监控系统扫描二维码转移，严禁无二维码转移行为，确保符合环保要求。</w:t>
            </w:r>
          </w:p>
          <w:p>
            <w:pPr>
              <w:keepNext w:val="0"/>
              <w:keepLines w:val="0"/>
              <w:suppressLineNumbers w:val="0"/>
              <w:adjustRightInd w:val="0"/>
              <w:snapToGrid w:val="0"/>
              <w:spacing w:before="0" w:beforeAutospacing="0" w:after="0" w:afterAutospacing="0" w:line="360" w:lineRule="auto"/>
              <w:ind w:left="0" w:right="0" w:firstLine="482" w:firstLineChars="200"/>
              <w:rPr>
                <w:b/>
                <w:bCs/>
                <w:sz w:val="24"/>
              </w:rPr>
            </w:pPr>
            <w:r>
              <w:rPr>
                <w:rFonts w:hint="eastAsia" w:ascii="宋体" w:hAnsi="宋体"/>
                <w:b/>
                <w:bCs/>
                <w:sz w:val="24"/>
              </w:rPr>
              <w:t>Ⅳ</w:t>
            </w:r>
            <w:r>
              <w:rPr>
                <w:b/>
                <w:bCs/>
                <w:sz w:val="24"/>
              </w:rPr>
              <w:t>危险废物运输时的中转、装卸过程应遵守以下技术要求</w:t>
            </w:r>
          </w:p>
          <w:p>
            <w:pPr>
              <w:keepNext w:val="0"/>
              <w:keepLines w:val="0"/>
              <w:suppressLineNumbers w:val="0"/>
              <w:adjustRightInd w:val="0"/>
              <w:snapToGrid w:val="0"/>
              <w:spacing w:before="0" w:beforeAutospacing="0" w:after="0" w:afterAutospacing="0" w:line="360" w:lineRule="auto"/>
              <w:ind w:left="0" w:right="0" w:firstLine="480" w:firstLineChars="200"/>
              <w:rPr>
                <w:bCs/>
                <w:sz w:val="24"/>
              </w:rPr>
            </w:pPr>
            <w:r>
              <w:rPr>
                <w:bCs/>
                <w:sz w:val="24"/>
              </w:rPr>
              <w:t>①卸货区的工作人员应熟悉废物的危险特性，并配备适当的个人防护装备，装卸剧毒废物应配备特殊的防护装备。</w:t>
            </w:r>
          </w:p>
          <w:p>
            <w:pPr>
              <w:keepNext w:val="0"/>
              <w:keepLines w:val="0"/>
              <w:suppressLineNumbers w:val="0"/>
              <w:adjustRightInd w:val="0"/>
              <w:snapToGrid w:val="0"/>
              <w:spacing w:before="0" w:beforeAutospacing="0" w:after="0" w:afterAutospacing="0" w:line="360" w:lineRule="auto"/>
              <w:ind w:left="0" w:right="0" w:firstLine="480" w:firstLineChars="200"/>
              <w:rPr>
                <w:bCs/>
                <w:sz w:val="24"/>
              </w:rPr>
            </w:pPr>
            <w:r>
              <w:rPr>
                <w:bCs/>
                <w:sz w:val="24"/>
              </w:rPr>
              <w:t>②装卸区应配备必要的消防设备和设施，并设置明显的指示标志。</w:t>
            </w:r>
          </w:p>
          <w:p>
            <w:pPr>
              <w:keepNext w:val="0"/>
              <w:keepLines w:val="0"/>
              <w:suppressLineNumbers w:val="0"/>
              <w:adjustRightInd w:val="0"/>
              <w:snapToGrid w:val="0"/>
              <w:spacing w:before="0" w:beforeAutospacing="0" w:after="0" w:afterAutospacing="0" w:line="360" w:lineRule="auto"/>
              <w:ind w:left="0" w:right="0" w:firstLine="480" w:firstLineChars="200"/>
              <w:rPr>
                <w:bCs/>
                <w:sz w:val="24"/>
              </w:rPr>
            </w:pPr>
            <w:r>
              <w:rPr>
                <w:bCs/>
                <w:sz w:val="24"/>
              </w:rPr>
              <w:t>危险废物装卸区应设置隔离设施，液态废物卸载区应设置收集槽和缓冲罐。</w:t>
            </w:r>
          </w:p>
          <w:p>
            <w:pPr>
              <w:keepNext w:val="0"/>
              <w:keepLines w:val="0"/>
              <w:suppressLineNumbers w:val="0"/>
              <w:adjustRightInd w:val="0"/>
              <w:snapToGrid w:val="0"/>
              <w:spacing w:before="0" w:beforeAutospacing="0" w:after="0" w:afterAutospacing="0" w:line="360" w:lineRule="auto"/>
              <w:ind w:left="0" w:right="0" w:firstLine="482" w:firstLineChars="200"/>
              <w:rPr>
                <w:sz w:val="24"/>
              </w:rPr>
            </w:pPr>
            <w:r>
              <w:rPr>
                <w:b/>
                <w:bCs/>
                <w:sz w:val="24"/>
              </w:rPr>
              <w:t>本项目生产中产生的危废储存于危险仓库中，面积为</w:t>
            </w:r>
            <w:r>
              <w:rPr>
                <w:rFonts w:hint="eastAsia"/>
                <w:b/>
                <w:bCs/>
                <w:sz w:val="24"/>
              </w:rPr>
              <w:t>64</w:t>
            </w:r>
            <w:r>
              <w:rPr>
                <w:b/>
                <w:bCs/>
                <w:sz w:val="24"/>
              </w:rPr>
              <w:t>m</w:t>
            </w:r>
            <w:r>
              <w:rPr>
                <w:b/>
                <w:bCs/>
                <w:sz w:val="24"/>
                <w:vertAlign w:val="superscript"/>
              </w:rPr>
              <w:t>2</w:t>
            </w:r>
            <w:r>
              <w:rPr>
                <w:b/>
                <w:bCs/>
                <w:sz w:val="24"/>
              </w:rPr>
              <w:t>。地面进行防渗防腐处理。本项目的危险废物贮存场选址可行，贮存能力可满足要求，各危废都得到妥善处理，经安全收集、妥善处理，对外环境影响较小，对周围环境不产生二次影响。</w:t>
            </w:r>
          </w:p>
          <w:p>
            <w:pPr>
              <w:pStyle w:val="5"/>
              <w:keepNext w:val="0"/>
              <w:keepLines w:val="0"/>
              <w:suppressLineNumbers w:val="0"/>
              <w:adjustRightInd w:val="0"/>
              <w:snapToGrid w:val="0"/>
              <w:spacing w:before="0" w:beforeAutospacing="0" w:after="0" w:afterAutospacing="0" w:line="360" w:lineRule="auto"/>
              <w:ind w:left="0" w:right="0" w:firstLine="0"/>
              <w:rPr>
                <w:rFonts w:ascii="Times New Roman" w:hAnsi="Times New Roman"/>
                <w:b/>
                <w:bCs/>
                <w:sz w:val="24"/>
                <w:szCs w:val="24"/>
              </w:rPr>
            </w:pPr>
            <w:r>
              <w:rPr>
                <w:rFonts w:hint="eastAsia" w:ascii="Times New Roman" w:hAnsi="Times New Roman"/>
                <w:b/>
                <w:bCs/>
                <w:sz w:val="24"/>
                <w:szCs w:val="24"/>
              </w:rPr>
              <w:t>5、</w:t>
            </w:r>
            <w:r>
              <w:rPr>
                <w:rFonts w:ascii="Times New Roman" w:hAnsi="Times New Roman"/>
                <w:b/>
                <w:bCs/>
                <w:sz w:val="24"/>
                <w:szCs w:val="24"/>
              </w:rPr>
              <w:t>地下水环境影响分析</w:t>
            </w:r>
          </w:p>
          <w:p>
            <w:pPr>
              <w:keepNext w:val="0"/>
              <w:keepLines w:val="0"/>
              <w:suppressLineNumbers w:val="0"/>
              <w:adjustRightInd w:val="0"/>
              <w:snapToGrid w:val="0"/>
              <w:spacing w:before="0" w:beforeAutospacing="0" w:after="0" w:afterAutospacing="0" w:line="360" w:lineRule="auto"/>
              <w:ind w:left="0" w:right="0" w:firstLine="520" w:firstLineChars="217"/>
              <w:rPr>
                <w:sz w:val="24"/>
              </w:rPr>
            </w:pPr>
            <w:r>
              <w:rPr>
                <w:sz w:val="24"/>
              </w:rPr>
              <w:t>本项目为</w:t>
            </w:r>
            <w:r>
              <w:rPr>
                <w:rFonts w:hint="eastAsia"/>
                <w:sz w:val="24"/>
              </w:rPr>
              <w:t>电机铁芯、电机机壳</w:t>
            </w:r>
            <w:r>
              <w:rPr>
                <w:sz w:val="24"/>
              </w:rPr>
              <w:t>制造项目，对照《环境影响评价技术导则—地下水环境》（HJ610-2016）中6.2.1.1提及的附录A，本项目属于“</w:t>
            </w:r>
            <w:r>
              <w:rPr>
                <w:rFonts w:hint="eastAsia"/>
                <w:sz w:val="24"/>
              </w:rPr>
              <w:t>K机械、电子</w:t>
            </w:r>
            <w:r>
              <w:rPr>
                <w:sz w:val="24"/>
              </w:rPr>
              <w:t>”大类中的“</w:t>
            </w:r>
            <w:r>
              <w:rPr>
                <w:rFonts w:hint="eastAsia"/>
                <w:sz w:val="24"/>
              </w:rPr>
              <w:t>78电气机械及器材制造</w:t>
            </w:r>
            <w:r>
              <w:rPr>
                <w:sz w:val="24"/>
              </w:rPr>
              <w:t>”中“其他</w:t>
            </w:r>
            <w:r>
              <w:rPr>
                <w:rFonts w:hint="eastAsia"/>
                <w:sz w:val="24"/>
              </w:rPr>
              <w:t>（仅组装的除外）</w:t>
            </w:r>
            <w:r>
              <w:rPr>
                <w:sz w:val="24"/>
              </w:rPr>
              <w:t>”类别。本项目属于IV类项目，无需开展地下水环境影响评价。</w:t>
            </w:r>
          </w:p>
          <w:p>
            <w:pPr>
              <w:pStyle w:val="5"/>
              <w:keepNext w:val="0"/>
              <w:keepLines w:val="0"/>
              <w:suppressLineNumbers w:val="0"/>
              <w:adjustRightInd w:val="0"/>
              <w:snapToGrid w:val="0"/>
              <w:spacing w:before="0" w:beforeAutospacing="0" w:after="0" w:afterAutospacing="0" w:line="360" w:lineRule="auto"/>
              <w:ind w:left="0" w:right="0" w:firstLine="0"/>
              <w:rPr>
                <w:rFonts w:ascii="Times New Roman" w:hAnsi="Times New Roman"/>
                <w:b/>
                <w:bCs/>
                <w:sz w:val="24"/>
                <w:szCs w:val="24"/>
              </w:rPr>
            </w:pPr>
            <w:r>
              <w:rPr>
                <w:rFonts w:hint="eastAsia" w:ascii="Times New Roman" w:hAnsi="Times New Roman"/>
                <w:b/>
                <w:bCs/>
                <w:sz w:val="24"/>
                <w:szCs w:val="24"/>
              </w:rPr>
              <w:t>6、</w:t>
            </w:r>
            <w:r>
              <w:rPr>
                <w:rFonts w:ascii="Times New Roman" w:hAnsi="Times New Roman"/>
                <w:b/>
                <w:bCs/>
                <w:sz w:val="24"/>
                <w:szCs w:val="24"/>
              </w:rPr>
              <w:t>土壤环境影响分析</w:t>
            </w:r>
          </w:p>
          <w:p>
            <w:pPr>
              <w:keepNext w:val="0"/>
              <w:keepLines w:val="0"/>
              <w:suppressLineNumbers w:val="0"/>
              <w:adjustRightInd w:val="0"/>
              <w:snapToGrid w:val="0"/>
              <w:spacing w:before="0" w:beforeAutospacing="0" w:after="0" w:afterAutospacing="0" w:line="360" w:lineRule="auto"/>
              <w:ind w:left="0" w:right="0" w:firstLine="520" w:firstLineChars="217"/>
              <w:rPr>
                <w:sz w:val="24"/>
              </w:rPr>
            </w:pPr>
            <w:r>
              <w:rPr>
                <w:rFonts w:hAnsi="宋体"/>
                <w:sz w:val="24"/>
              </w:rPr>
              <w:t>根据《环境影响评价技术导则</w:t>
            </w:r>
            <w:r>
              <w:rPr>
                <w:sz w:val="24"/>
              </w:rPr>
              <w:t xml:space="preserve"> </w:t>
            </w:r>
            <w:r>
              <w:rPr>
                <w:rFonts w:hAnsi="宋体"/>
                <w:sz w:val="24"/>
              </w:rPr>
              <w:t>土壤环境（试行</w:t>
            </w:r>
            <w:r>
              <w:rPr>
                <w:rFonts w:hint="eastAsia" w:hAnsi="宋体"/>
                <w:sz w:val="24"/>
                <w:lang w:eastAsia="zh-CN"/>
              </w:rPr>
              <w:t>）</w:t>
            </w:r>
            <w:r>
              <w:rPr>
                <w:rFonts w:hAnsi="宋体"/>
                <w:sz w:val="24"/>
              </w:rPr>
              <w:t>》（</w:t>
            </w:r>
            <w:r>
              <w:rPr>
                <w:sz w:val="24"/>
              </w:rPr>
              <w:t>HJ964-2018</w:t>
            </w:r>
            <w:r>
              <w:rPr>
                <w:rFonts w:hAnsi="宋体"/>
                <w:sz w:val="24"/>
              </w:rPr>
              <w:t>）中附录</w:t>
            </w:r>
            <w:r>
              <w:rPr>
                <w:sz w:val="24"/>
              </w:rPr>
              <w:t>A</w:t>
            </w:r>
            <w:r>
              <w:rPr>
                <w:rFonts w:hAnsi="宋体"/>
                <w:sz w:val="24"/>
              </w:rPr>
              <w:t>规定，本项目属于</w:t>
            </w:r>
            <w:r>
              <w:rPr>
                <w:sz w:val="24"/>
              </w:rPr>
              <w:t>“</w:t>
            </w:r>
            <w:r>
              <w:rPr>
                <w:rFonts w:hAnsi="宋体"/>
                <w:sz w:val="24"/>
              </w:rPr>
              <w:t>其他行业</w:t>
            </w:r>
            <w:r>
              <w:rPr>
                <w:sz w:val="24"/>
              </w:rPr>
              <w:t>”</w:t>
            </w:r>
            <w:r>
              <w:rPr>
                <w:rFonts w:hAnsi="宋体"/>
                <w:sz w:val="24"/>
              </w:rPr>
              <w:t>，故为Ⅳ类项目。经分析，本项目属于污染影响型项目，占地面积约</w:t>
            </w:r>
            <w:r>
              <w:rPr>
                <w:rFonts w:hint="eastAsia"/>
                <w:sz w:val="24"/>
                <w:szCs w:val="21"/>
                <w:lang w:val="en-US" w:eastAsia="zh-CN"/>
              </w:rPr>
              <w:t>4.51</w:t>
            </w:r>
            <w:r>
              <w:rPr>
                <w:rFonts w:hAnsi="宋体"/>
                <w:sz w:val="24"/>
              </w:rPr>
              <w:t>公顷，属于小型建设项目。经现场调查，本项目</w:t>
            </w:r>
            <w:r>
              <w:rPr>
                <w:sz w:val="24"/>
              </w:rPr>
              <w:t>厂界周边50m范围内无居民区等土壤环境敏感目标</w:t>
            </w:r>
            <w:r>
              <w:rPr>
                <w:rFonts w:hAnsi="宋体"/>
                <w:sz w:val="24"/>
              </w:rPr>
              <w:t>，故土壤环境敏感程度属于不敏感。根据《环境影响评价技术导则</w:t>
            </w:r>
            <w:r>
              <w:rPr>
                <w:sz w:val="24"/>
              </w:rPr>
              <w:t xml:space="preserve"> </w:t>
            </w:r>
            <w:r>
              <w:rPr>
                <w:rFonts w:hAnsi="宋体"/>
                <w:sz w:val="24"/>
              </w:rPr>
              <w:t>土壤环境（试行</w:t>
            </w:r>
            <w:r>
              <w:rPr>
                <w:rFonts w:hint="eastAsia" w:hAnsi="宋体"/>
                <w:sz w:val="24"/>
                <w:lang w:eastAsia="zh-CN"/>
              </w:rPr>
              <w:t>）</w:t>
            </w:r>
            <w:r>
              <w:rPr>
                <w:rFonts w:hAnsi="宋体"/>
                <w:sz w:val="24"/>
              </w:rPr>
              <w:t>》（</w:t>
            </w:r>
            <w:r>
              <w:rPr>
                <w:sz w:val="24"/>
              </w:rPr>
              <w:t>HJ964-2018</w:t>
            </w:r>
            <w:r>
              <w:rPr>
                <w:rFonts w:hAnsi="宋体"/>
                <w:sz w:val="24"/>
              </w:rPr>
              <w:t>）中表</w:t>
            </w:r>
            <w:r>
              <w:rPr>
                <w:sz w:val="24"/>
              </w:rPr>
              <w:t>4</w:t>
            </w:r>
            <w:r>
              <w:rPr>
                <w:rFonts w:hAnsi="宋体"/>
                <w:sz w:val="24"/>
              </w:rPr>
              <w:t>的评价工作等级划分表，本项目土壤环境评价等级为</w:t>
            </w:r>
            <w:r>
              <w:rPr>
                <w:sz w:val="24"/>
              </w:rPr>
              <w:t>“-”</w:t>
            </w:r>
            <w:r>
              <w:rPr>
                <w:rFonts w:hAnsi="宋体"/>
                <w:sz w:val="24"/>
              </w:rPr>
              <w:t>，表示可不开展土壤环境影响评价工作。</w:t>
            </w:r>
          </w:p>
          <w:p>
            <w:pPr>
              <w:keepNext w:val="0"/>
              <w:keepLines w:val="0"/>
              <w:suppressLineNumbers w:val="0"/>
              <w:spacing w:before="0" w:beforeAutospacing="0" w:after="0" w:afterAutospacing="0" w:line="360" w:lineRule="auto"/>
              <w:ind w:left="0" w:right="0" w:firstLine="480" w:firstLineChars="200"/>
              <w:rPr>
                <w:rFonts w:hAnsi="宋体"/>
                <w:sz w:val="24"/>
              </w:rPr>
            </w:pPr>
            <w:r>
              <w:rPr>
                <w:rFonts w:hAnsi="宋体"/>
                <w:sz w:val="24"/>
              </w:rPr>
              <w:t>根据水文地质条件分析，项目所在区域的浅层地层岩性主要为粉质粘土，自然防渗条件较好。本项目车间地面满足防渗的要求，对土壤影响较小。</w:t>
            </w:r>
          </w:p>
          <w:p>
            <w:pPr>
              <w:keepNext w:val="0"/>
              <w:keepLines w:val="0"/>
              <w:suppressLineNumbers w:val="0"/>
              <w:adjustRightInd w:val="0"/>
              <w:snapToGrid w:val="0"/>
              <w:spacing w:before="0" w:beforeAutospacing="0" w:after="0" w:afterAutospacing="0" w:line="360" w:lineRule="auto"/>
              <w:ind w:left="0" w:right="0" w:firstLine="480" w:firstLineChars="200"/>
            </w:pPr>
            <w:r>
              <w:rPr>
                <w:sz w:val="24"/>
              </w:rPr>
              <w:t>危险废物堆场按照防腐、防渗要求，落实地坪、裙角的防护措施后，生产过程中可能污染土壤的废水、废液难以泄漏进入土壤中，因此本项目建设对土壤环境影响较小。</w:t>
            </w:r>
          </w:p>
          <w:p>
            <w:pPr>
              <w:keepNext w:val="0"/>
              <w:keepLines w:val="0"/>
              <w:suppressLineNumbers w:val="0"/>
              <w:adjustRightInd w:val="0"/>
              <w:snapToGrid w:val="0"/>
              <w:spacing w:before="0" w:beforeAutospacing="0" w:after="0" w:afterAutospacing="0" w:line="360" w:lineRule="auto"/>
              <w:ind w:left="0" w:right="0"/>
              <w:rPr>
                <w:b/>
                <w:bCs/>
                <w:sz w:val="24"/>
              </w:rPr>
            </w:pPr>
            <w:r>
              <w:rPr>
                <w:rFonts w:hint="eastAsia"/>
                <w:b/>
                <w:bCs/>
                <w:sz w:val="24"/>
              </w:rPr>
              <w:t>7、生态</w:t>
            </w:r>
          </w:p>
          <w:p>
            <w:pPr>
              <w:keepNext w:val="0"/>
              <w:keepLines w:val="0"/>
              <w:suppressLineNumbers w:val="0"/>
              <w:adjustRightInd w:val="0"/>
              <w:snapToGrid w:val="0"/>
              <w:spacing w:before="0" w:beforeAutospacing="0" w:after="0" w:afterAutospacing="0" w:line="360" w:lineRule="auto"/>
              <w:ind w:left="0" w:right="0" w:firstLine="480" w:firstLineChars="200"/>
              <w:rPr>
                <w:bCs/>
                <w:sz w:val="24"/>
                <w:szCs w:val="22"/>
              </w:rPr>
            </w:pPr>
            <w:r>
              <w:rPr>
                <w:rFonts w:hint="eastAsia"/>
                <w:bCs/>
                <w:sz w:val="24"/>
                <w:szCs w:val="22"/>
              </w:rPr>
              <w:t>本项目不在已划定的生态空间管控区域和生态红线区内，无</w:t>
            </w:r>
            <w:r>
              <w:rPr>
                <w:rFonts w:hint="eastAsia"/>
                <w:bCs/>
                <w:sz w:val="24"/>
                <w:szCs w:val="22"/>
                <w:lang w:eastAsia="zh-CN"/>
              </w:rPr>
              <w:t>须</w:t>
            </w:r>
            <w:r>
              <w:rPr>
                <w:rFonts w:hint="eastAsia"/>
                <w:bCs/>
                <w:sz w:val="24"/>
                <w:szCs w:val="22"/>
              </w:rPr>
              <w:t>设置生态保护措施。</w:t>
            </w:r>
          </w:p>
          <w:p>
            <w:pPr>
              <w:keepNext w:val="0"/>
              <w:keepLines w:val="0"/>
              <w:suppressLineNumbers w:val="0"/>
              <w:adjustRightInd w:val="0"/>
              <w:snapToGrid w:val="0"/>
              <w:spacing w:before="0" w:beforeAutospacing="0" w:after="0" w:afterAutospacing="0" w:line="360" w:lineRule="auto"/>
              <w:ind w:left="0" w:right="0"/>
              <w:rPr>
                <w:b/>
                <w:bCs/>
                <w:color w:val="000000"/>
                <w:sz w:val="24"/>
              </w:rPr>
            </w:pPr>
            <w:r>
              <w:rPr>
                <w:rFonts w:hint="eastAsia"/>
                <w:b/>
                <w:bCs/>
                <w:color w:val="000000"/>
                <w:sz w:val="24"/>
              </w:rPr>
              <w:t>8、</w:t>
            </w:r>
            <w:r>
              <w:rPr>
                <w:b/>
                <w:bCs/>
                <w:color w:val="000000"/>
                <w:sz w:val="24"/>
              </w:rPr>
              <w:t>环境风险评价</w:t>
            </w:r>
          </w:p>
          <w:p>
            <w:pPr>
              <w:keepNext w:val="0"/>
              <w:keepLines w:val="0"/>
              <w:suppressLineNumbers w:val="0"/>
              <w:adjustRightInd w:val="0"/>
              <w:snapToGrid w:val="0"/>
              <w:spacing w:before="0" w:beforeAutospacing="0" w:after="0" w:afterAutospacing="0" w:line="360" w:lineRule="auto"/>
              <w:ind w:left="0" w:right="0" w:firstLine="482" w:firstLineChars="200"/>
              <w:rPr>
                <w:b/>
                <w:bCs/>
                <w:sz w:val="24"/>
                <w:szCs w:val="22"/>
              </w:rPr>
            </w:pPr>
            <w:r>
              <w:rPr>
                <w:b/>
                <w:bCs/>
                <w:sz w:val="24"/>
                <w:szCs w:val="22"/>
              </w:rPr>
              <w:t>（1）评价工作等级划分</w:t>
            </w:r>
          </w:p>
          <w:p>
            <w:pPr>
              <w:keepNext w:val="0"/>
              <w:keepLines w:val="0"/>
              <w:suppressLineNumbers w:val="0"/>
              <w:snapToGrid w:val="0"/>
              <w:spacing w:before="0" w:beforeAutospacing="0" w:after="0" w:afterAutospacing="0" w:line="360" w:lineRule="auto"/>
              <w:ind w:left="0" w:right="0" w:firstLine="480" w:firstLineChars="200"/>
              <w:rPr>
                <w:sz w:val="24"/>
              </w:rPr>
            </w:pPr>
            <w:r>
              <w:rPr>
                <w:sz w:val="24"/>
              </w:rPr>
              <w:t>根据本项目危险物质数量和分布情况、生产工艺特点分析，本项目风险物质为</w:t>
            </w:r>
            <w:r>
              <w:rPr>
                <w:rFonts w:hint="eastAsia"/>
                <w:bCs/>
                <w:sz w:val="24"/>
              </w:rPr>
              <w:t>液压油</w:t>
            </w:r>
            <w:r>
              <w:rPr>
                <w:bCs/>
                <w:sz w:val="24"/>
              </w:rPr>
              <w:t>、</w:t>
            </w:r>
            <w:r>
              <w:rPr>
                <w:rFonts w:hint="eastAsia"/>
                <w:bCs/>
                <w:sz w:val="24"/>
                <w:lang w:eastAsia="zh-CN"/>
              </w:rPr>
              <w:t>切削油</w:t>
            </w:r>
            <w:r>
              <w:rPr>
                <w:rFonts w:hint="eastAsia"/>
                <w:bCs/>
                <w:sz w:val="24"/>
              </w:rPr>
              <w:t>、冲压油、防锈油</w:t>
            </w:r>
            <w:r>
              <w:rPr>
                <w:bCs/>
                <w:sz w:val="24"/>
              </w:rPr>
              <w:t>和危险废物</w:t>
            </w:r>
            <w:r>
              <w:rPr>
                <w:sz w:val="24"/>
              </w:rPr>
              <w:t>，分布于车间及危废仓库。</w:t>
            </w:r>
            <w:r>
              <w:rPr>
                <w:bCs/>
                <w:sz w:val="24"/>
              </w:rPr>
              <w:t>若上述物料进入雨水管网，会对周围水体造成一定的影响。</w:t>
            </w:r>
          </w:p>
          <w:p>
            <w:pPr>
              <w:keepNext w:val="0"/>
              <w:keepLines w:val="0"/>
              <w:suppressLineNumbers w:val="0"/>
              <w:snapToGrid w:val="0"/>
              <w:spacing w:before="0" w:beforeAutospacing="0" w:after="0" w:afterAutospacing="0"/>
              <w:ind w:left="0" w:right="0"/>
              <w:jc w:val="center"/>
              <w:rPr>
                <w:b/>
                <w:sz w:val="24"/>
              </w:rPr>
            </w:pPr>
            <w:r>
              <w:rPr>
                <w:b/>
                <w:sz w:val="24"/>
              </w:rPr>
              <w:t>表4-</w:t>
            </w:r>
            <w:r>
              <w:rPr>
                <w:rFonts w:hint="eastAsia"/>
                <w:b/>
                <w:sz w:val="24"/>
              </w:rPr>
              <w:t>22</w:t>
            </w:r>
            <w:r>
              <w:rPr>
                <w:b/>
                <w:sz w:val="24"/>
              </w:rPr>
              <w:t xml:space="preserve"> 危险物质和风险源分布情况及可能影响途径</w:t>
            </w:r>
          </w:p>
          <w:tbl>
            <w:tblPr>
              <w:tblStyle w:val="21"/>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51" w:type="dxa"/>
                <w:bottom w:w="0" w:type="dxa"/>
                <w:right w:w="51" w:type="dxa"/>
              </w:tblCellMar>
            </w:tblPr>
            <w:tblGrid>
              <w:gridCol w:w="828"/>
              <w:gridCol w:w="1919"/>
              <w:gridCol w:w="2024"/>
              <w:gridCol w:w="1456"/>
              <w:gridCol w:w="1955"/>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1" w:type="dxa"/>
                  <w:bottom w:w="0" w:type="dxa"/>
                  <w:right w:w="51" w:type="dxa"/>
                </w:tblCellMar>
              </w:tblPrEx>
              <w:trPr>
                <w:trHeight w:val="329" w:hRule="atLeast"/>
                <w:jc w:val="center"/>
              </w:trPr>
              <w:tc>
                <w:tcPr>
                  <w:tcW w:w="505" w:type="pct"/>
                  <w:vAlign w:val="center"/>
                </w:tcPr>
                <w:p>
                  <w:pPr>
                    <w:keepNext w:val="0"/>
                    <w:keepLines w:val="0"/>
                    <w:suppressLineNumbers w:val="0"/>
                    <w:spacing w:before="0" w:beforeAutospacing="0" w:after="0" w:afterAutospacing="0"/>
                    <w:ind w:left="0" w:right="0"/>
                    <w:jc w:val="center"/>
                    <w:rPr>
                      <w:b/>
                      <w:szCs w:val="21"/>
                    </w:rPr>
                  </w:pPr>
                  <w:r>
                    <w:rPr>
                      <w:b/>
                      <w:szCs w:val="21"/>
                    </w:rPr>
                    <w:t>序号</w:t>
                  </w:r>
                </w:p>
              </w:tc>
              <w:tc>
                <w:tcPr>
                  <w:tcW w:w="1172" w:type="pct"/>
                  <w:vAlign w:val="center"/>
                </w:tcPr>
                <w:p>
                  <w:pPr>
                    <w:keepNext w:val="0"/>
                    <w:keepLines w:val="0"/>
                    <w:suppressLineNumbers w:val="0"/>
                    <w:spacing w:before="0" w:beforeAutospacing="0" w:after="0" w:afterAutospacing="0"/>
                    <w:ind w:left="0" w:right="0"/>
                    <w:jc w:val="center"/>
                    <w:rPr>
                      <w:b/>
                      <w:szCs w:val="21"/>
                    </w:rPr>
                  </w:pPr>
                  <w:r>
                    <w:rPr>
                      <w:b/>
                      <w:szCs w:val="21"/>
                    </w:rPr>
                    <w:t>危险物质名称</w:t>
                  </w:r>
                </w:p>
              </w:tc>
              <w:tc>
                <w:tcPr>
                  <w:tcW w:w="1236" w:type="pct"/>
                  <w:vAlign w:val="center"/>
                </w:tcPr>
                <w:p>
                  <w:pPr>
                    <w:keepNext w:val="0"/>
                    <w:keepLines w:val="0"/>
                    <w:suppressLineNumbers w:val="0"/>
                    <w:spacing w:before="0" w:beforeAutospacing="0" w:after="0" w:afterAutospacing="0"/>
                    <w:ind w:left="0" w:right="0"/>
                    <w:jc w:val="center"/>
                    <w:rPr>
                      <w:b/>
                      <w:szCs w:val="21"/>
                    </w:rPr>
                  </w:pPr>
                  <w:r>
                    <w:rPr>
                      <w:b/>
                      <w:szCs w:val="21"/>
                    </w:rPr>
                    <w:t>最大存在总量</w:t>
                  </w:r>
                  <w:r>
                    <w:rPr>
                      <w:rFonts w:hint="eastAsia"/>
                      <w:b/>
                      <w:szCs w:val="21"/>
                    </w:rPr>
                    <w:t>（t）</w:t>
                  </w:r>
                </w:p>
              </w:tc>
              <w:tc>
                <w:tcPr>
                  <w:tcW w:w="889" w:type="pct"/>
                  <w:vAlign w:val="center"/>
                </w:tcPr>
                <w:p>
                  <w:pPr>
                    <w:keepNext w:val="0"/>
                    <w:keepLines w:val="0"/>
                    <w:suppressLineNumbers w:val="0"/>
                    <w:spacing w:before="0" w:beforeAutospacing="0" w:after="0" w:afterAutospacing="0"/>
                    <w:ind w:left="0" w:right="0"/>
                    <w:jc w:val="center"/>
                    <w:rPr>
                      <w:b/>
                      <w:szCs w:val="21"/>
                    </w:rPr>
                  </w:pPr>
                  <w:r>
                    <w:rPr>
                      <w:b/>
                      <w:szCs w:val="21"/>
                    </w:rPr>
                    <w:t>分布</w:t>
                  </w:r>
                </w:p>
              </w:tc>
              <w:tc>
                <w:tcPr>
                  <w:tcW w:w="1194" w:type="pct"/>
                  <w:vAlign w:val="center"/>
                </w:tcPr>
                <w:p>
                  <w:pPr>
                    <w:keepNext w:val="0"/>
                    <w:keepLines w:val="0"/>
                    <w:suppressLineNumbers w:val="0"/>
                    <w:spacing w:before="0" w:beforeAutospacing="0" w:after="0" w:afterAutospacing="0"/>
                    <w:ind w:left="0" w:right="0"/>
                    <w:jc w:val="center"/>
                    <w:rPr>
                      <w:b/>
                      <w:szCs w:val="21"/>
                    </w:rPr>
                  </w:pPr>
                  <w:r>
                    <w:rPr>
                      <w:b/>
                      <w:szCs w:val="21"/>
                    </w:rPr>
                    <w:t>可能影响途径</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1" w:type="dxa"/>
                  <w:bottom w:w="0" w:type="dxa"/>
                  <w:right w:w="51" w:type="dxa"/>
                </w:tblCellMar>
              </w:tblPrEx>
              <w:trPr>
                <w:trHeight w:val="329" w:hRule="atLeast"/>
                <w:jc w:val="center"/>
              </w:trPr>
              <w:tc>
                <w:tcPr>
                  <w:tcW w:w="505" w:type="pct"/>
                  <w:vAlign w:val="center"/>
                </w:tcPr>
                <w:p>
                  <w:pPr>
                    <w:keepNext w:val="0"/>
                    <w:keepLines w:val="0"/>
                    <w:numPr>
                      <w:ilvl w:val="0"/>
                      <w:numId w:val="2"/>
                    </w:numPr>
                    <w:suppressLineNumbers w:val="0"/>
                    <w:spacing w:before="0" w:beforeAutospacing="0" w:after="0" w:afterAutospacing="0"/>
                    <w:ind w:right="0"/>
                    <w:jc w:val="center"/>
                    <w:rPr>
                      <w:szCs w:val="21"/>
                    </w:rPr>
                  </w:pPr>
                </w:p>
              </w:tc>
              <w:tc>
                <w:tcPr>
                  <w:tcW w:w="1172"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液压油</w:t>
                  </w:r>
                </w:p>
              </w:tc>
              <w:tc>
                <w:tcPr>
                  <w:tcW w:w="1236"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0.85</w:t>
                  </w:r>
                </w:p>
              </w:tc>
              <w:tc>
                <w:tcPr>
                  <w:tcW w:w="889"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车间</w:t>
                  </w:r>
                </w:p>
              </w:tc>
              <w:tc>
                <w:tcPr>
                  <w:tcW w:w="1194"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泄露、火灾</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1" w:type="dxa"/>
                  <w:bottom w:w="0" w:type="dxa"/>
                  <w:right w:w="51" w:type="dxa"/>
                </w:tblCellMar>
              </w:tblPrEx>
              <w:trPr>
                <w:trHeight w:val="329" w:hRule="atLeast"/>
                <w:jc w:val="center"/>
              </w:trPr>
              <w:tc>
                <w:tcPr>
                  <w:tcW w:w="505" w:type="pct"/>
                  <w:vAlign w:val="center"/>
                </w:tcPr>
                <w:p>
                  <w:pPr>
                    <w:keepNext w:val="0"/>
                    <w:keepLines w:val="0"/>
                    <w:numPr>
                      <w:ilvl w:val="0"/>
                      <w:numId w:val="2"/>
                    </w:numPr>
                    <w:suppressLineNumbers w:val="0"/>
                    <w:spacing w:before="0" w:beforeAutospacing="0" w:after="0" w:afterAutospacing="0"/>
                    <w:ind w:right="0"/>
                    <w:jc w:val="center"/>
                    <w:rPr>
                      <w:szCs w:val="21"/>
                    </w:rPr>
                  </w:pPr>
                </w:p>
              </w:tc>
              <w:tc>
                <w:tcPr>
                  <w:tcW w:w="1172"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冲压油</w:t>
                  </w:r>
                </w:p>
              </w:tc>
              <w:tc>
                <w:tcPr>
                  <w:tcW w:w="1236"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10</w:t>
                  </w:r>
                </w:p>
              </w:tc>
              <w:tc>
                <w:tcPr>
                  <w:tcW w:w="889"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车间</w:t>
                  </w:r>
                </w:p>
              </w:tc>
              <w:tc>
                <w:tcPr>
                  <w:tcW w:w="1194"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泄露、火灾</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1" w:type="dxa"/>
                  <w:bottom w:w="0" w:type="dxa"/>
                  <w:right w:w="51" w:type="dxa"/>
                </w:tblCellMar>
              </w:tblPrEx>
              <w:trPr>
                <w:trHeight w:val="329" w:hRule="atLeast"/>
                <w:jc w:val="center"/>
              </w:trPr>
              <w:tc>
                <w:tcPr>
                  <w:tcW w:w="505" w:type="pct"/>
                  <w:vAlign w:val="center"/>
                </w:tcPr>
                <w:p>
                  <w:pPr>
                    <w:keepNext w:val="0"/>
                    <w:keepLines w:val="0"/>
                    <w:numPr>
                      <w:ilvl w:val="0"/>
                      <w:numId w:val="2"/>
                    </w:numPr>
                    <w:suppressLineNumbers w:val="0"/>
                    <w:spacing w:before="0" w:beforeAutospacing="0" w:after="0" w:afterAutospacing="0"/>
                    <w:ind w:right="0"/>
                    <w:jc w:val="center"/>
                    <w:rPr>
                      <w:szCs w:val="21"/>
                    </w:rPr>
                  </w:pPr>
                </w:p>
              </w:tc>
              <w:tc>
                <w:tcPr>
                  <w:tcW w:w="1172"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防锈油</w:t>
                  </w:r>
                </w:p>
              </w:tc>
              <w:tc>
                <w:tcPr>
                  <w:tcW w:w="1236"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0.85</w:t>
                  </w:r>
                </w:p>
              </w:tc>
              <w:tc>
                <w:tcPr>
                  <w:tcW w:w="889"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车间</w:t>
                  </w:r>
                </w:p>
              </w:tc>
              <w:tc>
                <w:tcPr>
                  <w:tcW w:w="1194"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泄露、火灾</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1" w:type="dxa"/>
                  <w:bottom w:w="0" w:type="dxa"/>
                  <w:right w:w="51" w:type="dxa"/>
                </w:tblCellMar>
              </w:tblPrEx>
              <w:trPr>
                <w:trHeight w:val="329" w:hRule="atLeast"/>
                <w:jc w:val="center"/>
              </w:trPr>
              <w:tc>
                <w:tcPr>
                  <w:tcW w:w="505" w:type="pct"/>
                  <w:vAlign w:val="center"/>
                </w:tcPr>
                <w:p>
                  <w:pPr>
                    <w:keepNext w:val="0"/>
                    <w:keepLines w:val="0"/>
                    <w:numPr>
                      <w:ilvl w:val="0"/>
                      <w:numId w:val="2"/>
                    </w:numPr>
                    <w:suppressLineNumbers w:val="0"/>
                    <w:spacing w:before="0" w:beforeAutospacing="0" w:after="0" w:afterAutospacing="0"/>
                    <w:ind w:right="0"/>
                    <w:jc w:val="center"/>
                    <w:rPr>
                      <w:szCs w:val="21"/>
                    </w:rPr>
                  </w:pPr>
                </w:p>
              </w:tc>
              <w:tc>
                <w:tcPr>
                  <w:tcW w:w="1172" w:type="pct"/>
                  <w:vAlign w:val="center"/>
                </w:tcPr>
                <w:p>
                  <w:pPr>
                    <w:keepNext w:val="0"/>
                    <w:keepLines w:val="0"/>
                    <w:suppressLineNumbers w:val="0"/>
                    <w:spacing w:before="0" w:beforeAutospacing="0" w:after="0" w:afterAutospacing="0"/>
                    <w:ind w:left="0" w:right="0"/>
                    <w:jc w:val="center"/>
                    <w:rPr>
                      <w:rFonts w:hint="eastAsia" w:eastAsia="宋体"/>
                      <w:szCs w:val="21"/>
                      <w:lang w:eastAsia="zh-CN"/>
                    </w:rPr>
                  </w:pPr>
                  <w:r>
                    <w:rPr>
                      <w:rFonts w:hint="eastAsia"/>
                      <w:szCs w:val="21"/>
                      <w:lang w:eastAsia="zh-CN"/>
                    </w:rPr>
                    <w:t>切削油</w:t>
                  </w:r>
                </w:p>
              </w:tc>
              <w:tc>
                <w:tcPr>
                  <w:tcW w:w="1236"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0.1</w:t>
                  </w:r>
                </w:p>
              </w:tc>
              <w:tc>
                <w:tcPr>
                  <w:tcW w:w="889"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车间</w:t>
                  </w:r>
                </w:p>
              </w:tc>
              <w:tc>
                <w:tcPr>
                  <w:tcW w:w="1194"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泄露</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1" w:type="dxa"/>
                  <w:bottom w:w="0" w:type="dxa"/>
                  <w:right w:w="51" w:type="dxa"/>
                </w:tblCellMar>
              </w:tblPrEx>
              <w:trPr>
                <w:trHeight w:val="329" w:hRule="atLeast"/>
                <w:jc w:val="center"/>
              </w:trPr>
              <w:tc>
                <w:tcPr>
                  <w:tcW w:w="505" w:type="pct"/>
                  <w:vAlign w:val="center"/>
                </w:tcPr>
                <w:p>
                  <w:pPr>
                    <w:keepNext w:val="0"/>
                    <w:keepLines w:val="0"/>
                    <w:numPr>
                      <w:ilvl w:val="0"/>
                      <w:numId w:val="2"/>
                    </w:numPr>
                    <w:suppressLineNumbers w:val="0"/>
                    <w:spacing w:before="0" w:beforeAutospacing="0" w:after="0" w:afterAutospacing="0"/>
                    <w:ind w:right="0"/>
                    <w:jc w:val="center"/>
                    <w:rPr>
                      <w:szCs w:val="21"/>
                    </w:rPr>
                  </w:pPr>
                </w:p>
              </w:tc>
              <w:tc>
                <w:tcPr>
                  <w:tcW w:w="1172" w:type="pct"/>
                  <w:vAlign w:val="center"/>
                </w:tcPr>
                <w:p>
                  <w:pPr>
                    <w:keepNext w:val="0"/>
                    <w:keepLines w:val="0"/>
                    <w:suppressLineNumbers w:val="0"/>
                    <w:spacing w:before="0" w:beforeAutospacing="0" w:after="0" w:afterAutospacing="0"/>
                    <w:ind w:left="0" w:right="0"/>
                    <w:jc w:val="center"/>
                    <w:rPr>
                      <w:szCs w:val="21"/>
                    </w:rPr>
                  </w:pPr>
                  <w:r>
                    <w:rPr>
                      <w:szCs w:val="21"/>
                    </w:rPr>
                    <w:t>废活性炭</w:t>
                  </w:r>
                </w:p>
              </w:tc>
              <w:tc>
                <w:tcPr>
                  <w:tcW w:w="1236"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1.225</w:t>
                  </w:r>
                </w:p>
              </w:tc>
              <w:tc>
                <w:tcPr>
                  <w:tcW w:w="889"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危废仓库</w:t>
                  </w:r>
                </w:p>
              </w:tc>
              <w:tc>
                <w:tcPr>
                  <w:tcW w:w="1194"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泄露</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1" w:type="dxa"/>
                  <w:bottom w:w="0" w:type="dxa"/>
                  <w:right w:w="51" w:type="dxa"/>
                </w:tblCellMar>
              </w:tblPrEx>
              <w:trPr>
                <w:trHeight w:val="329" w:hRule="atLeast"/>
                <w:jc w:val="center"/>
              </w:trPr>
              <w:tc>
                <w:tcPr>
                  <w:tcW w:w="505" w:type="pct"/>
                  <w:vAlign w:val="center"/>
                </w:tcPr>
                <w:p>
                  <w:pPr>
                    <w:keepNext w:val="0"/>
                    <w:keepLines w:val="0"/>
                    <w:numPr>
                      <w:ilvl w:val="0"/>
                      <w:numId w:val="2"/>
                    </w:numPr>
                    <w:suppressLineNumbers w:val="0"/>
                    <w:spacing w:before="0" w:beforeAutospacing="0" w:after="0" w:afterAutospacing="0"/>
                    <w:ind w:right="0"/>
                    <w:jc w:val="center"/>
                    <w:rPr>
                      <w:szCs w:val="21"/>
                    </w:rPr>
                  </w:pPr>
                </w:p>
              </w:tc>
              <w:tc>
                <w:tcPr>
                  <w:tcW w:w="1172"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废包装桶</w:t>
                  </w:r>
                </w:p>
              </w:tc>
              <w:tc>
                <w:tcPr>
                  <w:tcW w:w="1236"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rFonts w:hint="eastAsia"/>
                      <w:szCs w:val="21"/>
                    </w:rPr>
                    <w:t>0.</w:t>
                  </w:r>
                  <w:r>
                    <w:rPr>
                      <w:rFonts w:hint="eastAsia"/>
                      <w:szCs w:val="21"/>
                      <w:lang w:val="en-US" w:eastAsia="zh-CN"/>
                    </w:rPr>
                    <w:t>15</w:t>
                  </w:r>
                </w:p>
              </w:tc>
              <w:tc>
                <w:tcPr>
                  <w:tcW w:w="889"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危废仓库</w:t>
                  </w:r>
                </w:p>
              </w:tc>
              <w:tc>
                <w:tcPr>
                  <w:tcW w:w="1194"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泄露、火灾</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1" w:type="dxa"/>
                  <w:bottom w:w="0" w:type="dxa"/>
                  <w:right w:w="51" w:type="dxa"/>
                </w:tblCellMar>
              </w:tblPrEx>
              <w:trPr>
                <w:trHeight w:val="329" w:hRule="atLeast"/>
                <w:jc w:val="center"/>
              </w:trPr>
              <w:tc>
                <w:tcPr>
                  <w:tcW w:w="505" w:type="pct"/>
                  <w:vAlign w:val="center"/>
                </w:tcPr>
                <w:p>
                  <w:pPr>
                    <w:keepNext w:val="0"/>
                    <w:keepLines w:val="0"/>
                    <w:numPr>
                      <w:ilvl w:val="0"/>
                      <w:numId w:val="2"/>
                    </w:numPr>
                    <w:suppressLineNumbers w:val="0"/>
                    <w:spacing w:before="0" w:beforeAutospacing="0" w:after="0" w:afterAutospacing="0"/>
                    <w:ind w:right="0"/>
                    <w:jc w:val="center"/>
                    <w:rPr>
                      <w:szCs w:val="21"/>
                    </w:rPr>
                  </w:pPr>
                </w:p>
              </w:tc>
              <w:tc>
                <w:tcPr>
                  <w:tcW w:w="1172" w:type="pct"/>
                  <w:vAlign w:val="center"/>
                </w:tcPr>
                <w:p>
                  <w:pPr>
                    <w:keepNext w:val="0"/>
                    <w:keepLines w:val="0"/>
                    <w:suppressLineNumbers w:val="0"/>
                    <w:spacing w:before="0" w:beforeAutospacing="0" w:after="0" w:afterAutospacing="0"/>
                    <w:ind w:left="0" w:right="0"/>
                    <w:jc w:val="center"/>
                    <w:rPr>
                      <w:rFonts w:hint="eastAsia" w:eastAsia="宋体"/>
                      <w:szCs w:val="21"/>
                      <w:lang w:eastAsia="zh-CN"/>
                    </w:rPr>
                  </w:pPr>
                  <w:r>
                    <w:rPr>
                      <w:rFonts w:hint="eastAsia"/>
                      <w:szCs w:val="21"/>
                    </w:rPr>
                    <w:t>废</w:t>
                  </w:r>
                  <w:r>
                    <w:rPr>
                      <w:rFonts w:hint="eastAsia"/>
                      <w:szCs w:val="21"/>
                      <w:lang w:eastAsia="zh-CN"/>
                    </w:rPr>
                    <w:t>矿物油</w:t>
                  </w:r>
                </w:p>
              </w:tc>
              <w:tc>
                <w:tcPr>
                  <w:tcW w:w="1236"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1</w:t>
                  </w:r>
                </w:p>
              </w:tc>
              <w:tc>
                <w:tcPr>
                  <w:tcW w:w="889"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危废仓库</w:t>
                  </w:r>
                </w:p>
              </w:tc>
              <w:tc>
                <w:tcPr>
                  <w:tcW w:w="1194"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泄露、火灾</w:t>
                  </w:r>
                </w:p>
              </w:tc>
            </w:tr>
          </w:tbl>
          <w:p>
            <w:pPr>
              <w:keepNext w:val="0"/>
              <w:keepLines w:val="0"/>
              <w:suppressLineNumbers w:val="0"/>
              <w:adjustRightInd w:val="0"/>
              <w:snapToGrid w:val="0"/>
              <w:spacing w:before="0" w:beforeAutospacing="0" w:after="0" w:afterAutospacing="0" w:line="360" w:lineRule="auto"/>
              <w:ind w:left="0" w:right="0" w:firstLine="480" w:firstLineChars="200"/>
              <w:rPr>
                <w:bCs/>
                <w:sz w:val="24"/>
                <w:szCs w:val="22"/>
              </w:rPr>
            </w:pPr>
            <w:r>
              <w:rPr>
                <w:bCs/>
                <w:sz w:val="24"/>
                <w:szCs w:val="22"/>
              </w:rPr>
              <w:t>根据《建设项目环境风险评价技术导则》（HJ169—2018），首先对本项目危险物质数量及临界量比值（Q）进行计算。</w:t>
            </w:r>
          </w:p>
          <w:p>
            <w:pPr>
              <w:keepNext w:val="0"/>
              <w:keepLines w:val="0"/>
              <w:suppressLineNumbers w:val="0"/>
              <w:adjustRightInd w:val="0"/>
              <w:snapToGrid w:val="0"/>
              <w:spacing w:before="0" w:beforeAutospacing="0" w:after="0" w:afterAutospacing="0" w:line="360" w:lineRule="auto"/>
              <w:ind w:left="0" w:right="0" w:firstLine="480" w:firstLineChars="200"/>
              <w:rPr>
                <w:bCs/>
                <w:sz w:val="24"/>
                <w:szCs w:val="22"/>
              </w:rPr>
            </w:pPr>
            <w:r>
              <w:rPr>
                <w:bCs/>
                <w:sz w:val="24"/>
                <w:szCs w:val="22"/>
              </w:rPr>
              <w:t>计算所涉及的每种危险物质在厂界内的最大存在总量与其在附录中对应临界量的比值Q时，在不同厂区的同一种物质，按其在厂界内的最大存在总量计算。对于长输管线项目，按照两个截断阀室之间管段危险物质最大存在总量计算。</w:t>
            </w:r>
          </w:p>
          <w:p>
            <w:pPr>
              <w:keepNext w:val="0"/>
              <w:keepLines w:val="0"/>
              <w:suppressLineNumbers w:val="0"/>
              <w:adjustRightInd w:val="0"/>
              <w:snapToGrid w:val="0"/>
              <w:spacing w:before="0" w:beforeAutospacing="0" w:after="0" w:afterAutospacing="0" w:line="360" w:lineRule="auto"/>
              <w:ind w:left="0" w:right="0" w:firstLine="480" w:firstLineChars="200"/>
              <w:rPr>
                <w:bCs/>
                <w:sz w:val="24"/>
                <w:szCs w:val="22"/>
              </w:rPr>
            </w:pPr>
            <w:r>
              <w:rPr>
                <w:bCs/>
                <w:sz w:val="24"/>
                <w:szCs w:val="22"/>
              </w:rPr>
              <w:t>当只涉及一种危险物质时，计算该物质的总量与其临界量比值，即为Q；</w:t>
            </w:r>
          </w:p>
          <w:p>
            <w:pPr>
              <w:keepNext w:val="0"/>
              <w:keepLines w:val="0"/>
              <w:suppressLineNumbers w:val="0"/>
              <w:adjustRightInd w:val="0"/>
              <w:snapToGrid w:val="0"/>
              <w:spacing w:before="0" w:beforeAutospacing="0" w:after="0" w:afterAutospacing="0" w:line="360" w:lineRule="auto"/>
              <w:ind w:left="0" w:right="0" w:firstLine="480" w:firstLineChars="200"/>
              <w:rPr>
                <w:bCs/>
                <w:sz w:val="24"/>
                <w:szCs w:val="22"/>
              </w:rPr>
            </w:pPr>
            <w:r>
              <w:rPr>
                <w:bCs/>
                <w:sz w:val="24"/>
                <w:szCs w:val="22"/>
              </w:rPr>
              <w:t>当存在多种危险物质时，则按式（C.1）计算物质总量与其临界量比值（Q）；</w:t>
            </w:r>
          </w:p>
          <w:p>
            <w:pPr>
              <w:keepNext w:val="0"/>
              <w:keepLines w:val="0"/>
              <w:suppressLineNumbers w:val="0"/>
              <w:adjustRightInd w:val="0"/>
              <w:snapToGrid w:val="0"/>
              <w:spacing w:before="0" w:beforeAutospacing="0" w:after="0" w:afterAutospacing="0" w:line="360" w:lineRule="auto"/>
              <w:ind w:left="0" w:right="0" w:firstLine="480" w:firstLineChars="200"/>
              <w:jc w:val="center"/>
              <w:rPr>
                <w:bCs/>
                <w:sz w:val="24"/>
                <w:szCs w:val="22"/>
              </w:rPr>
            </w:pPr>
            <w:r>
              <w:rPr>
                <w:bCs/>
                <w:position w:val="-30"/>
                <w:sz w:val="24"/>
                <w:szCs w:val="22"/>
              </w:rPr>
              <w:object>
                <v:shape id="_x0000_i1026" o:spt="75" type="#_x0000_t75" style="height:34.45pt;width:108.95pt;" o:ole="t" filled="f" o:preferrelative="t" stroked="f" coordsize="21600,21600">
                  <v:path/>
                  <v:fill on="f" focussize="0,0"/>
                  <v:stroke on="f" joinstyle="miter"/>
                  <v:imagedata r:id="rId15" o:title=""/>
                  <o:lock v:ext="edit" aspectratio="t"/>
                  <w10:wrap type="none"/>
                  <w10:anchorlock/>
                </v:shape>
                <o:OLEObject Type="Embed" ProgID="Equation.3" ShapeID="_x0000_i1026" DrawAspect="Content" ObjectID="_1468075726" r:id="rId14">
                  <o:LockedField>false</o:LockedField>
                </o:OLEObject>
              </w:object>
            </w:r>
          </w:p>
          <w:p>
            <w:pPr>
              <w:keepNext w:val="0"/>
              <w:keepLines w:val="0"/>
              <w:suppressLineNumbers w:val="0"/>
              <w:adjustRightInd w:val="0"/>
              <w:snapToGrid w:val="0"/>
              <w:spacing w:before="0" w:beforeAutospacing="0" w:after="0" w:afterAutospacing="0" w:line="360" w:lineRule="auto"/>
              <w:ind w:left="0" w:right="0" w:firstLine="480" w:firstLineChars="200"/>
              <w:rPr>
                <w:bCs/>
                <w:sz w:val="24"/>
                <w:szCs w:val="22"/>
              </w:rPr>
            </w:pPr>
            <w:r>
              <w:rPr>
                <w:bCs/>
                <w:sz w:val="24"/>
                <w:szCs w:val="22"/>
              </w:rPr>
              <w:t>式中：q</w:t>
            </w:r>
            <w:r>
              <w:rPr>
                <w:bCs/>
                <w:sz w:val="24"/>
                <w:szCs w:val="22"/>
                <w:vertAlign w:val="subscript"/>
              </w:rPr>
              <w:t>1</w:t>
            </w:r>
            <w:r>
              <w:rPr>
                <w:bCs/>
                <w:sz w:val="24"/>
                <w:szCs w:val="22"/>
              </w:rPr>
              <w:t>、q</w:t>
            </w:r>
            <w:r>
              <w:rPr>
                <w:bCs/>
                <w:sz w:val="24"/>
                <w:szCs w:val="22"/>
                <w:vertAlign w:val="subscript"/>
              </w:rPr>
              <w:t>2</w:t>
            </w:r>
            <w:r>
              <w:rPr>
                <w:bCs/>
                <w:sz w:val="24"/>
                <w:szCs w:val="22"/>
              </w:rPr>
              <w:t>、…q</w:t>
            </w:r>
            <w:r>
              <w:rPr>
                <w:bCs/>
                <w:sz w:val="24"/>
                <w:szCs w:val="22"/>
                <w:vertAlign w:val="subscript"/>
              </w:rPr>
              <w:t>n</w:t>
            </w:r>
            <w:r>
              <w:rPr>
                <w:bCs/>
                <w:sz w:val="24"/>
                <w:szCs w:val="22"/>
              </w:rPr>
              <w:t>----每种环境风险物质的存在量，t；</w:t>
            </w:r>
          </w:p>
          <w:p>
            <w:pPr>
              <w:keepNext w:val="0"/>
              <w:keepLines w:val="0"/>
              <w:suppressLineNumbers w:val="0"/>
              <w:adjustRightInd w:val="0"/>
              <w:snapToGrid w:val="0"/>
              <w:spacing w:before="0" w:beforeAutospacing="0" w:after="0" w:afterAutospacing="0" w:line="360" w:lineRule="auto"/>
              <w:ind w:left="0" w:right="0" w:firstLine="480" w:firstLineChars="200"/>
              <w:rPr>
                <w:bCs/>
                <w:sz w:val="24"/>
                <w:szCs w:val="22"/>
              </w:rPr>
            </w:pPr>
            <w:r>
              <w:rPr>
                <w:bCs/>
                <w:sz w:val="24"/>
                <w:szCs w:val="22"/>
              </w:rPr>
              <w:t>Q</w:t>
            </w:r>
            <w:r>
              <w:rPr>
                <w:bCs/>
                <w:sz w:val="24"/>
                <w:szCs w:val="22"/>
                <w:vertAlign w:val="subscript"/>
              </w:rPr>
              <w:t>1</w:t>
            </w:r>
            <w:r>
              <w:rPr>
                <w:bCs/>
                <w:sz w:val="24"/>
                <w:szCs w:val="22"/>
              </w:rPr>
              <w:t>、Q</w:t>
            </w:r>
            <w:r>
              <w:rPr>
                <w:bCs/>
                <w:sz w:val="24"/>
                <w:szCs w:val="22"/>
                <w:vertAlign w:val="subscript"/>
              </w:rPr>
              <w:t>2</w:t>
            </w:r>
            <w:r>
              <w:rPr>
                <w:bCs/>
                <w:sz w:val="24"/>
                <w:szCs w:val="22"/>
              </w:rPr>
              <w:t>、…Q</w:t>
            </w:r>
            <w:r>
              <w:rPr>
                <w:bCs/>
                <w:sz w:val="24"/>
                <w:szCs w:val="22"/>
                <w:vertAlign w:val="subscript"/>
              </w:rPr>
              <w:t>n</w:t>
            </w:r>
            <w:r>
              <w:rPr>
                <w:bCs/>
                <w:sz w:val="24"/>
                <w:szCs w:val="22"/>
              </w:rPr>
              <w:t>----每种环境风险物质的临界量，t。</w:t>
            </w:r>
          </w:p>
          <w:p>
            <w:pPr>
              <w:keepNext w:val="0"/>
              <w:keepLines w:val="0"/>
              <w:suppressLineNumbers w:val="0"/>
              <w:adjustRightInd w:val="0"/>
              <w:snapToGrid w:val="0"/>
              <w:spacing w:before="0" w:beforeAutospacing="0" w:after="0" w:afterAutospacing="0" w:line="360" w:lineRule="auto"/>
              <w:ind w:left="0" w:right="0" w:firstLine="480" w:firstLineChars="200"/>
              <w:rPr>
                <w:bCs/>
                <w:sz w:val="24"/>
                <w:szCs w:val="22"/>
              </w:rPr>
            </w:pPr>
            <w:r>
              <w:rPr>
                <w:bCs/>
                <w:sz w:val="24"/>
                <w:szCs w:val="22"/>
              </w:rPr>
              <w:t>当Q＜1时，该项目环境风险潜势为I。</w:t>
            </w:r>
          </w:p>
          <w:p>
            <w:pPr>
              <w:keepNext w:val="0"/>
              <w:keepLines w:val="0"/>
              <w:suppressLineNumbers w:val="0"/>
              <w:adjustRightInd w:val="0"/>
              <w:snapToGrid w:val="0"/>
              <w:spacing w:before="0" w:beforeAutospacing="0" w:after="0" w:afterAutospacing="0" w:line="360" w:lineRule="auto"/>
              <w:ind w:left="0" w:right="0" w:firstLine="480" w:firstLineChars="200"/>
              <w:rPr>
                <w:bCs/>
                <w:sz w:val="24"/>
                <w:szCs w:val="22"/>
              </w:rPr>
            </w:pPr>
            <w:r>
              <w:rPr>
                <w:bCs/>
                <w:sz w:val="24"/>
                <w:szCs w:val="22"/>
              </w:rPr>
              <w:t>当Q≥1，将Q值划分为：（1）1≤Q＜10；（2）10≤Q＜100；</w:t>
            </w:r>
          </w:p>
          <w:p>
            <w:pPr>
              <w:keepNext w:val="0"/>
              <w:keepLines w:val="0"/>
              <w:suppressLineNumbers w:val="0"/>
              <w:adjustRightInd w:val="0"/>
              <w:snapToGrid w:val="0"/>
              <w:spacing w:before="0" w:beforeAutospacing="0" w:after="0" w:afterAutospacing="0" w:line="360" w:lineRule="auto"/>
              <w:ind w:left="0" w:right="0" w:firstLine="480" w:firstLineChars="200"/>
              <w:rPr>
                <w:bCs/>
                <w:sz w:val="24"/>
              </w:rPr>
            </w:pPr>
            <w:r>
              <w:rPr>
                <w:bCs/>
                <w:sz w:val="24"/>
              </w:rPr>
              <w:t>危废</w:t>
            </w:r>
            <w:r>
              <w:rPr>
                <w:rFonts w:hint="eastAsia"/>
                <w:bCs/>
                <w:sz w:val="24"/>
              </w:rPr>
              <w:t>仓库</w:t>
            </w:r>
            <w:r>
              <w:rPr>
                <w:bCs/>
                <w:sz w:val="24"/>
              </w:rPr>
              <w:t>内有废</w:t>
            </w:r>
            <w:r>
              <w:rPr>
                <w:rFonts w:hint="eastAsia"/>
                <w:bCs/>
                <w:sz w:val="24"/>
              </w:rPr>
              <w:t>包装桶、废</w:t>
            </w:r>
            <w:r>
              <w:rPr>
                <w:rFonts w:hint="eastAsia"/>
                <w:bCs/>
                <w:sz w:val="24"/>
                <w:lang w:eastAsia="zh-CN"/>
              </w:rPr>
              <w:t>矿物</w:t>
            </w:r>
            <w:r>
              <w:rPr>
                <w:rFonts w:hint="eastAsia"/>
                <w:bCs/>
                <w:sz w:val="24"/>
              </w:rPr>
              <w:t>油等</w:t>
            </w:r>
            <w:r>
              <w:rPr>
                <w:bCs/>
                <w:sz w:val="24"/>
              </w:rPr>
              <w:t>。若上述</w:t>
            </w:r>
            <w:r>
              <w:rPr>
                <w:rFonts w:hint="eastAsia"/>
                <w:bCs/>
                <w:sz w:val="24"/>
              </w:rPr>
              <w:t>废包装桶、废</w:t>
            </w:r>
            <w:r>
              <w:rPr>
                <w:rFonts w:hint="eastAsia"/>
                <w:bCs/>
                <w:sz w:val="24"/>
                <w:lang w:eastAsia="zh-CN"/>
              </w:rPr>
              <w:t>矿物</w:t>
            </w:r>
            <w:r>
              <w:rPr>
                <w:rFonts w:hint="eastAsia"/>
                <w:bCs/>
                <w:sz w:val="24"/>
              </w:rPr>
              <w:t>油等遇明火会引发火灾</w:t>
            </w:r>
            <w:r>
              <w:rPr>
                <w:bCs/>
                <w:sz w:val="24"/>
              </w:rPr>
              <w:t>，会对周围</w:t>
            </w:r>
            <w:r>
              <w:rPr>
                <w:rFonts w:hint="eastAsia"/>
                <w:bCs/>
                <w:sz w:val="24"/>
              </w:rPr>
              <w:t>环境</w:t>
            </w:r>
            <w:r>
              <w:rPr>
                <w:bCs/>
                <w:sz w:val="24"/>
              </w:rPr>
              <w:t>造成一定的影响。根据导则附录B，本项目危险物质数量及临界量比值（Q）统计如下。</w:t>
            </w:r>
          </w:p>
          <w:p>
            <w:pPr>
              <w:keepNext w:val="0"/>
              <w:keepLines w:val="0"/>
              <w:suppressLineNumbers w:val="0"/>
              <w:adjustRightInd w:val="0"/>
              <w:snapToGrid w:val="0"/>
              <w:spacing w:before="0" w:beforeAutospacing="0" w:after="0" w:afterAutospacing="0"/>
              <w:ind w:left="0" w:right="0"/>
              <w:jc w:val="center"/>
              <w:rPr>
                <w:b/>
                <w:sz w:val="24"/>
              </w:rPr>
            </w:pPr>
          </w:p>
          <w:p>
            <w:pPr>
              <w:keepNext w:val="0"/>
              <w:keepLines w:val="0"/>
              <w:suppressLineNumbers w:val="0"/>
              <w:adjustRightInd w:val="0"/>
              <w:snapToGrid w:val="0"/>
              <w:spacing w:before="0" w:beforeAutospacing="0" w:after="0" w:afterAutospacing="0"/>
              <w:ind w:left="0" w:right="0"/>
              <w:jc w:val="center"/>
              <w:rPr>
                <w:b/>
                <w:sz w:val="24"/>
              </w:rPr>
            </w:pPr>
          </w:p>
          <w:p>
            <w:pPr>
              <w:keepNext w:val="0"/>
              <w:keepLines w:val="0"/>
              <w:suppressLineNumbers w:val="0"/>
              <w:adjustRightInd w:val="0"/>
              <w:snapToGrid w:val="0"/>
              <w:spacing w:before="0" w:beforeAutospacing="0" w:after="0" w:afterAutospacing="0"/>
              <w:ind w:left="0" w:right="0"/>
              <w:jc w:val="center"/>
              <w:rPr>
                <w:b/>
                <w:sz w:val="24"/>
              </w:rPr>
            </w:pPr>
          </w:p>
          <w:p>
            <w:pPr>
              <w:keepNext w:val="0"/>
              <w:keepLines w:val="0"/>
              <w:suppressLineNumbers w:val="0"/>
              <w:adjustRightInd w:val="0"/>
              <w:snapToGrid w:val="0"/>
              <w:spacing w:before="0" w:beforeAutospacing="0" w:after="0" w:afterAutospacing="0"/>
              <w:ind w:left="0" w:right="0"/>
              <w:jc w:val="center"/>
              <w:rPr>
                <w:b/>
                <w:sz w:val="24"/>
              </w:rPr>
            </w:pPr>
          </w:p>
          <w:p>
            <w:pPr>
              <w:keepNext w:val="0"/>
              <w:keepLines w:val="0"/>
              <w:suppressLineNumbers w:val="0"/>
              <w:adjustRightInd w:val="0"/>
              <w:snapToGrid w:val="0"/>
              <w:spacing w:before="0" w:beforeAutospacing="0" w:after="0" w:afterAutospacing="0"/>
              <w:ind w:left="0" w:right="0"/>
              <w:jc w:val="center"/>
              <w:rPr>
                <w:b/>
                <w:sz w:val="24"/>
              </w:rPr>
            </w:pPr>
            <w:r>
              <w:rPr>
                <w:b/>
                <w:sz w:val="24"/>
              </w:rPr>
              <w:t>表</w:t>
            </w:r>
            <w:r>
              <w:rPr>
                <w:rFonts w:hint="eastAsia"/>
                <w:b/>
                <w:sz w:val="24"/>
              </w:rPr>
              <w:t>4-23</w:t>
            </w:r>
            <w:r>
              <w:rPr>
                <w:b/>
                <w:sz w:val="24"/>
              </w:rPr>
              <w:t xml:space="preserve"> 本项目危险物质数量及临界量比值（Q）一览表</w:t>
            </w:r>
          </w:p>
          <w:tbl>
            <w:tblPr>
              <w:tblStyle w:val="21"/>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32"/>
              <w:gridCol w:w="1204"/>
              <w:gridCol w:w="3586"/>
              <w:gridCol w:w="877"/>
              <w:gridCol w:w="168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8" w:type="pct"/>
                  <w:tcBorders>
                    <w:top w:val="single" w:color="auto" w:sz="12" w:space="0"/>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序号</w:t>
                  </w:r>
                </w:p>
              </w:tc>
              <w:tc>
                <w:tcPr>
                  <w:tcW w:w="736" w:type="pct"/>
                  <w:tcBorders>
                    <w:top w:val="single" w:color="auto" w:sz="12" w:space="0"/>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名称</w:t>
                  </w:r>
                </w:p>
              </w:tc>
              <w:tc>
                <w:tcPr>
                  <w:tcW w:w="2192" w:type="pct"/>
                  <w:tcBorders>
                    <w:top w:val="single" w:color="auto" w:sz="12" w:space="0"/>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最大存在总量（t）</w:t>
                  </w:r>
                </w:p>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（包括车间暂存量及存储区量）</w:t>
                  </w:r>
                </w:p>
              </w:tc>
              <w:tc>
                <w:tcPr>
                  <w:tcW w:w="536" w:type="pct"/>
                  <w:tcBorders>
                    <w:top w:val="single" w:color="auto" w:sz="12" w:space="0"/>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t>临界量（t）</w:t>
                  </w:r>
                </w:p>
              </w:tc>
              <w:tc>
                <w:tcPr>
                  <w:tcW w:w="1027" w:type="pct"/>
                  <w:tcBorders>
                    <w:top w:val="single" w:color="auto" w:sz="12" w:space="0"/>
                  </w:tcBorders>
                  <w:vAlign w:val="center"/>
                </w:tcPr>
                <w:p>
                  <w:pPr>
                    <w:keepNext w:val="0"/>
                    <w:keepLines w:val="0"/>
                    <w:suppressLineNumbers w:val="0"/>
                    <w:adjustRightInd w:val="0"/>
                    <w:snapToGrid w:val="0"/>
                    <w:spacing w:before="0" w:beforeAutospacing="0" w:after="0" w:afterAutospacing="0"/>
                    <w:ind w:left="0" w:right="0"/>
                    <w:jc w:val="center"/>
                    <w:rPr>
                      <w:b/>
                      <w:bCs/>
                      <w:szCs w:val="21"/>
                    </w:rPr>
                  </w:pPr>
                  <w:r>
                    <w:rPr>
                      <w:b/>
                      <w:bCs/>
                      <w:szCs w:val="21"/>
                    </w:rPr>
                    <w:object>
                      <v:shape id="_x0000_i1027" o:spt="75" type="#_x0000_t75" style="height:33.8pt;width:17.55pt;" o:ole="t" filled="f" o:preferrelative="t" stroked="f" coordsize="21600,21600">
                        <v:path/>
                        <v:fill on="f" focussize="0,0"/>
                        <v:stroke on="f" joinstyle="miter"/>
                        <v:imagedata r:id="rId17" o:title=""/>
                        <o:lock v:ext="edit" aspectratio="t"/>
                        <w10:wrap type="none"/>
                        <w10:anchorlock/>
                      </v:shape>
                      <o:OLEObject Type="Embed" ProgID="Equation.3" ShapeID="_x0000_i1027" DrawAspect="Content" ObjectID="_1468075727" r:id="rId16">
                        <o:LockedField>false</o:LockedField>
                      </o:OLEObject>
                    </w:objec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8"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1</w:t>
                  </w:r>
                </w:p>
              </w:tc>
              <w:tc>
                <w:tcPr>
                  <w:tcW w:w="736"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液压油</w:t>
                  </w:r>
                </w:p>
              </w:tc>
              <w:tc>
                <w:tcPr>
                  <w:tcW w:w="2192"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0.85</w:t>
                  </w:r>
                </w:p>
              </w:tc>
              <w:tc>
                <w:tcPr>
                  <w:tcW w:w="536" w:type="pct"/>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bCs/>
                      <w:szCs w:val="21"/>
                    </w:rPr>
                  </w:pPr>
                  <w:r>
                    <w:rPr>
                      <w:rFonts w:hint="eastAsia" w:ascii="Times New Roman" w:hAnsi="Times New Roman"/>
                      <w:bCs/>
                      <w:szCs w:val="21"/>
                    </w:rPr>
                    <w:t>2500</w:t>
                  </w:r>
                </w:p>
              </w:tc>
              <w:tc>
                <w:tcPr>
                  <w:tcW w:w="1027" w:type="pct"/>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bCs/>
                      <w:szCs w:val="21"/>
                    </w:rPr>
                  </w:pPr>
                  <w:r>
                    <w:rPr>
                      <w:rFonts w:hint="eastAsia" w:ascii="Times New Roman" w:hAnsi="Times New Roman"/>
                      <w:bCs/>
                      <w:szCs w:val="21"/>
                    </w:rPr>
                    <w:t>0.00034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8"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2</w:t>
                  </w:r>
                </w:p>
              </w:tc>
              <w:tc>
                <w:tcPr>
                  <w:tcW w:w="736"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冲压油</w:t>
                  </w:r>
                </w:p>
              </w:tc>
              <w:tc>
                <w:tcPr>
                  <w:tcW w:w="2192"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10</w:t>
                  </w:r>
                </w:p>
              </w:tc>
              <w:tc>
                <w:tcPr>
                  <w:tcW w:w="536" w:type="pct"/>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bCs/>
                      <w:szCs w:val="21"/>
                    </w:rPr>
                  </w:pPr>
                  <w:r>
                    <w:rPr>
                      <w:rFonts w:hint="eastAsia" w:ascii="Times New Roman" w:hAnsi="Times New Roman"/>
                      <w:bCs/>
                      <w:szCs w:val="21"/>
                    </w:rPr>
                    <w:t>2500</w:t>
                  </w:r>
                </w:p>
              </w:tc>
              <w:tc>
                <w:tcPr>
                  <w:tcW w:w="1027" w:type="pct"/>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bCs/>
                      <w:szCs w:val="21"/>
                    </w:rPr>
                  </w:pPr>
                  <w:r>
                    <w:rPr>
                      <w:rFonts w:hint="eastAsia" w:ascii="Times New Roman" w:hAnsi="Times New Roman"/>
                      <w:bCs/>
                      <w:szCs w:val="21"/>
                    </w:rPr>
                    <w:t>0.004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8"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3</w:t>
                  </w:r>
                </w:p>
              </w:tc>
              <w:tc>
                <w:tcPr>
                  <w:tcW w:w="736"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防锈油</w:t>
                  </w:r>
                </w:p>
              </w:tc>
              <w:tc>
                <w:tcPr>
                  <w:tcW w:w="2192"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0.85</w:t>
                  </w:r>
                </w:p>
              </w:tc>
              <w:tc>
                <w:tcPr>
                  <w:tcW w:w="536" w:type="pct"/>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bCs/>
                      <w:szCs w:val="21"/>
                    </w:rPr>
                  </w:pPr>
                  <w:r>
                    <w:rPr>
                      <w:rFonts w:hint="eastAsia" w:ascii="Times New Roman" w:hAnsi="Times New Roman"/>
                      <w:bCs/>
                      <w:szCs w:val="21"/>
                    </w:rPr>
                    <w:t>2500</w:t>
                  </w:r>
                </w:p>
              </w:tc>
              <w:tc>
                <w:tcPr>
                  <w:tcW w:w="1027" w:type="pct"/>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bCs/>
                      <w:szCs w:val="21"/>
                    </w:rPr>
                  </w:pPr>
                  <w:r>
                    <w:rPr>
                      <w:rFonts w:hint="eastAsia" w:ascii="Times New Roman" w:hAnsi="Times New Roman"/>
                      <w:bCs/>
                      <w:szCs w:val="21"/>
                    </w:rPr>
                    <w:t>0.00034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8"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4</w:t>
                  </w:r>
                </w:p>
              </w:tc>
              <w:tc>
                <w:tcPr>
                  <w:tcW w:w="736" w:type="pct"/>
                  <w:vAlign w:val="center"/>
                </w:tcPr>
                <w:p>
                  <w:pPr>
                    <w:keepNext w:val="0"/>
                    <w:keepLines w:val="0"/>
                    <w:suppressLineNumbers w:val="0"/>
                    <w:spacing w:before="0" w:beforeAutospacing="0" w:after="0" w:afterAutospacing="0"/>
                    <w:ind w:left="0" w:right="0"/>
                    <w:jc w:val="center"/>
                    <w:rPr>
                      <w:rFonts w:hint="eastAsia" w:eastAsia="宋体"/>
                      <w:szCs w:val="21"/>
                      <w:lang w:eastAsia="zh-CN"/>
                    </w:rPr>
                  </w:pPr>
                  <w:r>
                    <w:rPr>
                      <w:rFonts w:hint="eastAsia"/>
                      <w:szCs w:val="21"/>
                      <w:lang w:eastAsia="zh-CN"/>
                    </w:rPr>
                    <w:t>切削油</w:t>
                  </w:r>
                </w:p>
              </w:tc>
              <w:tc>
                <w:tcPr>
                  <w:tcW w:w="2192"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0.1</w:t>
                  </w:r>
                </w:p>
              </w:tc>
              <w:tc>
                <w:tcPr>
                  <w:tcW w:w="536" w:type="pct"/>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bCs/>
                      <w:szCs w:val="21"/>
                    </w:rPr>
                  </w:pPr>
                  <w:r>
                    <w:rPr>
                      <w:rFonts w:hint="eastAsia" w:ascii="Times New Roman" w:hAnsi="Times New Roman"/>
                      <w:bCs/>
                      <w:szCs w:val="21"/>
                    </w:rPr>
                    <w:t>2500</w:t>
                  </w:r>
                </w:p>
              </w:tc>
              <w:tc>
                <w:tcPr>
                  <w:tcW w:w="1027" w:type="pct"/>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bCs/>
                      <w:szCs w:val="21"/>
                    </w:rPr>
                  </w:pPr>
                  <w:r>
                    <w:rPr>
                      <w:rFonts w:hint="eastAsia" w:ascii="Times New Roman" w:hAnsi="Times New Roman"/>
                      <w:bCs/>
                      <w:szCs w:val="21"/>
                    </w:rPr>
                    <w:t>0.00004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8"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5</w:t>
                  </w:r>
                </w:p>
              </w:tc>
              <w:tc>
                <w:tcPr>
                  <w:tcW w:w="736" w:type="pct"/>
                  <w:vAlign w:val="center"/>
                </w:tcPr>
                <w:p>
                  <w:pPr>
                    <w:keepNext w:val="0"/>
                    <w:keepLines w:val="0"/>
                    <w:suppressLineNumbers w:val="0"/>
                    <w:spacing w:before="0" w:beforeAutospacing="0" w:after="0" w:afterAutospacing="0"/>
                    <w:ind w:left="0" w:right="0"/>
                    <w:jc w:val="center"/>
                    <w:rPr>
                      <w:szCs w:val="21"/>
                    </w:rPr>
                  </w:pPr>
                  <w:r>
                    <w:rPr>
                      <w:szCs w:val="21"/>
                    </w:rPr>
                    <w:t>废活性炭</w:t>
                  </w:r>
                </w:p>
              </w:tc>
              <w:tc>
                <w:tcPr>
                  <w:tcW w:w="2192"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rFonts w:hint="eastAsia"/>
                      <w:szCs w:val="21"/>
                    </w:rPr>
                    <w:t>1.</w:t>
                  </w:r>
                  <w:r>
                    <w:rPr>
                      <w:rFonts w:hint="eastAsia"/>
                      <w:szCs w:val="21"/>
                      <w:lang w:val="en-US" w:eastAsia="zh-CN"/>
                    </w:rPr>
                    <w:t>225</w:t>
                  </w:r>
                </w:p>
              </w:tc>
              <w:tc>
                <w:tcPr>
                  <w:tcW w:w="536" w:type="pct"/>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bCs/>
                      <w:szCs w:val="21"/>
                    </w:rPr>
                  </w:pPr>
                  <w:r>
                    <w:rPr>
                      <w:rFonts w:ascii="Times New Roman" w:hAnsi="Times New Roman"/>
                      <w:bCs/>
                      <w:szCs w:val="21"/>
                    </w:rPr>
                    <w:t>100</w:t>
                  </w:r>
                </w:p>
              </w:tc>
              <w:tc>
                <w:tcPr>
                  <w:tcW w:w="1027" w:type="pct"/>
                  <w:vAlign w:val="center"/>
                </w:tcPr>
                <w:p>
                  <w:pPr>
                    <w:pStyle w:val="5"/>
                    <w:keepNext w:val="0"/>
                    <w:keepLines w:val="0"/>
                    <w:suppressLineNumbers w:val="0"/>
                    <w:adjustRightInd w:val="0"/>
                    <w:snapToGrid w:val="0"/>
                    <w:spacing w:before="0" w:beforeAutospacing="0" w:after="0" w:afterAutospacing="0"/>
                    <w:ind w:left="0" w:right="0" w:firstLine="0"/>
                    <w:jc w:val="center"/>
                    <w:rPr>
                      <w:rFonts w:hint="default" w:ascii="Times New Roman" w:hAnsi="Times New Roman" w:eastAsia="宋体"/>
                      <w:bCs/>
                      <w:szCs w:val="21"/>
                      <w:lang w:val="en-US" w:eastAsia="zh-CN"/>
                    </w:rPr>
                  </w:pPr>
                  <w:r>
                    <w:rPr>
                      <w:rFonts w:hint="eastAsia" w:ascii="Times New Roman" w:hAnsi="Times New Roman"/>
                      <w:bCs/>
                      <w:szCs w:val="21"/>
                    </w:rPr>
                    <w:t>0.01</w:t>
                  </w:r>
                  <w:r>
                    <w:rPr>
                      <w:rFonts w:hint="eastAsia" w:ascii="Times New Roman" w:hAnsi="Times New Roman"/>
                      <w:bCs/>
                      <w:szCs w:val="21"/>
                      <w:lang w:val="en-US" w:eastAsia="zh-CN"/>
                    </w:rPr>
                    <w:t>225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8"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6</w:t>
                  </w:r>
                </w:p>
              </w:tc>
              <w:tc>
                <w:tcPr>
                  <w:tcW w:w="736"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废包装桶</w:t>
                  </w:r>
                </w:p>
              </w:tc>
              <w:tc>
                <w:tcPr>
                  <w:tcW w:w="2192"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rFonts w:hint="eastAsia"/>
                      <w:szCs w:val="21"/>
                    </w:rPr>
                    <w:t>0.</w:t>
                  </w:r>
                  <w:r>
                    <w:rPr>
                      <w:rFonts w:hint="eastAsia"/>
                      <w:szCs w:val="21"/>
                      <w:lang w:val="en-US" w:eastAsia="zh-CN"/>
                    </w:rPr>
                    <w:t>15</w:t>
                  </w:r>
                </w:p>
              </w:tc>
              <w:tc>
                <w:tcPr>
                  <w:tcW w:w="536" w:type="pct"/>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bCs/>
                      <w:szCs w:val="21"/>
                    </w:rPr>
                  </w:pPr>
                  <w:r>
                    <w:rPr>
                      <w:rFonts w:hint="eastAsia" w:ascii="Times New Roman" w:hAnsi="Times New Roman"/>
                      <w:bCs/>
                      <w:szCs w:val="21"/>
                    </w:rPr>
                    <w:t>100</w:t>
                  </w:r>
                </w:p>
              </w:tc>
              <w:tc>
                <w:tcPr>
                  <w:tcW w:w="1027" w:type="pct"/>
                  <w:vAlign w:val="center"/>
                </w:tcPr>
                <w:p>
                  <w:pPr>
                    <w:pStyle w:val="5"/>
                    <w:keepNext w:val="0"/>
                    <w:keepLines w:val="0"/>
                    <w:suppressLineNumbers w:val="0"/>
                    <w:adjustRightInd w:val="0"/>
                    <w:snapToGrid w:val="0"/>
                    <w:spacing w:before="0" w:beforeAutospacing="0" w:after="0" w:afterAutospacing="0"/>
                    <w:ind w:left="0" w:right="0" w:firstLine="0"/>
                    <w:jc w:val="center"/>
                    <w:rPr>
                      <w:rFonts w:hint="default" w:ascii="Times New Roman" w:hAnsi="Times New Roman" w:eastAsia="宋体"/>
                      <w:bCs/>
                      <w:szCs w:val="21"/>
                      <w:lang w:val="en-US" w:eastAsia="zh-CN"/>
                    </w:rPr>
                  </w:pPr>
                  <w:r>
                    <w:rPr>
                      <w:rFonts w:hint="eastAsia" w:ascii="Times New Roman" w:hAnsi="Times New Roman"/>
                      <w:bCs/>
                      <w:szCs w:val="21"/>
                    </w:rPr>
                    <w:t>0.00</w:t>
                  </w:r>
                  <w:r>
                    <w:rPr>
                      <w:rFonts w:hint="eastAsia" w:ascii="Times New Roman" w:hAnsi="Times New Roman"/>
                      <w:bCs/>
                      <w:szCs w:val="21"/>
                      <w:lang w:val="en-US" w:eastAsia="zh-CN"/>
                    </w:rPr>
                    <w:t>15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8" w:type="pc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7</w:t>
                  </w:r>
                </w:p>
              </w:tc>
              <w:tc>
                <w:tcPr>
                  <w:tcW w:w="736" w:type="pct"/>
                  <w:vAlign w:val="center"/>
                </w:tcPr>
                <w:p>
                  <w:pPr>
                    <w:keepNext w:val="0"/>
                    <w:keepLines w:val="0"/>
                    <w:suppressLineNumbers w:val="0"/>
                    <w:spacing w:before="0" w:beforeAutospacing="0" w:after="0" w:afterAutospacing="0"/>
                    <w:ind w:left="0" w:right="0"/>
                    <w:jc w:val="center"/>
                    <w:rPr>
                      <w:szCs w:val="21"/>
                    </w:rPr>
                  </w:pPr>
                  <w:r>
                    <w:rPr>
                      <w:rFonts w:hint="eastAsia"/>
                      <w:szCs w:val="21"/>
                    </w:rPr>
                    <w:t>废</w:t>
                  </w:r>
                  <w:r>
                    <w:rPr>
                      <w:rFonts w:hint="eastAsia"/>
                      <w:szCs w:val="21"/>
                      <w:lang w:eastAsia="zh-CN"/>
                    </w:rPr>
                    <w:t>矿物</w:t>
                  </w:r>
                  <w:r>
                    <w:rPr>
                      <w:rFonts w:hint="eastAsia"/>
                      <w:szCs w:val="21"/>
                    </w:rPr>
                    <w:t>油</w:t>
                  </w:r>
                </w:p>
              </w:tc>
              <w:tc>
                <w:tcPr>
                  <w:tcW w:w="2192"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rFonts w:hint="eastAsia"/>
                      <w:szCs w:val="21"/>
                    </w:rPr>
                    <w:t>1</w:t>
                  </w:r>
                </w:p>
              </w:tc>
              <w:tc>
                <w:tcPr>
                  <w:tcW w:w="536" w:type="pct"/>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bCs/>
                      <w:szCs w:val="21"/>
                    </w:rPr>
                  </w:pPr>
                  <w:r>
                    <w:rPr>
                      <w:rFonts w:hint="eastAsia" w:ascii="Times New Roman" w:hAnsi="Times New Roman"/>
                      <w:bCs/>
                      <w:szCs w:val="21"/>
                    </w:rPr>
                    <w:t>2500</w:t>
                  </w:r>
                </w:p>
              </w:tc>
              <w:tc>
                <w:tcPr>
                  <w:tcW w:w="1027" w:type="pct"/>
                  <w:vAlign w:val="center"/>
                </w:tcPr>
                <w:p>
                  <w:pPr>
                    <w:pStyle w:val="5"/>
                    <w:keepNext w:val="0"/>
                    <w:keepLines w:val="0"/>
                    <w:suppressLineNumbers w:val="0"/>
                    <w:adjustRightInd w:val="0"/>
                    <w:snapToGrid w:val="0"/>
                    <w:spacing w:before="0" w:beforeAutospacing="0" w:after="0" w:afterAutospacing="0"/>
                    <w:ind w:left="0" w:right="0" w:firstLine="0"/>
                    <w:jc w:val="center"/>
                    <w:rPr>
                      <w:rFonts w:hint="eastAsia" w:ascii="Times New Roman" w:hAnsi="Times New Roman" w:eastAsia="宋体"/>
                      <w:bCs/>
                      <w:szCs w:val="21"/>
                      <w:lang w:val="en-US" w:eastAsia="zh-CN"/>
                    </w:rPr>
                  </w:pPr>
                  <w:r>
                    <w:rPr>
                      <w:rFonts w:hint="eastAsia" w:ascii="Times New Roman" w:hAnsi="Times New Roman"/>
                      <w:bCs/>
                      <w:szCs w:val="21"/>
                    </w:rPr>
                    <w:t>0.000</w:t>
                  </w:r>
                  <w:r>
                    <w:rPr>
                      <w:rFonts w:hint="eastAsia" w:ascii="Times New Roman" w:hAnsi="Times New Roman"/>
                      <w:bCs/>
                      <w:szCs w:val="21"/>
                      <w:lang w:val="en-US" w:eastAsia="zh-CN"/>
                    </w:rPr>
                    <w:t>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72" w:type="pct"/>
                  <w:gridSpan w:val="4"/>
                  <w:tcBorders>
                    <w:bottom w:val="single" w:color="auto" w:sz="12"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ascii="Times New Roman" w:hAnsi="Times New Roman"/>
                      <w:bCs/>
                      <w:szCs w:val="21"/>
                    </w:rPr>
                  </w:pPr>
                  <w:r>
                    <w:rPr>
                      <w:rFonts w:ascii="Times New Roman" w:hAnsi="Times New Roman"/>
                      <w:szCs w:val="21"/>
                    </w:rPr>
                    <w:t>合计</w:t>
                  </w:r>
                </w:p>
              </w:tc>
              <w:tc>
                <w:tcPr>
                  <w:tcW w:w="1027" w:type="pct"/>
                  <w:tcBorders>
                    <w:bottom w:val="single" w:color="auto" w:sz="12" w:space="0"/>
                  </w:tcBorders>
                  <w:vAlign w:val="center"/>
                </w:tcPr>
                <w:p>
                  <w:pPr>
                    <w:pStyle w:val="5"/>
                    <w:keepNext w:val="0"/>
                    <w:keepLines w:val="0"/>
                    <w:suppressLineNumbers w:val="0"/>
                    <w:adjustRightInd w:val="0"/>
                    <w:snapToGrid w:val="0"/>
                    <w:spacing w:before="0" w:beforeAutospacing="0" w:after="0" w:afterAutospacing="0"/>
                    <w:ind w:left="0" w:right="0" w:firstLine="0"/>
                    <w:jc w:val="center"/>
                    <w:rPr>
                      <w:rFonts w:hint="default" w:ascii="Times New Roman" w:hAnsi="Times New Roman" w:eastAsia="宋体"/>
                      <w:bCs/>
                      <w:szCs w:val="21"/>
                      <w:lang w:val="en-US" w:eastAsia="zh-CN"/>
                    </w:rPr>
                  </w:pPr>
                  <w:r>
                    <w:rPr>
                      <w:rFonts w:hint="eastAsia" w:ascii="Times New Roman" w:hAnsi="Times New Roman"/>
                      <w:bCs/>
                      <w:szCs w:val="21"/>
                    </w:rPr>
                    <w:t>0.0</w:t>
                  </w:r>
                  <w:r>
                    <w:rPr>
                      <w:rFonts w:hint="eastAsia" w:ascii="Times New Roman" w:hAnsi="Times New Roman"/>
                      <w:bCs/>
                      <w:szCs w:val="21"/>
                      <w:lang w:val="en-US" w:eastAsia="zh-CN"/>
                    </w:rPr>
                    <w:t>1887</w:t>
                  </w:r>
                </w:p>
              </w:tc>
            </w:tr>
          </w:tbl>
          <w:p>
            <w:pPr>
              <w:keepNext w:val="0"/>
              <w:keepLines w:val="0"/>
              <w:suppressLineNumbers w:val="0"/>
              <w:adjustRightInd w:val="0"/>
              <w:snapToGrid w:val="0"/>
              <w:spacing w:before="0" w:beforeAutospacing="0" w:after="0" w:afterAutospacing="0"/>
              <w:ind w:left="0" w:right="0"/>
              <w:rPr>
                <w:b/>
                <w:szCs w:val="21"/>
              </w:rPr>
            </w:pPr>
            <w:r>
              <w:rPr>
                <w:b/>
                <w:szCs w:val="21"/>
              </w:rPr>
              <w:t>注：</w:t>
            </w:r>
            <w:r>
              <w:rPr>
                <w:rFonts w:hint="eastAsia"/>
                <w:b/>
                <w:szCs w:val="21"/>
              </w:rPr>
              <w:t>液压油、冲压油、防锈油、</w:t>
            </w:r>
            <w:r>
              <w:rPr>
                <w:rFonts w:hint="eastAsia"/>
                <w:b/>
                <w:szCs w:val="21"/>
                <w:lang w:eastAsia="zh-CN"/>
              </w:rPr>
              <w:t>切削油</w:t>
            </w:r>
            <w:r>
              <w:rPr>
                <w:rFonts w:hint="eastAsia"/>
                <w:b/>
                <w:szCs w:val="21"/>
              </w:rPr>
              <w:t>、废</w:t>
            </w:r>
            <w:r>
              <w:rPr>
                <w:rFonts w:hint="eastAsia"/>
                <w:b/>
                <w:szCs w:val="21"/>
                <w:lang w:eastAsia="zh-CN"/>
              </w:rPr>
              <w:t>矿物油</w:t>
            </w:r>
            <w:r>
              <w:rPr>
                <w:rFonts w:hint="eastAsia"/>
                <w:b/>
                <w:szCs w:val="21"/>
              </w:rPr>
              <w:t>临界值参照</w:t>
            </w:r>
            <w:r>
              <w:rPr>
                <w:b/>
                <w:szCs w:val="21"/>
              </w:rPr>
              <w:t>《建设项目环境风险评价技术导则》（HJ169—2018）表B.</w:t>
            </w:r>
            <w:r>
              <w:rPr>
                <w:rFonts w:hint="eastAsia"/>
                <w:b/>
                <w:szCs w:val="21"/>
              </w:rPr>
              <w:t>1</w:t>
            </w:r>
            <w:r>
              <w:rPr>
                <w:b/>
                <w:szCs w:val="21"/>
              </w:rPr>
              <w:t>中“</w:t>
            </w:r>
            <w:r>
              <w:rPr>
                <w:rFonts w:hint="eastAsia"/>
                <w:b/>
                <w:szCs w:val="21"/>
              </w:rPr>
              <w:t>油类物质</w:t>
            </w:r>
            <w:r>
              <w:rPr>
                <w:b/>
                <w:szCs w:val="21"/>
              </w:rPr>
              <w:t>”临界值</w:t>
            </w:r>
            <w:r>
              <w:rPr>
                <w:rFonts w:hint="eastAsia"/>
                <w:b/>
                <w:szCs w:val="21"/>
              </w:rPr>
              <w:t>；</w:t>
            </w:r>
            <w:r>
              <w:rPr>
                <w:b/>
                <w:szCs w:val="21"/>
              </w:rPr>
              <w:t>废活性炭</w:t>
            </w:r>
            <w:r>
              <w:rPr>
                <w:rFonts w:hint="eastAsia"/>
                <w:b/>
                <w:szCs w:val="21"/>
              </w:rPr>
              <w:t>、废包装桶</w:t>
            </w:r>
            <w:r>
              <w:rPr>
                <w:b/>
                <w:szCs w:val="21"/>
              </w:rPr>
              <w:t>临界值参照《建设项目环境风险评价技术导则》（HJ169—2018）表B.2中“危害水环境物</w:t>
            </w:r>
            <w:r>
              <w:rPr>
                <w:rFonts w:hint="eastAsia"/>
                <w:b/>
                <w:szCs w:val="21"/>
              </w:rPr>
              <w:t>（急性毒性类别：急性1，慢性毒性类别：慢性1）</w:t>
            </w:r>
            <w:r>
              <w:rPr>
                <w:b/>
                <w:szCs w:val="21"/>
              </w:rPr>
              <w:t>”临界值</w:t>
            </w:r>
            <w:r>
              <w:rPr>
                <w:rFonts w:hint="eastAsia"/>
                <w:b/>
                <w:szCs w:val="21"/>
              </w:rPr>
              <w:t>；</w:t>
            </w:r>
          </w:p>
          <w:p>
            <w:pPr>
              <w:keepNext w:val="0"/>
              <w:keepLines w:val="0"/>
              <w:suppressLineNumbers w:val="0"/>
              <w:adjustRightInd w:val="0"/>
              <w:snapToGrid w:val="0"/>
              <w:spacing w:before="0" w:beforeAutospacing="0" w:after="0" w:afterAutospacing="0" w:line="360" w:lineRule="auto"/>
              <w:ind w:left="0" w:right="0" w:firstLine="480" w:firstLineChars="200"/>
              <w:rPr>
                <w:bCs/>
                <w:sz w:val="24"/>
              </w:rPr>
            </w:pPr>
            <w:r>
              <w:rPr>
                <w:bCs/>
                <w:sz w:val="24"/>
              </w:rPr>
              <w:t>经分析可知，本项目Q＜1，环境风险势能直接判断为I等级，根据《建设项目环境风险评价技术导则》（HJ169—2018）相关要求，对本项目评价内容进行简单分析。</w:t>
            </w:r>
          </w:p>
          <w:p>
            <w:pPr>
              <w:keepNext w:val="0"/>
              <w:keepLines w:val="0"/>
              <w:suppressLineNumbers w:val="0"/>
              <w:adjustRightInd w:val="0"/>
              <w:snapToGrid w:val="0"/>
              <w:spacing w:before="0" w:beforeAutospacing="0" w:after="0" w:afterAutospacing="0" w:line="360" w:lineRule="auto"/>
              <w:ind w:left="0" w:right="0" w:firstLine="482" w:firstLineChars="200"/>
              <w:rPr>
                <w:b/>
                <w:bCs/>
                <w:sz w:val="24"/>
                <w:szCs w:val="22"/>
              </w:rPr>
            </w:pPr>
            <w:r>
              <w:rPr>
                <w:b/>
                <w:bCs/>
                <w:sz w:val="24"/>
                <w:szCs w:val="22"/>
              </w:rPr>
              <w:t>（2）风险评价</w:t>
            </w:r>
          </w:p>
          <w:p>
            <w:pPr>
              <w:keepNext w:val="0"/>
              <w:keepLines w:val="0"/>
              <w:suppressLineNumbers w:val="0"/>
              <w:adjustRightInd w:val="0"/>
              <w:snapToGrid w:val="0"/>
              <w:spacing w:before="0" w:beforeAutospacing="0" w:after="0" w:afterAutospacing="0" w:line="360" w:lineRule="auto"/>
              <w:ind w:left="0" w:right="0" w:firstLine="480" w:firstLineChars="200"/>
              <w:rPr>
                <w:bCs/>
                <w:sz w:val="24"/>
                <w:szCs w:val="22"/>
              </w:rPr>
            </w:pPr>
            <w:r>
              <w:rPr>
                <w:bCs/>
                <w:sz w:val="24"/>
                <w:szCs w:val="22"/>
              </w:rPr>
              <w:t>①评价依据：根据评价工作等级划分，本项目Q＜1，环境风险势能直接判断为I等级。</w:t>
            </w:r>
          </w:p>
          <w:p>
            <w:pPr>
              <w:keepNext w:val="0"/>
              <w:keepLines w:val="0"/>
              <w:suppressLineNumbers w:val="0"/>
              <w:snapToGrid w:val="0"/>
              <w:spacing w:before="0" w:beforeAutospacing="0" w:after="0" w:afterAutospacing="0" w:line="360" w:lineRule="auto"/>
              <w:ind w:left="0" w:right="0" w:firstLine="480" w:firstLineChars="200"/>
              <w:rPr>
                <w:bCs/>
                <w:sz w:val="24"/>
                <w:szCs w:val="22"/>
              </w:rPr>
            </w:pPr>
            <w:r>
              <w:rPr>
                <w:bCs/>
                <w:sz w:val="24"/>
                <w:szCs w:val="22"/>
              </w:rPr>
              <w:t>②环境敏感目标概况：周边500m范围内无地下取水口。</w:t>
            </w:r>
          </w:p>
          <w:p>
            <w:pPr>
              <w:keepNext w:val="0"/>
              <w:keepLines w:val="0"/>
              <w:suppressLineNumbers w:val="0"/>
              <w:snapToGrid w:val="0"/>
              <w:spacing w:before="0" w:beforeAutospacing="0" w:after="0" w:afterAutospacing="0" w:line="360" w:lineRule="auto"/>
              <w:ind w:left="0" w:right="0" w:firstLine="480" w:firstLineChars="200"/>
              <w:rPr>
                <w:bCs/>
                <w:sz w:val="24"/>
              </w:rPr>
            </w:pPr>
            <w:r>
              <w:rPr>
                <w:rFonts w:hint="eastAsia" w:ascii="宋体" w:hAnsi="宋体"/>
                <w:bCs/>
                <w:sz w:val="24"/>
              </w:rPr>
              <w:t>③</w:t>
            </w:r>
            <w:r>
              <w:rPr>
                <w:bCs/>
                <w:sz w:val="24"/>
              </w:rPr>
              <w:t>环境风险识别：厂区内存有一定数量的</w:t>
            </w:r>
            <w:r>
              <w:rPr>
                <w:rFonts w:hint="eastAsia"/>
                <w:bCs/>
                <w:sz w:val="24"/>
              </w:rPr>
              <w:t>液压油</w:t>
            </w:r>
            <w:r>
              <w:rPr>
                <w:bCs/>
                <w:sz w:val="24"/>
              </w:rPr>
              <w:t>、</w:t>
            </w:r>
            <w:r>
              <w:rPr>
                <w:rFonts w:hint="eastAsia"/>
                <w:bCs/>
                <w:sz w:val="24"/>
                <w:lang w:eastAsia="zh-CN"/>
              </w:rPr>
              <w:t>切削油</w:t>
            </w:r>
            <w:r>
              <w:rPr>
                <w:rFonts w:hint="eastAsia"/>
                <w:bCs/>
                <w:sz w:val="24"/>
              </w:rPr>
              <w:t>、冲压油、防锈油</w:t>
            </w:r>
            <w:r>
              <w:rPr>
                <w:bCs/>
                <w:sz w:val="24"/>
              </w:rPr>
              <w:t>和危险废物，对水环境存在一定风险。</w:t>
            </w:r>
          </w:p>
          <w:p>
            <w:pPr>
              <w:keepNext w:val="0"/>
              <w:keepLines w:val="0"/>
              <w:suppressLineNumbers w:val="0"/>
              <w:snapToGrid w:val="0"/>
              <w:spacing w:before="0" w:beforeAutospacing="0" w:after="0" w:afterAutospacing="0" w:line="360" w:lineRule="auto"/>
              <w:ind w:left="0" w:right="0" w:firstLine="480" w:firstLineChars="200"/>
              <w:rPr>
                <w:bCs/>
                <w:sz w:val="24"/>
              </w:rPr>
            </w:pPr>
            <w:r>
              <w:rPr>
                <w:bCs/>
                <w:sz w:val="24"/>
                <w:szCs w:val="22"/>
              </w:rPr>
              <w:t>④</w:t>
            </w:r>
            <w:r>
              <w:rPr>
                <w:bCs/>
                <w:sz w:val="24"/>
              </w:rPr>
              <w:t>环境风险分析</w:t>
            </w:r>
          </w:p>
          <w:p>
            <w:pPr>
              <w:keepNext w:val="0"/>
              <w:keepLines w:val="0"/>
              <w:suppressLineNumbers w:val="0"/>
              <w:snapToGrid w:val="0"/>
              <w:spacing w:before="0" w:beforeAutospacing="0" w:after="0" w:afterAutospacing="0" w:line="360" w:lineRule="auto"/>
              <w:ind w:left="0" w:right="0" w:firstLine="480" w:firstLineChars="200"/>
              <w:rPr>
                <w:bCs/>
                <w:sz w:val="24"/>
              </w:rPr>
            </w:pPr>
            <w:r>
              <w:rPr>
                <w:rFonts w:hint="eastAsia"/>
                <w:bCs/>
                <w:sz w:val="24"/>
              </w:rPr>
              <w:t>1）</w:t>
            </w:r>
            <w:r>
              <w:rPr>
                <w:bCs/>
                <w:sz w:val="24"/>
              </w:rPr>
              <w:t>大气环境影响分析</w:t>
            </w:r>
          </w:p>
          <w:p>
            <w:pPr>
              <w:keepNext w:val="0"/>
              <w:keepLines w:val="0"/>
              <w:suppressLineNumbers w:val="0"/>
              <w:snapToGrid w:val="0"/>
              <w:spacing w:before="0" w:beforeAutospacing="0" w:after="0" w:afterAutospacing="0" w:line="360" w:lineRule="auto"/>
              <w:ind w:left="0" w:right="0" w:firstLine="480" w:firstLineChars="200"/>
              <w:rPr>
                <w:bCs/>
                <w:sz w:val="24"/>
              </w:rPr>
            </w:pPr>
            <w:r>
              <w:rPr>
                <w:bCs/>
                <w:sz w:val="24"/>
                <w:szCs w:val="22"/>
              </w:rPr>
              <w:t>a.</w:t>
            </w:r>
            <w:r>
              <w:rPr>
                <w:bCs/>
                <w:sz w:val="24"/>
              </w:rPr>
              <w:t>火灾、爆炸事故影响分析</w:t>
            </w:r>
          </w:p>
          <w:p>
            <w:pPr>
              <w:keepNext w:val="0"/>
              <w:keepLines w:val="0"/>
              <w:suppressLineNumbers w:val="0"/>
              <w:snapToGrid w:val="0"/>
              <w:spacing w:before="0" w:beforeAutospacing="0" w:after="0" w:afterAutospacing="0" w:line="360" w:lineRule="auto"/>
              <w:ind w:left="0" w:right="0" w:firstLine="480" w:firstLineChars="200"/>
              <w:rPr>
                <w:bCs/>
                <w:sz w:val="24"/>
              </w:rPr>
            </w:pPr>
            <w:r>
              <w:rPr>
                <w:bCs/>
                <w:sz w:val="24"/>
              </w:rPr>
              <w:t>火灾事故的影响主要表现热辐射及燃烧废气对周围环境的影响。如果热辐射非常高可能引起</w:t>
            </w:r>
            <w:r>
              <w:rPr>
                <w:rFonts w:hint="eastAsia"/>
                <w:bCs/>
                <w:sz w:val="24"/>
                <w:lang w:eastAsia="zh-CN"/>
              </w:rPr>
              <w:t>其他易燃物</w:t>
            </w:r>
            <w:r>
              <w:rPr>
                <w:bCs/>
                <w:sz w:val="24"/>
              </w:rPr>
              <w:t>质起火。此外，热辐射也会使有机体燃烧，同时发生爆炸事故时，容易衍生出消防废水等泄漏进入土壤或地表水，进而污染周边环境。对此企业应加强线路设备的维护保养与检修，确保各类设备处于正常运行状态。</w:t>
            </w:r>
          </w:p>
          <w:p>
            <w:pPr>
              <w:keepNext w:val="0"/>
              <w:keepLines w:val="0"/>
              <w:suppressLineNumbers w:val="0"/>
              <w:adjustRightInd w:val="0"/>
              <w:snapToGrid w:val="0"/>
              <w:spacing w:before="0" w:beforeAutospacing="0" w:after="0" w:afterAutospacing="0" w:line="360" w:lineRule="auto"/>
              <w:ind w:left="0" w:right="0" w:firstLine="480" w:firstLineChars="200"/>
              <w:rPr>
                <w:bCs/>
                <w:sz w:val="24"/>
              </w:rPr>
            </w:pPr>
            <w:r>
              <w:rPr>
                <w:rFonts w:hint="eastAsia"/>
                <w:bCs/>
                <w:sz w:val="24"/>
              </w:rPr>
              <w:t>2）</w:t>
            </w:r>
            <w:r>
              <w:rPr>
                <w:bCs/>
                <w:sz w:val="24"/>
              </w:rPr>
              <w:t>地表水环境影响分析</w:t>
            </w:r>
          </w:p>
          <w:p>
            <w:pPr>
              <w:keepNext w:val="0"/>
              <w:keepLines w:val="0"/>
              <w:suppressLineNumbers w:val="0"/>
              <w:snapToGrid w:val="0"/>
              <w:spacing w:before="0" w:beforeAutospacing="0" w:after="0" w:afterAutospacing="0" w:line="360" w:lineRule="auto"/>
              <w:ind w:left="0" w:right="0" w:firstLine="480" w:firstLineChars="200"/>
              <w:rPr>
                <w:bCs/>
                <w:sz w:val="24"/>
              </w:rPr>
            </w:pPr>
            <w:r>
              <w:rPr>
                <w:bCs/>
                <w:sz w:val="24"/>
              </w:rPr>
              <w:t>a.液体物料泄漏事故风险评价</w:t>
            </w:r>
          </w:p>
          <w:p>
            <w:pPr>
              <w:keepNext w:val="0"/>
              <w:keepLines w:val="0"/>
              <w:suppressLineNumbers w:val="0"/>
              <w:snapToGrid w:val="0"/>
              <w:spacing w:before="0" w:beforeAutospacing="0" w:after="0" w:afterAutospacing="0" w:line="360" w:lineRule="auto"/>
              <w:ind w:left="0" w:right="0" w:firstLine="480" w:firstLineChars="200"/>
              <w:rPr>
                <w:bCs/>
                <w:sz w:val="24"/>
              </w:rPr>
            </w:pPr>
            <w:r>
              <w:rPr>
                <w:bCs/>
                <w:sz w:val="24"/>
              </w:rPr>
              <w:t>根据项目所使用的原辅物料理化性质分析，项目生产过程中使用的</w:t>
            </w:r>
            <w:r>
              <w:rPr>
                <w:rFonts w:hint="eastAsia"/>
                <w:bCs/>
                <w:sz w:val="24"/>
              </w:rPr>
              <w:t>液压油</w:t>
            </w:r>
            <w:r>
              <w:rPr>
                <w:bCs/>
                <w:sz w:val="24"/>
              </w:rPr>
              <w:t>、</w:t>
            </w:r>
            <w:r>
              <w:rPr>
                <w:rFonts w:hint="eastAsia"/>
                <w:bCs/>
                <w:sz w:val="24"/>
                <w:lang w:eastAsia="zh-CN"/>
              </w:rPr>
              <w:t>切削油</w:t>
            </w:r>
            <w:r>
              <w:rPr>
                <w:rFonts w:hint="eastAsia"/>
                <w:bCs/>
                <w:sz w:val="24"/>
              </w:rPr>
              <w:t>、冲压油、防锈油</w:t>
            </w:r>
            <w:r>
              <w:rPr>
                <w:bCs/>
                <w:sz w:val="24"/>
              </w:rPr>
              <w:t>和危险废物泄露进入水体，会对一定面积水生生物产生严重影响。若泄露地面未进行防腐防渗处理，会对地下水环境产生影响。</w:t>
            </w:r>
          </w:p>
          <w:p>
            <w:pPr>
              <w:keepNext w:val="0"/>
              <w:keepLines w:val="0"/>
              <w:suppressLineNumbers w:val="0"/>
              <w:snapToGrid w:val="0"/>
              <w:spacing w:before="0" w:beforeAutospacing="0" w:after="0" w:afterAutospacing="0" w:line="360" w:lineRule="auto"/>
              <w:ind w:left="0" w:right="0" w:firstLine="480" w:firstLineChars="200"/>
              <w:rPr>
                <w:bCs/>
                <w:sz w:val="24"/>
              </w:rPr>
            </w:pPr>
            <w:r>
              <w:rPr>
                <w:bCs/>
                <w:sz w:val="24"/>
              </w:rPr>
              <w:t>因此转移过程中需严格按要求操作，并保持转移路线的通畅，地面进行防腐防渗处理，设置地下水水质监测井，定期对区内水质、水位进行监测，一旦发现异常，立即查明原因，采取措施控制污染物扩散。</w:t>
            </w:r>
          </w:p>
          <w:p>
            <w:pPr>
              <w:keepNext w:val="0"/>
              <w:keepLines w:val="0"/>
              <w:suppressLineNumbers w:val="0"/>
              <w:snapToGrid w:val="0"/>
              <w:spacing w:before="0" w:beforeAutospacing="0" w:after="0" w:afterAutospacing="0" w:line="360" w:lineRule="auto"/>
              <w:ind w:left="0" w:right="0" w:firstLine="480" w:firstLineChars="200"/>
              <w:rPr>
                <w:bCs/>
                <w:sz w:val="24"/>
              </w:rPr>
            </w:pPr>
            <w:r>
              <w:rPr>
                <w:bCs/>
                <w:sz w:val="24"/>
              </w:rPr>
              <w:t>b.火灾、爆炸事故影响分析</w:t>
            </w:r>
          </w:p>
          <w:p>
            <w:pPr>
              <w:keepNext w:val="0"/>
              <w:keepLines w:val="0"/>
              <w:suppressLineNumbers w:val="0"/>
              <w:snapToGrid w:val="0"/>
              <w:spacing w:before="0" w:beforeAutospacing="0" w:after="0" w:afterAutospacing="0" w:line="360" w:lineRule="auto"/>
              <w:ind w:left="0" w:right="0" w:firstLine="480" w:firstLineChars="200"/>
              <w:rPr>
                <w:bCs/>
                <w:sz w:val="24"/>
              </w:rPr>
            </w:pPr>
            <w:r>
              <w:rPr>
                <w:bCs/>
                <w:sz w:val="24"/>
              </w:rPr>
              <w:t>火灾爆炸事故容易衍生出消防废水等泄漏进入地表水，进而污染周边环境。</w:t>
            </w:r>
          </w:p>
          <w:p>
            <w:pPr>
              <w:keepNext w:val="0"/>
              <w:keepLines w:val="0"/>
              <w:suppressLineNumbers w:val="0"/>
              <w:snapToGrid w:val="0"/>
              <w:spacing w:before="0" w:beforeAutospacing="0" w:after="0" w:afterAutospacing="0" w:line="360" w:lineRule="auto"/>
              <w:ind w:left="0" w:right="0" w:firstLine="480" w:firstLineChars="200"/>
              <w:rPr>
                <w:bCs/>
                <w:sz w:val="24"/>
              </w:rPr>
            </w:pPr>
            <w:r>
              <w:rPr>
                <w:rFonts w:hint="eastAsia"/>
                <w:bCs/>
                <w:sz w:val="24"/>
              </w:rPr>
              <w:t>3）</w:t>
            </w:r>
            <w:r>
              <w:rPr>
                <w:bCs/>
                <w:sz w:val="24"/>
              </w:rPr>
              <w:t>地下水环境影响分析</w:t>
            </w:r>
          </w:p>
          <w:p>
            <w:pPr>
              <w:keepNext w:val="0"/>
              <w:keepLines w:val="0"/>
              <w:suppressLineNumbers w:val="0"/>
              <w:snapToGrid w:val="0"/>
              <w:spacing w:before="0" w:beforeAutospacing="0" w:after="0" w:afterAutospacing="0" w:line="360" w:lineRule="auto"/>
              <w:ind w:left="0" w:right="0" w:firstLine="480" w:firstLineChars="200"/>
              <w:rPr>
                <w:bCs/>
                <w:sz w:val="24"/>
              </w:rPr>
            </w:pPr>
            <w:r>
              <w:rPr>
                <w:bCs/>
                <w:sz w:val="24"/>
              </w:rPr>
              <w:t>本项目危险废物等若未按要求收集暂存随意堆放，可能会渗入到周围土壤、地下水中，导致地下水环境受到污染，危废未按要求处置，随意倾倒填埋可能会导致倾倒区及周围水体环境受到污染。</w:t>
            </w:r>
          </w:p>
          <w:p>
            <w:pPr>
              <w:keepNext w:val="0"/>
              <w:keepLines w:val="0"/>
              <w:suppressLineNumbers w:val="0"/>
              <w:snapToGrid w:val="0"/>
              <w:spacing w:before="0" w:beforeAutospacing="0" w:after="0" w:afterAutospacing="0" w:line="360" w:lineRule="auto"/>
              <w:ind w:left="0" w:right="0" w:firstLine="480" w:firstLineChars="200"/>
              <w:rPr>
                <w:bCs/>
                <w:sz w:val="24"/>
              </w:rPr>
            </w:pPr>
            <w:r>
              <w:rPr>
                <w:rFonts w:hint="eastAsia" w:ascii="宋体" w:hAnsi="宋体"/>
                <w:bCs/>
                <w:sz w:val="24"/>
              </w:rPr>
              <w:t>⑤</w:t>
            </w:r>
            <w:r>
              <w:rPr>
                <w:bCs/>
                <w:sz w:val="24"/>
              </w:rPr>
              <w:t>环境风险防范措施及应急要求</w:t>
            </w:r>
          </w:p>
          <w:p>
            <w:pPr>
              <w:keepNext w:val="0"/>
              <w:keepLines w:val="0"/>
              <w:suppressLineNumbers w:val="0"/>
              <w:snapToGrid w:val="0"/>
              <w:spacing w:before="0" w:beforeAutospacing="0" w:after="0" w:afterAutospacing="0" w:line="360" w:lineRule="auto"/>
              <w:ind w:left="0" w:right="0" w:firstLine="480" w:firstLineChars="200"/>
              <w:rPr>
                <w:bCs/>
                <w:sz w:val="24"/>
              </w:rPr>
            </w:pPr>
            <w:r>
              <w:rPr>
                <w:bCs/>
                <w:sz w:val="24"/>
              </w:rPr>
              <w:t>a.使用防爆、防火电缆，电气设施进行了触电保护，爆炸危险区域的划分、防爆电器（气）的安装和布防必须符合《爆炸和火灾环境电力装置设计规范</w:t>
            </w:r>
            <w:r>
              <w:rPr>
                <w:rFonts w:hint="eastAsia"/>
                <w:bCs/>
                <w:sz w:val="24"/>
                <w:lang w:eastAsia="zh-CN"/>
              </w:rPr>
              <w:t>（</w:t>
            </w:r>
            <w:r>
              <w:rPr>
                <w:bCs/>
                <w:sz w:val="24"/>
              </w:rPr>
              <w:t>GB50058</w:t>
            </w:r>
            <w:r>
              <w:rPr>
                <w:rFonts w:hint="eastAsia"/>
                <w:bCs/>
                <w:sz w:val="24"/>
                <w:lang w:eastAsia="zh-CN"/>
              </w:rPr>
              <w:t>）</w:t>
            </w:r>
            <w:r>
              <w:rPr>
                <w:bCs/>
                <w:sz w:val="24"/>
              </w:rPr>
              <w:t>》要求。各装置防静电设计应符合《防止静电事故通用导则》（GB12518）以及《工业企业静电接地设计规程》（HGJ28）；各装置防静电设计应根据生产工艺要求，作业环境特点和物料性质采取相应的防静电措施；各生产装置在防爆区域内的所有金属设备、管道等都必须设计静电接地装置，且接地电阻符合规范要求：不大于10Ω；非导电设备、管道等应设计间接接地或采用屏蔽方法，屏蔽体必须可靠接地；根据生产特点配置必要的静电检测仪器、仪表。</w:t>
            </w:r>
          </w:p>
          <w:p>
            <w:pPr>
              <w:keepNext w:val="0"/>
              <w:keepLines w:val="0"/>
              <w:suppressLineNumbers w:val="0"/>
              <w:snapToGrid w:val="0"/>
              <w:spacing w:before="0" w:beforeAutospacing="0" w:after="0" w:afterAutospacing="0" w:line="360" w:lineRule="auto"/>
              <w:ind w:left="0" w:right="0" w:firstLine="480" w:firstLineChars="200"/>
              <w:rPr>
                <w:bCs/>
                <w:sz w:val="24"/>
              </w:rPr>
            </w:pPr>
            <w:r>
              <w:rPr>
                <w:bCs/>
                <w:sz w:val="24"/>
              </w:rPr>
              <w:t>b.定期检查、维护生产中使用的设备、仓库，确保各设施、设备正常运行。</w:t>
            </w:r>
          </w:p>
          <w:p>
            <w:pPr>
              <w:keepNext w:val="0"/>
              <w:keepLines w:val="0"/>
              <w:suppressLineNumbers w:val="0"/>
              <w:snapToGrid w:val="0"/>
              <w:spacing w:before="0" w:beforeAutospacing="0" w:after="0" w:afterAutospacing="0" w:line="360" w:lineRule="auto"/>
              <w:ind w:left="0" w:right="0" w:firstLine="480" w:firstLineChars="200"/>
              <w:rPr>
                <w:bCs/>
                <w:sz w:val="24"/>
              </w:rPr>
            </w:pPr>
            <w:r>
              <w:rPr>
                <w:bCs/>
                <w:sz w:val="24"/>
              </w:rPr>
              <w:t>c.生产车间、仓库均配备黄沙箱、吸油毡、应急桶等，用于泄漏的原辅料应急暂存。</w:t>
            </w:r>
          </w:p>
          <w:p>
            <w:pPr>
              <w:keepNext w:val="0"/>
              <w:keepLines w:val="0"/>
              <w:suppressLineNumbers w:val="0"/>
              <w:snapToGrid w:val="0"/>
              <w:spacing w:before="0" w:beforeAutospacing="0" w:after="0" w:afterAutospacing="0" w:line="360" w:lineRule="auto"/>
              <w:ind w:left="0" w:right="0" w:firstLine="480" w:firstLineChars="200"/>
              <w:rPr>
                <w:bCs/>
                <w:sz w:val="24"/>
              </w:rPr>
            </w:pPr>
            <w:r>
              <w:rPr>
                <w:bCs/>
                <w:sz w:val="24"/>
              </w:rPr>
              <w:t>d.生产区和各仓库设置干粉灭火器和泡沫灭火器、消防砂；厂内采用电话报警，专人负责，发生火灾时，及时向有关负责人通报火警；根据实际情况设置感烟、感温探测器及手动报警按钮等。</w:t>
            </w:r>
          </w:p>
          <w:p>
            <w:pPr>
              <w:keepNext w:val="0"/>
              <w:keepLines w:val="0"/>
              <w:suppressLineNumbers w:val="0"/>
              <w:snapToGrid w:val="0"/>
              <w:spacing w:before="0" w:beforeAutospacing="0" w:after="0" w:afterAutospacing="0" w:line="360" w:lineRule="auto"/>
              <w:ind w:left="0" w:right="0" w:firstLine="480" w:firstLineChars="200"/>
              <w:rPr>
                <w:bCs/>
                <w:sz w:val="24"/>
              </w:rPr>
            </w:pPr>
            <w:r>
              <w:rPr>
                <w:bCs/>
                <w:sz w:val="24"/>
              </w:rPr>
              <w:t>e.生产现场设置各种安全标志。按照规范对凡需要迅速发现并引起注意以防发生事故的场所、部位均按要求涂安全色。</w:t>
            </w:r>
          </w:p>
          <w:p>
            <w:pPr>
              <w:keepNext w:val="0"/>
              <w:keepLines w:val="0"/>
              <w:suppressLineNumbers w:val="0"/>
              <w:snapToGrid w:val="0"/>
              <w:spacing w:before="0" w:beforeAutospacing="0" w:after="0" w:afterAutospacing="0" w:line="360" w:lineRule="auto"/>
              <w:ind w:left="0" w:right="0" w:firstLine="480" w:firstLineChars="200"/>
              <w:rPr>
                <w:bCs/>
                <w:sz w:val="24"/>
              </w:rPr>
            </w:pPr>
            <w:r>
              <w:rPr>
                <w:bCs/>
                <w:sz w:val="24"/>
              </w:rPr>
              <w:t>f.一旦发生火灾，应立即停止生产，迅速使用厂内灭火器材，同时，通知镇、区消防支队；并迅速疏散厂内职工和周围群众撤离现场。</w:t>
            </w:r>
          </w:p>
          <w:p>
            <w:pPr>
              <w:keepNext w:val="0"/>
              <w:keepLines w:val="0"/>
              <w:suppressLineNumbers w:val="0"/>
              <w:snapToGrid w:val="0"/>
              <w:spacing w:before="0" w:beforeAutospacing="0" w:after="0" w:afterAutospacing="0" w:line="360" w:lineRule="auto"/>
              <w:ind w:left="0" w:right="0" w:firstLine="480" w:firstLineChars="200"/>
              <w:rPr>
                <w:bCs/>
                <w:sz w:val="24"/>
              </w:rPr>
            </w:pPr>
            <w:r>
              <w:rPr>
                <w:bCs/>
                <w:sz w:val="24"/>
              </w:rPr>
              <w:t>g.加强工厂、车间的安全环保管理，对全厂职工进行安全环保的教育和培训，实行上岗证制度。</w:t>
            </w:r>
          </w:p>
          <w:p>
            <w:pPr>
              <w:keepNext w:val="0"/>
              <w:keepLines w:val="0"/>
              <w:suppressLineNumbers w:val="0"/>
              <w:snapToGrid w:val="0"/>
              <w:spacing w:before="0" w:beforeAutospacing="0" w:after="0" w:afterAutospacing="0" w:line="360" w:lineRule="auto"/>
              <w:ind w:left="0" w:right="0" w:firstLine="480" w:firstLineChars="200"/>
              <w:rPr>
                <w:bCs/>
                <w:sz w:val="24"/>
              </w:rPr>
            </w:pPr>
            <w:r>
              <w:rPr>
                <w:bCs/>
                <w:sz w:val="24"/>
              </w:rPr>
              <w:t>h.定期检查生产和原料贮存区，杜绝事故隐患，降低事故发生概率。</w:t>
            </w:r>
          </w:p>
          <w:p>
            <w:pPr>
              <w:keepNext w:val="0"/>
              <w:keepLines w:val="0"/>
              <w:suppressLineNumbers w:val="0"/>
              <w:adjustRightInd w:val="0"/>
              <w:snapToGrid w:val="0"/>
              <w:spacing w:before="0" w:beforeAutospacing="0" w:after="0" w:afterAutospacing="0" w:line="360" w:lineRule="auto"/>
              <w:ind w:left="0" w:right="0" w:firstLine="480" w:firstLineChars="200"/>
              <w:rPr>
                <w:bCs/>
                <w:sz w:val="24"/>
                <w:szCs w:val="22"/>
              </w:rPr>
            </w:pPr>
            <w:r>
              <w:rPr>
                <w:bCs/>
                <w:sz w:val="24"/>
              </w:rPr>
              <w:t>i.配备24小时有效的报警装置，建立有效的内部、外部通讯联络手段。上述措施可满足本项目风险防范及应急需求且具有可行性。在采取规范化环境风险防范措施和应急措施的前提下，本项目环境风险可控。</w:t>
            </w:r>
          </w:p>
          <w:p>
            <w:pPr>
              <w:keepNext w:val="0"/>
              <w:keepLines w:val="0"/>
              <w:suppressLineNumbers w:val="0"/>
              <w:adjustRightInd w:val="0"/>
              <w:snapToGrid w:val="0"/>
              <w:spacing w:before="0" w:beforeAutospacing="0" w:after="0" w:afterAutospacing="0"/>
              <w:ind w:left="0" w:right="0"/>
              <w:jc w:val="center"/>
              <w:rPr>
                <w:b/>
                <w:bCs/>
                <w:sz w:val="24"/>
              </w:rPr>
            </w:pPr>
            <w:r>
              <w:rPr>
                <w:b/>
                <w:bCs/>
                <w:sz w:val="24"/>
              </w:rPr>
              <w:t>表</w:t>
            </w:r>
            <w:r>
              <w:rPr>
                <w:rFonts w:hint="eastAsia"/>
                <w:b/>
                <w:bCs/>
                <w:sz w:val="24"/>
              </w:rPr>
              <w:t>4-24</w:t>
            </w:r>
            <w:r>
              <w:rPr>
                <w:b/>
                <w:bCs/>
                <w:sz w:val="24"/>
              </w:rPr>
              <w:t xml:space="preserve"> 本项目环境风险简单分析内容表</w:t>
            </w:r>
          </w:p>
          <w:tbl>
            <w:tblPr>
              <w:tblStyle w:val="2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115"/>
              <w:gridCol w:w="1276"/>
              <w:gridCol w:w="1701"/>
              <w:gridCol w:w="1387"/>
              <w:gridCol w:w="202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15" w:type="dxa"/>
                  <w:tcBorders>
                    <w:top w:val="single" w:color="auto" w:sz="12" w:space="0"/>
                    <w:left w:val="nil"/>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Ansi="宋体"/>
                    </w:rPr>
                    <w:t>建设项目名称</w:t>
                  </w:r>
                </w:p>
              </w:tc>
              <w:tc>
                <w:tcPr>
                  <w:tcW w:w="6390" w:type="dxa"/>
                  <w:gridSpan w:val="4"/>
                  <w:tcBorders>
                    <w:top w:val="single" w:color="auto" w:sz="12" w:space="0"/>
                    <w:left w:val="single" w:color="auto" w:sz="4" w:space="0"/>
                    <w:bottom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年产电机铁芯3000万套、电机机壳2000万只项目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15" w:type="dxa"/>
                  <w:tcBorders>
                    <w:top w:val="single" w:color="auto" w:sz="4" w:space="0"/>
                    <w:left w:val="nil"/>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Ansi="宋体"/>
                    </w:rPr>
                    <w:t>建设地点</w:t>
                  </w:r>
                </w:p>
              </w:tc>
              <w:tc>
                <w:tcPr>
                  <w:tcW w:w="6390" w:type="dxa"/>
                  <w:gridSpan w:val="4"/>
                  <w:tcBorders>
                    <w:top w:val="single" w:color="auto" w:sz="4" w:space="0"/>
                    <w:left w:val="single" w:color="auto" w:sz="4" w:space="0"/>
                    <w:bottom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江苏省常州市武进区洛阳镇新科西路21号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15" w:type="dxa"/>
                  <w:tcBorders>
                    <w:top w:val="single" w:color="auto" w:sz="4" w:space="0"/>
                    <w:left w:val="nil"/>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Ansi="宋体"/>
                    </w:rPr>
                    <w:t>地理坐标</w:t>
                  </w:r>
                </w:p>
              </w:tc>
              <w:tc>
                <w:tcPr>
                  <w:tcW w:w="12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Ansi="宋体"/>
                    </w:rPr>
                    <w:t>经度</w:t>
                  </w:r>
                </w:p>
              </w:tc>
              <w:tc>
                <w:tcPr>
                  <w:tcW w:w="1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1</w:t>
                  </w:r>
                  <w:r>
                    <w:rPr>
                      <w:rFonts w:hint="eastAsia"/>
                    </w:rPr>
                    <w:t>20.065032°</w:t>
                  </w:r>
                </w:p>
              </w:tc>
              <w:tc>
                <w:tcPr>
                  <w:tcW w:w="138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Ansi="宋体"/>
                    </w:rPr>
                    <w:t>纬度</w:t>
                  </w:r>
                </w:p>
              </w:tc>
              <w:tc>
                <w:tcPr>
                  <w:tcW w:w="2026" w:type="dxa"/>
                  <w:tcBorders>
                    <w:top w:val="single" w:color="auto" w:sz="4" w:space="0"/>
                    <w:left w:val="single" w:color="auto" w:sz="4" w:space="0"/>
                    <w:bottom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szCs w:val="21"/>
                    </w:rPr>
                  </w:pPr>
                  <w:r>
                    <w:t>31.</w:t>
                  </w:r>
                  <w:r>
                    <w:rPr>
                      <w:rFonts w:hint="eastAsia"/>
                    </w:rPr>
                    <w:t>651973°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15" w:type="dxa"/>
                  <w:tcBorders>
                    <w:top w:val="single" w:color="auto" w:sz="4" w:space="0"/>
                    <w:left w:val="nil"/>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t>主要危险物质及分布</w:t>
                  </w:r>
                </w:p>
              </w:tc>
              <w:tc>
                <w:tcPr>
                  <w:tcW w:w="6390" w:type="dxa"/>
                  <w:gridSpan w:val="4"/>
                  <w:tcBorders>
                    <w:top w:val="single" w:color="auto" w:sz="4" w:space="0"/>
                    <w:left w:val="single" w:color="auto" w:sz="4" w:space="0"/>
                    <w:bottom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rFonts w:hAnsi="宋体"/>
                    </w:rPr>
                  </w:pPr>
                  <w:r>
                    <w:t>主要危险物质：</w:t>
                  </w:r>
                  <w:r>
                    <w:rPr>
                      <w:rFonts w:hint="eastAsia"/>
                    </w:rPr>
                    <w:t>液压油、冲压油、</w:t>
                  </w:r>
                  <w:r>
                    <w:t>废活性炭</w:t>
                  </w:r>
                  <w:r>
                    <w:rPr>
                      <w:rFonts w:hint="eastAsia"/>
                    </w:rPr>
                    <w:t>、废包装桶等</w:t>
                  </w:r>
                  <w:r>
                    <w:t>；</w:t>
                  </w:r>
                </w:p>
                <w:p>
                  <w:pPr>
                    <w:keepNext w:val="0"/>
                    <w:keepLines w:val="0"/>
                    <w:suppressLineNumbers w:val="0"/>
                    <w:adjustRightInd w:val="0"/>
                    <w:snapToGrid w:val="0"/>
                    <w:spacing w:before="0" w:beforeAutospacing="0" w:after="0" w:afterAutospacing="0"/>
                    <w:ind w:left="0" w:right="0"/>
                    <w:jc w:val="center"/>
                    <w:rPr>
                      <w:szCs w:val="21"/>
                    </w:rPr>
                  </w:pPr>
                  <w:r>
                    <w:t>分布情况：</w:t>
                  </w:r>
                  <w:r>
                    <w:rPr>
                      <w:rFonts w:hint="eastAsia"/>
                    </w:rPr>
                    <w:t>仓库、生产车间、</w:t>
                  </w:r>
                  <w:r>
                    <w:t>危废仓库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15" w:type="dxa"/>
                  <w:tcBorders>
                    <w:top w:val="single" w:color="auto" w:sz="4" w:space="0"/>
                    <w:left w:val="nil"/>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Ansi="宋体"/>
                    </w:rPr>
                    <w:t>环境影响途径及危害后果（大气、地表水、地下水等）</w:t>
                  </w:r>
                </w:p>
              </w:tc>
              <w:tc>
                <w:tcPr>
                  <w:tcW w:w="6390" w:type="dxa"/>
                  <w:gridSpan w:val="4"/>
                  <w:tcBorders>
                    <w:top w:val="single" w:color="auto" w:sz="4" w:space="0"/>
                    <w:left w:val="single" w:color="auto" w:sz="4" w:space="0"/>
                    <w:bottom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pPr>
                  <w:r>
                    <w:rPr>
                      <w:rFonts w:hint="eastAsia"/>
                    </w:rPr>
                    <w:t>仓库内暂存液压油、冲压油等，</w:t>
                  </w:r>
                  <w:r>
                    <w:t>危废仓库中暂存废</w:t>
                  </w:r>
                  <w:r>
                    <w:rPr>
                      <w:rFonts w:hint="eastAsia"/>
                    </w:rPr>
                    <w:t>包装桶、废</w:t>
                  </w:r>
                  <w:r>
                    <w:rPr>
                      <w:rFonts w:hint="eastAsia"/>
                      <w:lang w:eastAsia="zh-CN"/>
                    </w:rPr>
                    <w:t>矿物油</w:t>
                  </w:r>
                  <w:r>
                    <w:rPr>
                      <w:rFonts w:hint="eastAsia"/>
                    </w:rPr>
                    <w:t>等，</w:t>
                  </w:r>
                  <w:r>
                    <w:t>若遇明火或高热，会发生火灾爆炸事故，危害从业人员的身体健康，并会对周围地表水体、大气造成一定的影响</w:t>
                  </w:r>
                  <w:r>
                    <w:rPr>
                      <w:rFonts w:hint="eastAsi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15" w:type="dxa"/>
                  <w:tcBorders>
                    <w:top w:val="single" w:color="auto" w:sz="4" w:space="0"/>
                    <w:left w:val="nil"/>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Ansi="宋体"/>
                    </w:rPr>
                    <w:t>风险防范措施要求</w:t>
                  </w:r>
                </w:p>
              </w:tc>
              <w:tc>
                <w:tcPr>
                  <w:tcW w:w="6390" w:type="dxa"/>
                  <w:gridSpan w:val="4"/>
                  <w:tcBorders>
                    <w:top w:val="single" w:color="auto" w:sz="4" w:space="0"/>
                    <w:left w:val="single" w:color="auto" w:sz="4" w:space="0"/>
                    <w:bottom w:val="single" w:color="auto" w:sz="4" w:space="0"/>
                    <w:right w:val="nil"/>
                  </w:tcBorders>
                  <w:vAlign w:val="center"/>
                </w:tcPr>
                <w:p>
                  <w:pPr>
                    <w:keepNext w:val="0"/>
                    <w:keepLines w:val="0"/>
                    <w:suppressLineNumbers w:val="0"/>
                    <w:adjustRightInd w:val="0"/>
                    <w:snapToGrid w:val="0"/>
                    <w:spacing w:before="0" w:beforeAutospacing="0" w:after="0" w:afterAutospacing="0"/>
                    <w:ind w:left="0" w:right="0"/>
                    <w:jc w:val="center"/>
                    <w:rPr>
                      <w:szCs w:val="21"/>
                    </w:rPr>
                  </w:pPr>
                  <w:r>
                    <w:t>设置专人定期检查车间、仓库及危废仓库内的暂存情况；加强车间通风；定期检查厂内各风险防范措施的完善情况，设置应急物资，建立健全应急防范机制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5" w:type="dxa"/>
                  <w:gridSpan w:val="5"/>
                  <w:tcBorders>
                    <w:top w:val="single" w:color="auto" w:sz="4" w:space="0"/>
                    <w:left w:val="nil"/>
                    <w:bottom w:val="single" w:color="auto" w:sz="12" w:space="0"/>
                    <w:right w:val="nil"/>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Ansi="宋体"/>
                    </w:rPr>
                    <w:t>填表说明（列出相关信息及评价说明）：本项目</w:t>
                  </w:r>
                  <w:r>
                    <w:t>Q&lt;1</w:t>
                  </w:r>
                  <w:r>
                    <w:rPr>
                      <w:rFonts w:hAnsi="宋体"/>
                    </w:rPr>
                    <w:t>，环境风险势能直接</w:t>
                  </w:r>
                  <w:r>
                    <w:t>判断为</w:t>
                  </w:r>
                  <w:r>
                    <w:rPr>
                      <w:rFonts w:hAnsi="宋体"/>
                    </w:rPr>
                    <w:t>Ⅰ</w:t>
                  </w:r>
                  <w:r>
                    <w:t>等级</w:t>
                  </w:r>
                </w:p>
              </w:tc>
            </w:tr>
          </w:tbl>
          <w:p>
            <w:pPr>
              <w:keepNext w:val="0"/>
              <w:keepLines w:val="0"/>
              <w:suppressLineNumbers w:val="0"/>
              <w:adjustRightInd w:val="0"/>
              <w:snapToGrid w:val="0"/>
              <w:spacing w:before="0" w:beforeAutospacing="0" w:after="0" w:afterAutospacing="0" w:line="360" w:lineRule="auto"/>
              <w:ind w:left="0" w:right="0"/>
              <w:rPr>
                <w:b/>
                <w:bCs/>
                <w:sz w:val="24"/>
              </w:rPr>
            </w:pPr>
            <w:r>
              <w:rPr>
                <w:rFonts w:hint="eastAsia"/>
                <w:b/>
                <w:bCs/>
                <w:sz w:val="24"/>
              </w:rPr>
              <w:t>9、电磁辐射</w:t>
            </w:r>
          </w:p>
          <w:p>
            <w:pPr>
              <w:keepNext w:val="0"/>
              <w:keepLines w:val="0"/>
              <w:suppressLineNumbers w:val="0"/>
              <w:adjustRightInd w:val="0"/>
              <w:snapToGrid w:val="0"/>
              <w:spacing w:before="0" w:beforeAutospacing="0" w:after="0" w:afterAutospacing="0" w:line="360" w:lineRule="auto"/>
              <w:ind w:left="0" w:right="0" w:firstLine="480" w:firstLineChars="200"/>
              <w:rPr>
                <w:rFonts w:hint="eastAsia"/>
                <w:bCs/>
                <w:sz w:val="24"/>
                <w:szCs w:val="22"/>
                <w:lang w:eastAsia="zh-CN"/>
              </w:rPr>
            </w:pPr>
            <w:r>
              <w:rPr>
                <w:rFonts w:hint="eastAsia"/>
                <w:bCs/>
                <w:sz w:val="24"/>
                <w:szCs w:val="22"/>
              </w:rPr>
              <w:t>本项目不涉及电磁辐射</w:t>
            </w:r>
            <w:r>
              <w:rPr>
                <w:rFonts w:hint="eastAsia"/>
                <w:bCs/>
                <w:sz w:val="24"/>
                <w:szCs w:val="22"/>
                <w:lang w:eastAsia="zh-CN"/>
              </w:rPr>
              <w:t>。</w:t>
            </w:r>
          </w:p>
          <w:p>
            <w:pPr>
              <w:pStyle w:val="2"/>
              <w:rPr>
                <w:rFonts w:hint="eastAsia"/>
                <w:bCs/>
                <w:sz w:val="24"/>
                <w:szCs w:val="22"/>
                <w:lang w:eastAsia="zh-CN"/>
              </w:rPr>
            </w:pPr>
          </w:p>
          <w:p>
            <w:pPr>
              <w:pStyle w:val="2"/>
              <w:rPr>
                <w:rFonts w:hint="eastAsia"/>
                <w:bCs/>
                <w:sz w:val="24"/>
                <w:szCs w:val="22"/>
                <w:lang w:eastAsia="zh-CN"/>
              </w:rPr>
            </w:pPr>
          </w:p>
          <w:p>
            <w:pPr>
              <w:keepNext w:val="0"/>
              <w:keepLines w:val="0"/>
              <w:suppressLineNumbers w:val="0"/>
              <w:adjustRightInd w:val="0"/>
              <w:snapToGrid w:val="0"/>
              <w:spacing w:before="0" w:beforeAutospacing="0" w:after="0" w:afterAutospacing="0" w:line="360" w:lineRule="auto"/>
              <w:ind w:left="0" w:right="0" w:firstLine="420" w:firstLineChars="200"/>
            </w:pPr>
          </w:p>
        </w:tc>
      </w:tr>
    </w:tbl>
    <w:p>
      <w:pPr>
        <w:adjustRightInd w:val="0"/>
        <w:snapToGrid w:val="0"/>
        <w:spacing w:line="360" w:lineRule="auto"/>
        <w:rPr>
          <w:rFonts w:ascii="宋体" w:cs="宋体"/>
          <w:b/>
          <w:kern w:val="0"/>
          <w:sz w:val="28"/>
          <w:szCs w:val="28"/>
        </w:rPr>
        <w:sectPr>
          <w:pgSz w:w="11907" w:h="16840"/>
          <w:pgMar w:top="1701" w:right="1531" w:bottom="2127" w:left="1531" w:header="851" w:footer="851" w:gutter="0"/>
          <w:cols w:space="720" w:num="1"/>
          <w:docGrid w:linePitch="312" w:charSpace="0"/>
        </w:sectPr>
      </w:pPr>
    </w:p>
    <w:p>
      <w:pPr>
        <w:pStyle w:val="18"/>
        <w:spacing w:before="0" w:beforeAutospacing="0" w:after="0" w:afterAutospacing="0"/>
        <w:jc w:val="center"/>
        <w:outlineLvl w:val="0"/>
        <w:rPr>
          <w:rFonts w:ascii="黑体" w:hAnsi="黑体" w:eastAsia="黑体"/>
          <w:snapToGrid w:val="0"/>
          <w:sz w:val="30"/>
          <w:szCs w:val="30"/>
        </w:rPr>
      </w:pPr>
      <w:bookmarkStart w:id="6" w:name="_Toc6607"/>
      <w:r>
        <w:rPr>
          <w:rFonts w:hint="eastAsia" w:ascii="黑体" w:hAnsi="黑体" w:eastAsia="黑体"/>
          <w:snapToGrid w:val="0"/>
          <w:sz w:val="30"/>
          <w:szCs w:val="30"/>
        </w:rPr>
        <w:t>五、</w:t>
      </w:r>
      <w:bookmarkStart w:id="7" w:name="_Hlk54167917"/>
      <w:r>
        <w:rPr>
          <w:rFonts w:hint="eastAsia" w:ascii="黑体" w:hAnsi="黑体" w:eastAsia="黑体"/>
          <w:snapToGrid w:val="0"/>
          <w:sz w:val="30"/>
          <w:szCs w:val="30"/>
        </w:rPr>
        <w:t>环境保护措施监督检查清单</w:t>
      </w:r>
      <w:bookmarkEnd w:id="6"/>
      <w:bookmarkEnd w:id="7"/>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8"/>
        <w:gridCol w:w="567"/>
        <w:gridCol w:w="1134"/>
        <w:gridCol w:w="1417"/>
        <w:gridCol w:w="2126"/>
        <w:gridCol w:w="2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8" w:type="dxa"/>
            <w:tcBorders>
              <w:tl2br w:val="single" w:color="auto" w:sz="4" w:space="0"/>
            </w:tcBorders>
          </w:tcPr>
          <w:p>
            <w:pPr>
              <w:keepNext w:val="0"/>
              <w:keepLines w:val="0"/>
              <w:suppressLineNumbers w:val="0"/>
              <w:adjustRightInd w:val="0"/>
              <w:snapToGrid w:val="0"/>
              <w:spacing w:before="0" w:beforeAutospacing="0" w:after="0" w:afterAutospacing="0"/>
              <w:ind w:left="0" w:right="0" w:firstLine="840"/>
              <w:rPr>
                <w:szCs w:val="21"/>
              </w:rPr>
            </w:pPr>
            <w:r>
              <w:rPr>
                <w:rFonts w:hAnsi="宋体"/>
                <w:szCs w:val="21"/>
              </w:rPr>
              <w:t>内容</w:t>
            </w:r>
          </w:p>
          <w:p>
            <w:pPr>
              <w:keepNext w:val="0"/>
              <w:keepLines w:val="0"/>
              <w:suppressLineNumbers w:val="0"/>
              <w:adjustRightInd w:val="0"/>
              <w:snapToGrid w:val="0"/>
              <w:spacing w:before="0" w:beforeAutospacing="0" w:after="0" w:afterAutospacing="0"/>
              <w:ind w:left="0" w:right="0"/>
              <w:rPr>
                <w:szCs w:val="21"/>
              </w:rPr>
            </w:pPr>
            <w:r>
              <w:rPr>
                <w:rFonts w:hAnsi="宋体"/>
                <w:szCs w:val="21"/>
              </w:rPr>
              <w:t>要素</w:t>
            </w:r>
          </w:p>
        </w:tc>
        <w:tc>
          <w:tcPr>
            <w:tcW w:w="1701" w:type="dxa"/>
            <w:gridSpan w:val="2"/>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Ansi="宋体"/>
                <w:szCs w:val="21"/>
              </w:rPr>
              <w:t>排放口</w:t>
            </w:r>
            <w:r>
              <w:rPr>
                <w:rFonts w:hint="eastAsia"/>
                <w:szCs w:val="21"/>
                <w:lang w:eastAsia="zh-CN"/>
              </w:rPr>
              <w:t>（</w:t>
            </w:r>
            <w:r>
              <w:rPr>
                <w:rFonts w:hAnsi="宋体"/>
                <w:szCs w:val="21"/>
              </w:rPr>
              <w:t>编号、名称</w:t>
            </w:r>
            <w:r>
              <w:rPr>
                <w:rFonts w:hint="eastAsia" w:hAnsi="宋体"/>
                <w:szCs w:val="21"/>
                <w:lang w:eastAsia="zh-CN"/>
              </w:rPr>
              <w:t>）</w:t>
            </w:r>
            <w:r>
              <w:rPr>
                <w:szCs w:val="21"/>
              </w:rPr>
              <w:t>/</w:t>
            </w:r>
            <w:r>
              <w:rPr>
                <w:rFonts w:hAnsi="宋体"/>
                <w:szCs w:val="21"/>
              </w:rPr>
              <w:t>污染源</w:t>
            </w:r>
          </w:p>
        </w:tc>
        <w:tc>
          <w:tcPr>
            <w:tcW w:w="1417"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Ansi="宋体"/>
                <w:szCs w:val="21"/>
              </w:rPr>
              <w:t>污染物项目</w:t>
            </w:r>
          </w:p>
        </w:tc>
        <w:tc>
          <w:tcPr>
            <w:tcW w:w="2126"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Ansi="宋体"/>
                <w:szCs w:val="21"/>
              </w:rPr>
              <w:t>环境保护措施</w:t>
            </w:r>
          </w:p>
        </w:tc>
        <w:tc>
          <w:tcPr>
            <w:tcW w:w="2018"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Ansi="宋体"/>
                <w:szCs w:val="21"/>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538" w:type="dxa"/>
            <w:vMerge w:val="restart"/>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Ansi="宋体"/>
                <w:szCs w:val="21"/>
              </w:rPr>
              <w:t>大气环境</w:t>
            </w:r>
          </w:p>
        </w:tc>
        <w:tc>
          <w:tcPr>
            <w:tcW w:w="567" w:type="dxa"/>
            <w:vMerge w:val="restart"/>
            <w:tcBorders>
              <w:right w:val="single" w:color="auto" w:sz="4" w:space="0"/>
            </w:tcBorders>
            <w:vAlign w:val="center"/>
          </w:tcPr>
          <w:p>
            <w:pPr>
              <w:keepNext w:val="0"/>
              <w:keepLines w:val="0"/>
              <w:suppressLineNumbers w:val="0"/>
              <w:snapToGrid w:val="0"/>
              <w:spacing w:before="0" w:beforeAutospacing="0" w:after="0" w:afterAutospacing="0"/>
              <w:ind w:left="0" w:right="0"/>
              <w:jc w:val="center"/>
              <w:rPr>
                <w:szCs w:val="21"/>
              </w:rPr>
            </w:pPr>
            <w:r>
              <w:rPr>
                <w:rFonts w:hAnsi="宋体"/>
              </w:rPr>
              <w:t>有组织废气</w:t>
            </w:r>
          </w:p>
        </w:tc>
        <w:tc>
          <w:tcPr>
            <w:tcW w:w="1134" w:type="dxa"/>
            <w:tcBorders>
              <w:left w:val="single" w:color="auto" w:sz="4" w:space="0"/>
              <w:bottom w:val="single" w:color="auto" w:sz="4" w:space="0"/>
            </w:tcBorders>
            <w:vAlign w:val="center"/>
          </w:tcPr>
          <w:p>
            <w:pPr>
              <w:keepNext w:val="0"/>
              <w:keepLines w:val="0"/>
              <w:suppressLineNumbers w:val="0"/>
              <w:snapToGrid w:val="0"/>
              <w:spacing w:before="0" w:beforeAutospacing="0" w:after="0" w:afterAutospacing="0"/>
              <w:ind w:left="0" w:right="0"/>
              <w:jc w:val="center"/>
              <w:rPr>
                <w:szCs w:val="21"/>
              </w:rPr>
            </w:pPr>
            <w:r>
              <w:rPr>
                <w:szCs w:val="21"/>
              </w:rPr>
              <w:t>涂敷（FQ-1）</w:t>
            </w:r>
          </w:p>
        </w:tc>
        <w:tc>
          <w:tcPr>
            <w:tcW w:w="1417" w:type="dxa"/>
            <w:vAlign w:val="center"/>
          </w:tcPr>
          <w:p>
            <w:pPr>
              <w:keepNext w:val="0"/>
              <w:keepLines w:val="0"/>
              <w:suppressLineNumbers w:val="0"/>
              <w:snapToGrid w:val="0"/>
              <w:spacing w:before="0" w:beforeAutospacing="0" w:after="0" w:afterAutospacing="0"/>
              <w:ind w:left="0" w:right="0"/>
              <w:jc w:val="center"/>
              <w:rPr>
                <w:szCs w:val="21"/>
              </w:rPr>
            </w:pPr>
            <w:r>
              <w:t>粉尘</w:t>
            </w:r>
          </w:p>
        </w:tc>
        <w:tc>
          <w:tcPr>
            <w:tcW w:w="2126" w:type="dxa"/>
            <w:vAlign w:val="center"/>
          </w:tcPr>
          <w:p>
            <w:pPr>
              <w:keepNext w:val="0"/>
              <w:keepLines w:val="0"/>
              <w:suppressLineNumbers w:val="0"/>
              <w:snapToGrid w:val="0"/>
              <w:spacing w:before="0" w:beforeAutospacing="0" w:after="0" w:afterAutospacing="0"/>
              <w:ind w:left="0" w:right="0"/>
              <w:jc w:val="center"/>
              <w:rPr>
                <w:color w:val="000000"/>
                <w:szCs w:val="21"/>
                <w:highlight w:val="yellow"/>
              </w:rPr>
            </w:pPr>
            <w:r>
              <w:rPr>
                <w:rFonts w:hint="eastAsia"/>
                <w:szCs w:val="21"/>
              </w:rPr>
              <w:t>经设备自带的旋风分离塔+二级滤芯除尘器处理后通过1根15米高排气筒（FQ-1）排放</w:t>
            </w:r>
          </w:p>
        </w:tc>
        <w:tc>
          <w:tcPr>
            <w:tcW w:w="2018" w:type="dxa"/>
            <w:vMerge w:val="restart"/>
            <w:vAlign w:val="center"/>
          </w:tcPr>
          <w:p>
            <w:pPr>
              <w:keepNext w:val="0"/>
              <w:keepLines w:val="0"/>
              <w:suppressLineNumbers w:val="0"/>
              <w:adjustRightInd w:val="0"/>
              <w:snapToGrid w:val="0"/>
              <w:spacing w:before="0" w:beforeAutospacing="0" w:after="0" w:afterAutospacing="0"/>
              <w:ind w:left="0" w:right="0"/>
              <w:jc w:val="center"/>
              <w:rPr>
                <w:szCs w:val="21"/>
                <w:highlight w:val="yellow"/>
              </w:rPr>
            </w:pPr>
            <w:r>
              <w:rPr>
                <w:rFonts w:hint="eastAsia"/>
              </w:rPr>
              <w:t>《大气污染物综合排放标准》（DB32/4041-2021）表1标准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538" w:type="dxa"/>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567" w:type="dxa"/>
            <w:vMerge w:val="continue"/>
            <w:tcBorders>
              <w:right w:val="single" w:color="auto" w:sz="4" w:space="0"/>
            </w:tcBorders>
            <w:vAlign w:val="center"/>
          </w:tcPr>
          <w:p>
            <w:pPr>
              <w:keepNext w:val="0"/>
              <w:keepLines w:val="0"/>
              <w:suppressLineNumbers w:val="0"/>
              <w:snapToGrid w:val="0"/>
              <w:spacing w:before="0" w:beforeAutospacing="0" w:after="0" w:afterAutospacing="0"/>
              <w:ind w:left="0" w:right="0"/>
              <w:jc w:val="center"/>
            </w:pPr>
          </w:p>
        </w:tc>
        <w:tc>
          <w:tcPr>
            <w:tcW w:w="1134" w:type="dxa"/>
            <w:tcBorders>
              <w:left w:val="single" w:color="auto" w:sz="4" w:space="0"/>
            </w:tcBorders>
            <w:vAlign w:val="center"/>
          </w:tcPr>
          <w:p>
            <w:pPr>
              <w:keepNext w:val="0"/>
              <w:keepLines w:val="0"/>
              <w:suppressLineNumbers w:val="0"/>
              <w:snapToGrid w:val="0"/>
              <w:spacing w:before="0" w:beforeAutospacing="0" w:after="0" w:afterAutospacing="0"/>
              <w:ind w:left="0" w:right="0"/>
              <w:jc w:val="center"/>
              <w:rPr>
                <w:rFonts w:hint="eastAsia" w:eastAsia="宋体"/>
                <w:lang w:eastAsia="zh-CN"/>
              </w:rPr>
            </w:pPr>
            <w:r>
              <w:rPr>
                <w:szCs w:val="21"/>
              </w:rPr>
              <w:t>固化</w:t>
            </w:r>
            <w:r>
              <w:rPr>
                <w:rFonts w:hint="eastAsia"/>
                <w:szCs w:val="21"/>
                <w:lang w:eastAsia="zh-CN"/>
              </w:rPr>
              <w:t>、</w:t>
            </w:r>
            <w:r>
              <w:rPr>
                <w:rFonts w:hAnsi="宋体"/>
              </w:rPr>
              <w:t>注塑成型</w:t>
            </w:r>
            <w:r>
              <w:rPr>
                <w:rFonts w:hint="eastAsia" w:hAnsi="宋体"/>
                <w:lang w:eastAsia="zh-CN"/>
              </w:rPr>
              <w:t>（</w:t>
            </w:r>
            <w:r>
              <w:t>FQ-1</w:t>
            </w:r>
            <w:r>
              <w:rPr>
                <w:rFonts w:hint="eastAsia"/>
                <w:lang w:eastAsia="zh-CN"/>
              </w:rPr>
              <w:t>）</w:t>
            </w:r>
          </w:p>
        </w:tc>
        <w:tc>
          <w:tcPr>
            <w:tcW w:w="1417" w:type="dxa"/>
            <w:vAlign w:val="center"/>
          </w:tcPr>
          <w:p>
            <w:pPr>
              <w:keepNext w:val="0"/>
              <w:keepLines w:val="0"/>
              <w:suppressLineNumbers w:val="0"/>
              <w:snapToGrid w:val="0"/>
              <w:spacing w:before="0" w:beforeAutospacing="0" w:after="0" w:afterAutospacing="0"/>
              <w:ind w:left="0" w:right="0"/>
              <w:jc w:val="center"/>
            </w:pPr>
            <w:r>
              <w:t>非甲烷总烃</w:t>
            </w:r>
          </w:p>
        </w:tc>
        <w:tc>
          <w:tcPr>
            <w:tcW w:w="2126" w:type="dxa"/>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rPr>
              <w:t>经二级活性炭吸附处理后通过1根15米高排气筒（FQ-1）排放</w:t>
            </w:r>
          </w:p>
        </w:tc>
        <w:tc>
          <w:tcPr>
            <w:tcW w:w="2018" w:type="dxa"/>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8" w:type="dxa"/>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567" w:type="dxa"/>
            <w:vMerge w:val="continue"/>
            <w:tcBorders>
              <w:right w:val="single" w:color="auto" w:sz="4" w:space="0"/>
            </w:tcBorders>
            <w:vAlign w:val="center"/>
          </w:tcPr>
          <w:p>
            <w:pPr>
              <w:keepNext w:val="0"/>
              <w:keepLines w:val="0"/>
              <w:suppressLineNumbers w:val="0"/>
              <w:snapToGrid w:val="0"/>
              <w:spacing w:before="0" w:beforeAutospacing="0" w:after="0" w:afterAutospacing="0"/>
              <w:ind w:left="0" w:right="0"/>
              <w:jc w:val="center"/>
            </w:pPr>
          </w:p>
        </w:tc>
        <w:tc>
          <w:tcPr>
            <w:tcW w:w="1134" w:type="dxa"/>
            <w:tcBorders>
              <w:top w:val="single" w:color="auto" w:sz="4" w:space="0"/>
              <w:left w:val="single" w:color="auto" w:sz="4" w:space="0"/>
            </w:tcBorders>
            <w:vAlign w:val="center"/>
          </w:tcPr>
          <w:p>
            <w:pPr>
              <w:keepNext w:val="0"/>
              <w:keepLines w:val="0"/>
              <w:suppressLineNumbers w:val="0"/>
              <w:snapToGrid w:val="0"/>
              <w:spacing w:before="0" w:beforeAutospacing="0" w:after="0" w:afterAutospacing="0"/>
              <w:ind w:left="0" w:right="0"/>
              <w:jc w:val="center"/>
              <w:rPr>
                <w:rFonts w:hAnsi="宋体"/>
              </w:rPr>
            </w:pPr>
            <w:r>
              <w:rPr>
                <w:rFonts w:hint="eastAsia" w:hAnsi="宋体"/>
              </w:rPr>
              <w:t>食堂（FQ-2）</w:t>
            </w:r>
          </w:p>
        </w:tc>
        <w:tc>
          <w:tcPr>
            <w:tcW w:w="1417" w:type="dxa"/>
            <w:vAlign w:val="center"/>
          </w:tcPr>
          <w:p>
            <w:pPr>
              <w:keepNext w:val="0"/>
              <w:keepLines w:val="0"/>
              <w:suppressLineNumbers w:val="0"/>
              <w:snapToGrid w:val="0"/>
              <w:spacing w:before="0" w:beforeAutospacing="0" w:after="0" w:afterAutospacing="0"/>
              <w:ind w:left="0" w:right="0"/>
              <w:jc w:val="center"/>
            </w:pPr>
            <w:r>
              <w:rPr>
                <w:rFonts w:hint="eastAsia"/>
              </w:rPr>
              <w:t>食堂油烟</w:t>
            </w:r>
          </w:p>
        </w:tc>
        <w:tc>
          <w:tcPr>
            <w:tcW w:w="2126" w:type="dxa"/>
            <w:vAlign w:val="center"/>
          </w:tcPr>
          <w:p>
            <w:pPr>
              <w:keepNext w:val="0"/>
              <w:keepLines w:val="0"/>
              <w:suppressLineNumbers w:val="0"/>
              <w:snapToGrid w:val="0"/>
              <w:spacing w:before="0" w:beforeAutospacing="0" w:after="0" w:afterAutospacing="0"/>
              <w:ind w:left="0" w:right="0"/>
              <w:jc w:val="center"/>
              <w:rPr>
                <w:szCs w:val="21"/>
              </w:rPr>
            </w:pPr>
            <w:r>
              <w:rPr>
                <w:rFonts w:hint="eastAsia"/>
                <w:szCs w:val="21"/>
              </w:rPr>
              <w:t>经油烟净化装置处理后通过1根8米高排气筒（FQ-2）排放</w:t>
            </w:r>
          </w:p>
        </w:tc>
        <w:tc>
          <w:tcPr>
            <w:tcW w:w="2018" w:type="dxa"/>
            <w:vAlign w:val="center"/>
          </w:tcPr>
          <w:p>
            <w:pPr>
              <w:keepNext w:val="0"/>
              <w:keepLines w:val="0"/>
              <w:suppressLineNumbers w:val="0"/>
              <w:adjustRightInd w:val="0"/>
              <w:snapToGrid w:val="0"/>
              <w:spacing w:before="0" w:beforeAutospacing="0" w:after="0" w:afterAutospacing="0"/>
              <w:ind w:left="0" w:right="0"/>
              <w:jc w:val="center"/>
            </w:pPr>
            <w:r>
              <w:rPr>
                <w:rFonts w:hint="eastAsia"/>
              </w:rPr>
              <w:t>《饮食业油烟排放标准（试行）》（GB18483-2001）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8" w:type="dxa"/>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1701" w:type="dxa"/>
            <w:gridSpan w:val="2"/>
            <w:vMerge w:val="restart"/>
            <w:vAlign w:val="center"/>
          </w:tcPr>
          <w:p>
            <w:pPr>
              <w:keepNext w:val="0"/>
              <w:keepLines w:val="0"/>
              <w:suppressLineNumbers w:val="0"/>
              <w:snapToGrid w:val="0"/>
              <w:spacing w:before="0" w:beforeAutospacing="0" w:after="0" w:afterAutospacing="0"/>
              <w:ind w:left="0" w:right="0"/>
              <w:jc w:val="center"/>
              <w:rPr>
                <w:szCs w:val="21"/>
              </w:rPr>
            </w:pPr>
            <w:r>
              <w:rPr>
                <w:rFonts w:hAnsi="宋体"/>
              </w:rPr>
              <w:t>无组织废气</w:t>
            </w:r>
          </w:p>
        </w:tc>
        <w:tc>
          <w:tcPr>
            <w:tcW w:w="1417" w:type="dxa"/>
            <w:vAlign w:val="center"/>
          </w:tcPr>
          <w:p>
            <w:pPr>
              <w:keepNext w:val="0"/>
              <w:keepLines w:val="0"/>
              <w:suppressLineNumbers w:val="0"/>
              <w:snapToGrid w:val="0"/>
              <w:spacing w:before="0" w:beforeAutospacing="0" w:after="0" w:afterAutospacing="0"/>
              <w:ind w:left="0" w:right="0"/>
              <w:jc w:val="center"/>
              <w:rPr>
                <w:szCs w:val="21"/>
              </w:rPr>
            </w:pPr>
            <w:r>
              <w:rPr>
                <w:szCs w:val="21"/>
              </w:rPr>
              <w:t>非甲烷总烃（厂界）</w:t>
            </w:r>
          </w:p>
        </w:tc>
        <w:tc>
          <w:tcPr>
            <w:tcW w:w="2126" w:type="dxa"/>
            <w:vMerge w:val="restart"/>
            <w:vAlign w:val="center"/>
          </w:tcPr>
          <w:p>
            <w:pPr>
              <w:keepNext w:val="0"/>
              <w:keepLines w:val="0"/>
              <w:suppressLineNumbers w:val="0"/>
              <w:snapToGrid w:val="0"/>
              <w:spacing w:before="0" w:beforeAutospacing="0" w:after="0" w:afterAutospacing="0"/>
              <w:ind w:left="0" w:right="0"/>
              <w:jc w:val="center"/>
              <w:rPr>
                <w:szCs w:val="21"/>
              </w:rPr>
            </w:pPr>
            <w:r>
              <w:t>加强车间通风</w:t>
            </w:r>
          </w:p>
        </w:tc>
        <w:tc>
          <w:tcPr>
            <w:tcW w:w="2018" w:type="dxa"/>
            <w:vMerge w:val="restart"/>
            <w:tcBorders>
              <w:top w:val="single" w:color="auto" w:sz="2" w:space="0"/>
            </w:tcBorders>
            <w:vAlign w:val="center"/>
          </w:tcPr>
          <w:p>
            <w:pPr>
              <w:keepNext w:val="0"/>
              <w:keepLines w:val="0"/>
              <w:suppressLineNumbers w:val="0"/>
              <w:adjustRightInd w:val="0"/>
              <w:snapToGrid w:val="0"/>
              <w:spacing w:before="0" w:beforeAutospacing="0" w:after="0" w:afterAutospacing="0"/>
              <w:ind w:left="0" w:right="0"/>
              <w:jc w:val="center"/>
              <w:rPr>
                <w:szCs w:val="21"/>
                <w:highlight w:val="yellow"/>
              </w:rPr>
            </w:pPr>
            <w:r>
              <w:rPr>
                <w:rFonts w:hint="eastAsia"/>
              </w:rPr>
              <w:t>《大气污染物综合排放标准》（DB32/4041-2021）表3标准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8" w:type="dxa"/>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1701" w:type="dxa"/>
            <w:gridSpan w:val="2"/>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1417" w:type="dxa"/>
            <w:vAlign w:val="center"/>
          </w:tcPr>
          <w:p>
            <w:pPr>
              <w:keepNext w:val="0"/>
              <w:keepLines w:val="0"/>
              <w:suppressLineNumbers w:val="0"/>
              <w:snapToGrid w:val="0"/>
              <w:spacing w:before="0" w:beforeAutospacing="0" w:after="0" w:afterAutospacing="0"/>
              <w:ind w:left="0" w:right="0"/>
              <w:jc w:val="center"/>
              <w:rPr>
                <w:rFonts w:hint="eastAsia" w:eastAsia="宋体"/>
                <w:szCs w:val="21"/>
                <w:lang w:eastAsia="zh-CN"/>
              </w:rPr>
            </w:pPr>
            <w:r>
              <w:rPr>
                <w:rFonts w:hint="eastAsia"/>
                <w:szCs w:val="21"/>
                <w:lang w:eastAsia="zh-CN"/>
              </w:rPr>
              <w:t>颗粒物</w:t>
            </w:r>
          </w:p>
        </w:tc>
        <w:tc>
          <w:tcPr>
            <w:tcW w:w="2126" w:type="dxa"/>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2018" w:type="dxa"/>
            <w:vMerge w:val="continue"/>
            <w:vAlign w:val="center"/>
          </w:tcPr>
          <w:p>
            <w:pPr>
              <w:keepNext w:val="0"/>
              <w:keepLines w:val="0"/>
              <w:suppressLineNumbers w:val="0"/>
              <w:adjustRightInd w:val="0"/>
              <w:snapToGrid w:val="0"/>
              <w:spacing w:before="0" w:beforeAutospacing="0" w:after="0" w:afterAutospacing="0"/>
              <w:ind w:left="0" w:right="0"/>
              <w:jc w:val="center"/>
              <w:rPr>
                <w:rFonts w:eastAsiaTheme="minorEastAsia"/>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8" w:type="dxa"/>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1701" w:type="dxa"/>
            <w:gridSpan w:val="2"/>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1417"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NMHC</w:t>
            </w:r>
          </w:p>
          <w:p>
            <w:pPr>
              <w:keepNext w:val="0"/>
              <w:keepLines w:val="0"/>
              <w:suppressLineNumbers w:val="0"/>
              <w:adjustRightInd w:val="0"/>
              <w:snapToGrid w:val="0"/>
              <w:spacing w:before="0" w:beforeAutospacing="0" w:after="0" w:afterAutospacing="0"/>
              <w:ind w:left="0" w:right="0"/>
              <w:jc w:val="center"/>
              <w:rPr>
                <w:szCs w:val="21"/>
              </w:rPr>
            </w:pPr>
            <w:r>
              <w:rPr>
                <w:szCs w:val="21"/>
              </w:rPr>
              <w:t>（厂区内）</w:t>
            </w:r>
          </w:p>
        </w:tc>
        <w:tc>
          <w:tcPr>
            <w:tcW w:w="2126" w:type="dxa"/>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2018" w:type="dxa"/>
            <w:tcBorders>
              <w:top w:val="single" w:color="auto" w:sz="2" w:space="0"/>
            </w:tcBorders>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rPr>
              <w:t>《大气污染物综合排放标准》（DB32/4041-2021）表</w:t>
            </w:r>
            <w:r>
              <w:rPr>
                <w:rFonts w:hint="eastAsia"/>
                <w:lang w:val="en-US" w:eastAsia="zh-CN"/>
              </w:rPr>
              <w:t>2</w:t>
            </w:r>
            <w:r>
              <w:rPr>
                <w:rFonts w:hint="eastAsia"/>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8" w:type="dxa"/>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1701" w:type="dxa"/>
            <w:gridSpan w:val="2"/>
            <w:vMerge w:val="continue"/>
            <w:vAlign w:val="center"/>
          </w:tcPr>
          <w:p>
            <w:pPr>
              <w:keepNext w:val="0"/>
              <w:keepLines w:val="0"/>
              <w:suppressLineNumbers w:val="0"/>
              <w:adjustRightInd w:val="0"/>
              <w:snapToGrid w:val="0"/>
              <w:spacing w:before="0" w:beforeAutospacing="0" w:after="0" w:afterAutospacing="0"/>
              <w:ind w:left="0" w:right="0"/>
              <w:jc w:val="center"/>
              <w:rPr>
                <w:szCs w:val="21"/>
              </w:rPr>
            </w:pPr>
          </w:p>
        </w:tc>
        <w:tc>
          <w:tcPr>
            <w:tcW w:w="1417"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焊接烟尘</w:t>
            </w:r>
          </w:p>
        </w:tc>
        <w:tc>
          <w:tcPr>
            <w:tcW w:w="2126"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经移动式除尘器处理后在车间内无组织排放</w:t>
            </w:r>
          </w:p>
        </w:tc>
        <w:tc>
          <w:tcPr>
            <w:tcW w:w="2018" w:type="dxa"/>
            <w:vAlign w:val="center"/>
          </w:tcPr>
          <w:p>
            <w:pPr>
              <w:keepNext w:val="0"/>
              <w:keepLines w:val="0"/>
              <w:suppressLineNumbers w:val="0"/>
              <w:adjustRightInd w:val="0"/>
              <w:snapToGrid w:val="0"/>
              <w:spacing w:before="0" w:beforeAutospacing="0" w:after="0" w:afterAutospacing="0"/>
              <w:ind w:left="0" w:right="0"/>
              <w:jc w:val="center"/>
            </w:pPr>
            <w:r>
              <w:rPr>
                <w:szCs w:val="21"/>
              </w:rPr>
              <w:t>《大气污染物综合排放标准》（DB32/4041-2021）中表</w:t>
            </w:r>
            <w:r>
              <w:rPr>
                <w:rFonts w:hint="eastAsia"/>
                <w:szCs w:val="21"/>
                <w:lang w:val="en-US" w:eastAsia="zh-CN"/>
              </w:rPr>
              <w:t>3</w:t>
            </w:r>
            <w:r>
              <w:rPr>
                <w:szCs w:val="21"/>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8"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Ansi="宋体"/>
                <w:szCs w:val="21"/>
              </w:rPr>
              <w:t>地表水环境</w:t>
            </w:r>
          </w:p>
        </w:tc>
        <w:tc>
          <w:tcPr>
            <w:tcW w:w="1701" w:type="dxa"/>
            <w:gridSpan w:val="2"/>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Ansi="宋体"/>
              </w:rPr>
              <w:t>生活污水</w:t>
            </w:r>
            <w:r>
              <w:rPr>
                <w:rFonts w:hint="eastAsia" w:hAnsi="宋体"/>
              </w:rPr>
              <w:t>和食堂废水</w:t>
            </w:r>
          </w:p>
        </w:tc>
        <w:tc>
          <w:tcPr>
            <w:tcW w:w="1417" w:type="dxa"/>
            <w:vAlign w:val="center"/>
          </w:tcPr>
          <w:p>
            <w:pPr>
              <w:keepNext w:val="0"/>
              <w:keepLines w:val="0"/>
              <w:suppressLineNumbers w:val="0"/>
              <w:kinsoku w:val="0"/>
              <w:snapToGrid w:val="0"/>
              <w:spacing w:before="0" w:beforeAutospacing="0" w:after="0" w:afterAutospacing="0"/>
              <w:ind w:left="0" w:right="0"/>
              <w:jc w:val="center"/>
              <w:rPr>
                <w:szCs w:val="21"/>
              </w:rPr>
            </w:pPr>
            <w:r>
              <w:rPr>
                <w:szCs w:val="21"/>
              </w:rPr>
              <w:t>COD、SS、NH</w:t>
            </w:r>
            <w:r>
              <w:rPr>
                <w:szCs w:val="21"/>
                <w:vertAlign w:val="subscript"/>
              </w:rPr>
              <w:t>3</w:t>
            </w:r>
            <w:r>
              <w:rPr>
                <w:szCs w:val="21"/>
              </w:rPr>
              <w:t>-N、TP、TN、动植物油</w:t>
            </w:r>
          </w:p>
        </w:tc>
        <w:tc>
          <w:tcPr>
            <w:tcW w:w="2126" w:type="dxa"/>
            <w:vAlign w:val="center"/>
          </w:tcPr>
          <w:p>
            <w:pPr>
              <w:keepNext w:val="0"/>
              <w:keepLines w:val="0"/>
              <w:widowControl/>
              <w:suppressLineNumbers w:val="0"/>
              <w:snapToGrid w:val="0"/>
              <w:spacing w:before="0" w:beforeAutospacing="0" w:after="0" w:afterAutospacing="0"/>
              <w:ind w:left="0" w:right="0"/>
              <w:jc w:val="center"/>
              <w:rPr>
                <w:szCs w:val="21"/>
              </w:rPr>
            </w:pPr>
            <w:r>
              <w:rPr>
                <w:szCs w:val="21"/>
              </w:rPr>
              <w:t>食堂废水经隔油池处理后与生活污水接管进武南污水处理厂处理</w:t>
            </w:r>
          </w:p>
        </w:tc>
        <w:tc>
          <w:tcPr>
            <w:tcW w:w="2018"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符合《污水排入城镇下水道水质标准》（GB/T31962-2015）要求，达标排放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8"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Ansi="宋体"/>
                <w:szCs w:val="21"/>
              </w:rPr>
              <w:t>声环境</w:t>
            </w:r>
          </w:p>
        </w:tc>
        <w:tc>
          <w:tcPr>
            <w:tcW w:w="1701" w:type="dxa"/>
            <w:gridSpan w:val="2"/>
            <w:vAlign w:val="center"/>
          </w:tcPr>
          <w:p>
            <w:pPr>
              <w:keepNext w:val="0"/>
              <w:keepLines w:val="0"/>
              <w:suppressLineNumbers w:val="0"/>
              <w:spacing w:before="0" w:beforeAutospacing="0" w:after="0" w:afterAutospacing="0"/>
              <w:ind w:left="0" w:right="0"/>
              <w:jc w:val="center"/>
              <w:rPr>
                <w:szCs w:val="21"/>
              </w:rPr>
            </w:pPr>
            <w:r>
              <w:rPr>
                <w:szCs w:val="21"/>
              </w:rPr>
              <w:t>机械设备</w:t>
            </w:r>
          </w:p>
        </w:tc>
        <w:tc>
          <w:tcPr>
            <w:tcW w:w="1417" w:type="dxa"/>
            <w:vAlign w:val="center"/>
          </w:tcPr>
          <w:p>
            <w:pPr>
              <w:keepNext w:val="0"/>
              <w:keepLines w:val="0"/>
              <w:suppressLineNumbers w:val="0"/>
              <w:spacing w:before="0" w:beforeAutospacing="0" w:after="0" w:afterAutospacing="0"/>
              <w:ind w:left="0" w:right="0"/>
              <w:jc w:val="center"/>
              <w:rPr>
                <w:szCs w:val="21"/>
              </w:rPr>
            </w:pPr>
            <w:r>
              <w:rPr>
                <w:szCs w:val="21"/>
              </w:rPr>
              <w:t>噪声</w:t>
            </w:r>
          </w:p>
        </w:tc>
        <w:tc>
          <w:tcPr>
            <w:tcW w:w="2126" w:type="dxa"/>
            <w:vAlign w:val="center"/>
          </w:tcPr>
          <w:p>
            <w:pPr>
              <w:keepNext w:val="0"/>
              <w:keepLines w:val="0"/>
              <w:suppressLineNumbers w:val="0"/>
              <w:spacing w:before="0" w:beforeAutospacing="0" w:after="0" w:afterAutospacing="0"/>
              <w:ind w:left="0" w:right="0"/>
              <w:jc w:val="center"/>
              <w:rPr>
                <w:szCs w:val="21"/>
              </w:rPr>
            </w:pPr>
            <w:r>
              <w:rPr>
                <w:szCs w:val="21"/>
              </w:rPr>
              <w:t>合理布局、减振、厂房隔声、距离衰减等措施</w:t>
            </w:r>
          </w:p>
        </w:tc>
        <w:tc>
          <w:tcPr>
            <w:tcW w:w="2018"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《工业企业厂界环境噪声排放标准》（GB12348-2008）中2类标准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538"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Ansi="宋体"/>
                <w:szCs w:val="21"/>
              </w:rPr>
              <w:t>电磁辐射</w:t>
            </w:r>
          </w:p>
        </w:tc>
        <w:tc>
          <w:tcPr>
            <w:tcW w:w="1701" w:type="dxa"/>
            <w:gridSpan w:val="2"/>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w:t>
            </w:r>
          </w:p>
        </w:tc>
        <w:tc>
          <w:tcPr>
            <w:tcW w:w="1417"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w:t>
            </w:r>
          </w:p>
        </w:tc>
        <w:tc>
          <w:tcPr>
            <w:tcW w:w="2126"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w:t>
            </w:r>
          </w:p>
        </w:tc>
        <w:tc>
          <w:tcPr>
            <w:tcW w:w="2018"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1538"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Ansi="宋体"/>
                <w:szCs w:val="21"/>
              </w:rPr>
              <w:t>固体废物</w:t>
            </w:r>
          </w:p>
        </w:tc>
        <w:tc>
          <w:tcPr>
            <w:tcW w:w="7262" w:type="dxa"/>
            <w:gridSpan w:val="5"/>
            <w:vAlign w:val="center"/>
          </w:tcPr>
          <w:p>
            <w:pPr>
              <w:keepNext w:val="0"/>
              <w:keepLines w:val="0"/>
              <w:suppressLineNumbers w:val="0"/>
              <w:spacing w:before="0" w:beforeAutospacing="0" w:after="0" w:afterAutospacing="0"/>
              <w:ind w:left="0" w:right="0" w:firstLine="420" w:firstLineChars="200"/>
              <w:jc w:val="left"/>
            </w:pPr>
            <w:r>
              <w:rPr>
                <w:rFonts w:hint="eastAsia"/>
              </w:rPr>
              <w:t>（1）</w:t>
            </w:r>
            <w:r>
              <w:t>固废贮存场所（设施）污染防治措施：</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20" w:firstLineChars="200"/>
              <w:jc w:val="left"/>
              <w:textAlignment w:val="auto"/>
            </w:pPr>
            <w:r>
              <w:t>本项目建设一般固废堆场和危险废物堆场各1处。一般工业固体废物按照《一般工业固体废物贮存和填埋污染控制标准》（GB18599-2020）中的相关规定执行；危废贮存场地按照《危险废物贮存污染控制标准》（GB18597-2001）及其修改单</w:t>
            </w:r>
            <w:r>
              <w:rPr>
                <w:rFonts w:hint="eastAsia"/>
                <w:color w:val="0000FF"/>
              </w:rPr>
              <w:t>、</w:t>
            </w:r>
            <w:r>
              <w:t>《省生态环境厅关于进一步加强危险废物污染防治工作的实施意见》（苏环办[2019]327号）</w:t>
            </w:r>
            <w:r>
              <w:rPr>
                <w:rFonts w:hint="eastAsia"/>
              </w:rPr>
              <w:t>、</w:t>
            </w:r>
            <w:r>
              <w:t>《省生态环境厅关于进一步加强危险废物环境管理工作的通知》（苏环办［2021］207号）的要求进行设计和建设。</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20" w:firstLineChars="200"/>
              <w:jc w:val="left"/>
              <w:textAlignment w:val="auto"/>
            </w:pPr>
            <w:r>
              <w:rPr>
                <w:rFonts w:hint="eastAsia"/>
              </w:rPr>
              <w:t>（2）</w:t>
            </w:r>
            <w:r>
              <w:t>运输过程的污染防治措施</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20" w:firstLineChars="200"/>
              <w:jc w:val="left"/>
              <w:textAlignment w:val="auto"/>
            </w:pPr>
            <w:r>
              <w:t>危险废物必须及时运送至有资质的单位处置，运输过程必须符合国家及江苏省对危险废物的运输要求；从事危险废物收集、贮存、运输经营活动的单位应具有危险废物经营许可证，并按照其许可证的经营范围组织实施；承担危险废物运输的单位应获得交通运输部门颁发的危险货物运输资质。</w:t>
            </w:r>
          </w:p>
          <w:p>
            <w:pPr>
              <w:keepNext w:val="0"/>
              <w:keepLines w:val="0"/>
              <w:suppressLineNumbers w:val="0"/>
              <w:adjustRightInd w:val="0"/>
              <w:snapToGrid w:val="0"/>
              <w:spacing w:before="0" w:beforeAutospacing="0" w:after="0" w:afterAutospacing="0"/>
              <w:ind w:left="0" w:right="0" w:firstLine="420" w:firstLineChars="200"/>
              <w:jc w:val="left"/>
            </w:pPr>
            <w:r>
              <w:rPr>
                <w:rFonts w:hint="eastAsia"/>
              </w:rPr>
              <w:t>（3）</w:t>
            </w:r>
            <w:r>
              <w:t>固体废物处理处置方案</w:t>
            </w:r>
          </w:p>
          <w:p>
            <w:pPr>
              <w:keepNext w:val="0"/>
              <w:keepLines w:val="0"/>
              <w:suppressLineNumbers w:val="0"/>
              <w:adjustRightInd w:val="0"/>
              <w:snapToGrid w:val="0"/>
              <w:spacing w:before="0" w:beforeAutospacing="0" w:after="0" w:afterAutospacing="0"/>
              <w:ind w:left="0" w:right="0" w:firstLine="420" w:firstLineChars="200"/>
              <w:rPr>
                <w:sz w:val="21"/>
                <w:szCs w:val="21"/>
              </w:rPr>
            </w:pPr>
            <w:r>
              <w:t>一般固废：</w:t>
            </w:r>
            <w:r>
              <w:rPr>
                <w:rFonts w:hint="eastAsia"/>
                <w:sz w:val="21"/>
                <w:szCs w:val="21"/>
              </w:rPr>
              <w:t>废包装袋、不合格品、边角料、废滤芯</w:t>
            </w:r>
            <w:r>
              <w:rPr>
                <w:rFonts w:hint="eastAsia"/>
                <w:sz w:val="21"/>
                <w:szCs w:val="21"/>
                <w:lang w:eastAsia="zh-CN"/>
              </w:rPr>
              <w:t>、塑料边角料、收集粉尘（焊接）</w:t>
            </w:r>
            <w:r>
              <w:rPr>
                <w:rFonts w:hint="eastAsia"/>
                <w:sz w:val="21"/>
                <w:szCs w:val="21"/>
              </w:rPr>
              <w:t>收集后外售综合利用</w:t>
            </w:r>
            <w:r>
              <w:rPr>
                <w:rFonts w:hint="eastAsia"/>
                <w:sz w:val="21"/>
                <w:szCs w:val="21"/>
                <w:lang w:eastAsia="zh-CN"/>
              </w:rPr>
              <w:t>；</w:t>
            </w:r>
            <w:r>
              <w:rPr>
                <w:rFonts w:hint="eastAsia"/>
                <w:sz w:val="21"/>
                <w:szCs w:val="21"/>
              </w:rPr>
              <w:t>收集粉尘</w:t>
            </w:r>
            <w:r>
              <w:rPr>
                <w:rFonts w:hint="eastAsia"/>
                <w:sz w:val="21"/>
                <w:szCs w:val="21"/>
                <w:lang w:eastAsia="zh-CN"/>
              </w:rPr>
              <w:t>（涂敷）收集后</w:t>
            </w:r>
            <w:r>
              <w:rPr>
                <w:rFonts w:hint="eastAsia"/>
                <w:sz w:val="21"/>
                <w:szCs w:val="21"/>
              </w:rPr>
              <w:t>回用于生产；</w:t>
            </w:r>
            <w:r>
              <w:rPr>
                <w:rFonts w:hint="eastAsia" w:ascii="宋体" w:hAnsi="宋体" w:cs="宋体"/>
                <w:sz w:val="21"/>
                <w:szCs w:val="21"/>
              </w:rPr>
              <w:t>餐厨垃圾委托专业单位集中处理；</w:t>
            </w:r>
          </w:p>
          <w:p>
            <w:pPr>
              <w:keepNext w:val="0"/>
              <w:keepLines w:val="0"/>
              <w:suppressLineNumbers w:val="0"/>
              <w:adjustRightInd w:val="0"/>
              <w:snapToGrid w:val="0"/>
              <w:spacing w:before="0" w:beforeAutospacing="0" w:after="0" w:afterAutospacing="0"/>
              <w:ind w:left="0" w:right="0" w:firstLine="420" w:firstLineChars="200"/>
            </w:pPr>
            <w:r>
              <w:rPr>
                <w:rFonts w:hint="eastAsia"/>
              </w:rPr>
              <w:t>危险废物：废活性炭、废包装桶、废</w:t>
            </w:r>
            <w:r>
              <w:rPr>
                <w:rFonts w:hint="eastAsia"/>
                <w:lang w:eastAsia="zh-CN"/>
              </w:rPr>
              <w:t>矿物油</w:t>
            </w:r>
            <w:r>
              <w:rPr>
                <w:rFonts w:hint="eastAsia"/>
              </w:rPr>
              <w:t>收集后委托有资质单位处置；含油抹布手套委托环卫清运；</w:t>
            </w:r>
          </w:p>
          <w:p>
            <w:pPr>
              <w:keepNext w:val="0"/>
              <w:keepLines w:val="0"/>
              <w:suppressLineNumbers w:val="0"/>
              <w:adjustRightInd w:val="0"/>
              <w:snapToGrid w:val="0"/>
              <w:spacing w:before="0" w:beforeAutospacing="0" w:after="0" w:afterAutospacing="0"/>
              <w:ind w:left="0" w:right="0" w:firstLine="420" w:firstLineChars="200"/>
            </w:pPr>
            <w:r>
              <w:t>生活垃圾：由环卫部门统一清运。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1538"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Ansi="宋体"/>
                <w:szCs w:val="21"/>
              </w:rPr>
              <w:t>土壤及地下水</w:t>
            </w:r>
          </w:p>
          <w:p>
            <w:pPr>
              <w:keepNext w:val="0"/>
              <w:keepLines w:val="0"/>
              <w:suppressLineNumbers w:val="0"/>
              <w:adjustRightInd w:val="0"/>
              <w:snapToGrid w:val="0"/>
              <w:spacing w:before="0" w:beforeAutospacing="0" w:after="0" w:afterAutospacing="0"/>
              <w:ind w:left="0" w:right="0"/>
              <w:jc w:val="center"/>
              <w:rPr>
                <w:szCs w:val="21"/>
              </w:rPr>
            </w:pPr>
            <w:r>
              <w:rPr>
                <w:rFonts w:hAnsi="宋体"/>
                <w:szCs w:val="21"/>
              </w:rPr>
              <w:t>污染防治措施</w:t>
            </w:r>
          </w:p>
        </w:tc>
        <w:tc>
          <w:tcPr>
            <w:tcW w:w="7262" w:type="dxa"/>
            <w:gridSpan w:val="5"/>
            <w:vAlign w:val="center"/>
          </w:tcPr>
          <w:p>
            <w:pPr>
              <w:keepNext w:val="0"/>
              <w:keepLines w:val="0"/>
              <w:suppressLineNumbers w:val="0"/>
              <w:adjustRightInd w:val="0"/>
              <w:snapToGrid w:val="0"/>
              <w:spacing w:before="0" w:beforeAutospacing="0" w:after="0" w:afterAutospacing="0"/>
              <w:ind w:left="0" w:right="0" w:firstLine="420" w:firstLineChars="200"/>
              <w:rPr>
                <w:szCs w:val="21"/>
              </w:rPr>
            </w:pPr>
            <w:r>
              <w:rPr>
                <w:szCs w:val="21"/>
              </w:rPr>
              <w:t>危废</w:t>
            </w:r>
            <w:r>
              <w:rPr>
                <w:rFonts w:hint="eastAsia"/>
                <w:szCs w:val="21"/>
              </w:rPr>
              <w:t>仓库</w:t>
            </w:r>
            <w:r>
              <w:rPr>
                <w:szCs w:val="21"/>
              </w:rPr>
              <w:t>内地面、墙裙采用防腐、防渗处理，危废通过密闭的包装物包装后暂存在危废堆场内，定期委外处置，定期有专人巡视，故不会造成泄漏下渗，污染土壤、地下水。车间地面、应急池等进行硬化处理</w:t>
            </w:r>
            <w:r>
              <w:rPr>
                <w:rFonts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1538"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Ansi="宋体"/>
                <w:szCs w:val="21"/>
              </w:rPr>
              <w:t>生态保护措施</w:t>
            </w:r>
          </w:p>
        </w:tc>
        <w:tc>
          <w:tcPr>
            <w:tcW w:w="7262" w:type="dxa"/>
            <w:gridSpan w:val="5"/>
            <w:vAlign w:val="center"/>
          </w:tcPr>
          <w:p>
            <w:pPr>
              <w:keepNext w:val="0"/>
              <w:keepLines w:val="0"/>
              <w:suppressLineNumbers w:val="0"/>
              <w:adjustRightInd w:val="0"/>
              <w:snapToGrid w:val="0"/>
              <w:spacing w:before="0" w:beforeAutospacing="0" w:after="0" w:afterAutospacing="0"/>
              <w:ind w:left="0" w:right="0" w:firstLine="420" w:firstLineChars="200"/>
              <w:jc w:val="left"/>
            </w:pPr>
            <w:r>
              <w:t>根据《江苏省生态空间管控区域规划》（苏政发〔2020〕1号）和《省政府关于印发江苏省国家级生态保护红线规划的通知》（苏政发〔2018〕74号），不在常州市国家级生态保护红线和生态空间管控区域的保护区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1538" w:type="dxa"/>
            <w:vAlign w:val="center"/>
          </w:tcPr>
          <w:p>
            <w:pPr>
              <w:keepNext w:val="0"/>
              <w:keepLines w:val="0"/>
              <w:suppressLineNumbers w:val="0"/>
              <w:adjustRightInd w:val="0"/>
              <w:snapToGrid w:val="0"/>
              <w:spacing w:before="0" w:beforeAutospacing="0" w:after="0" w:afterAutospacing="0"/>
              <w:ind w:left="0" w:right="0"/>
              <w:jc w:val="center"/>
              <w:rPr>
                <w:spacing w:val="-8"/>
                <w:szCs w:val="21"/>
              </w:rPr>
            </w:pPr>
            <w:r>
              <w:rPr>
                <w:rFonts w:hAnsi="宋体"/>
                <w:spacing w:val="-8"/>
                <w:szCs w:val="21"/>
              </w:rPr>
              <w:t>环境风险</w:t>
            </w:r>
          </w:p>
          <w:p>
            <w:pPr>
              <w:keepNext w:val="0"/>
              <w:keepLines w:val="0"/>
              <w:suppressLineNumbers w:val="0"/>
              <w:adjustRightInd w:val="0"/>
              <w:snapToGrid w:val="0"/>
              <w:spacing w:before="0" w:beforeAutospacing="0" w:after="0" w:afterAutospacing="0"/>
              <w:ind w:left="0" w:right="0"/>
              <w:jc w:val="center"/>
              <w:rPr>
                <w:spacing w:val="-8"/>
                <w:szCs w:val="21"/>
              </w:rPr>
            </w:pPr>
            <w:r>
              <w:rPr>
                <w:rFonts w:hAnsi="宋体"/>
                <w:spacing w:val="-8"/>
                <w:szCs w:val="21"/>
              </w:rPr>
              <w:t>防范措施</w:t>
            </w:r>
          </w:p>
        </w:tc>
        <w:tc>
          <w:tcPr>
            <w:tcW w:w="7262" w:type="dxa"/>
            <w:gridSpan w:val="5"/>
            <w:vAlign w:val="center"/>
          </w:tcPr>
          <w:p>
            <w:pPr>
              <w:keepNext w:val="0"/>
              <w:keepLines w:val="0"/>
              <w:suppressLineNumbers w:val="0"/>
              <w:adjustRightInd w:val="0"/>
              <w:snapToGrid w:val="0"/>
              <w:spacing w:before="0" w:beforeAutospacing="0" w:after="0" w:afterAutospacing="0"/>
              <w:ind w:left="0" w:right="0" w:firstLine="420" w:firstLineChars="200"/>
              <w:rPr>
                <w:szCs w:val="21"/>
              </w:rPr>
            </w:pPr>
            <w:r>
              <w:rPr>
                <w:szCs w:val="21"/>
              </w:rPr>
              <w:t>1、建立健全各种有关消防与安全生产的规章制度，建立岗位责任制。仓库、生产车间严禁明火，禁火区设置明显标志牌。</w:t>
            </w:r>
          </w:p>
          <w:p>
            <w:pPr>
              <w:keepNext w:val="0"/>
              <w:keepLines w:val="0"/>
              <w:suppressLineNumbers w:val="0"/>
              <w:adjustRightInd w:val="0"/>
              <w:snapToGrid w:val="0"/>
              <w:spacing w:before="0" w:beforeAutospacing="0" w:after="0" w:afterAutospacing="0"/>
              <w:ind w:left="0" w:right="0" w:firstLine="420" w:firstLineChars="200"/>
              <w:rPr>
                <w:szCs w:val="21"/>
              </w:rPr>
            </w:pPr>
            <w:r>
              <w:rPr>
                <w:szCs w:val="21"/>
              </w:rPr>
              <w:t>2、配置足量的灭火器及室内消防箱等消防设施，由专人保管和监护，并保持完好状态。</w:t>
            </w:r>
          </w:p>
          <w:p>
            <w:pPr>
              <w:keepNext w:val="0"/>
              <w:keepLines w:val="0"/>
              <w:suppressLineNumbers w:val="0"/>
              <w:adjustRightInd w:val="0"/>
              <w:snapToGrid w:val="0"/>
              <w:spacing w:before="0" w:beforeAutospacing="0" w:after="0" w:afterAutospacing="0"/>
              <w:ind w:left="0" w:right="0" w:firstLine="420" w:firstLineChars="200"/>
              <w:rPr>
                <w:szCs w:val="21"/>
              </w:rPr>
            </w:pPr>
            <w:r>
              <w:rPr>
                <w:szCs w:val="21"/>
              </w:rPr>
              <w:t>3、进行定期的培训和训练。对有火灾危险的场所设置自动报警系统，一旦发生火灾，立即做出应急反应。</w:t>
            </w:r>
          </w:p>
          <w:p>
            <w:pPr>
              <w:keepNext w:val="0"/>
              <w:keepLines w:val="0"/>
              <w:suppressLineNumbers w:val="0"/>
              <w:adjustRightInd w:val="0"/>
              <w:snapToGrid w:val="0"/>
              <w:spacing w:before="0" w:beforeAutospacing="0" w:after="0" w:afterAutospacing="0"/>
              <w:ind w:left="0" w:right="0" w:firstLine="420" w:firstLineChars="200"/>
              <w:rPr>
                <w:szCs w:val="21"/>
              </w:rPr>
            </w:pPr>
            <w:r>
              <w:rPr>
                <w:szCs w:val="21"/>
              </w:rPr>
              <w:t>4、危废仓库设置监控系统。在库的出入口、内部等关键位置安装视频监控设施，进行实时监控，并与中控室联网</w:t>
            </w:r>
            <w:r>
              <w:rPr>
                <w:rFonts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7" w:hRule="atLeast"/>
          <w:jc w:val="center"/>
        </w:trPr>
        <w:tc>
          <w:tcPr>
            <w:tcW w:w="1538" w:type="dxa"/>
            <w:vAlign w:val="center"/>
          </w:tcPr>
          <w:p>
            <w:pPr>
              <w:keepNext w:val="0"/>
              <w:keepLines w:val="0"/>
              <w:suppressLineNumbers w:val="0"/>
              <w:adjustRightInd w:val="0"/>
              <w:snapToGrid w:val="0"/>
              <w:spacing w:before="0" w:beforeAutospacing="0" w:after="0" w:afterAutospacing="0"/>
              <w:ind w:left="0" w:right="0"/>
              <w:jc w:val="center"/>
              <w:rPr>
                <w:spacing w:val="-8"/>
                <w:szCs w:val="21"/>
              </w:rPr>
            </w:pPr>
            <w:r>
              <w:rPr>
                <w:rFonts w:hAnsi="宋体"/>
                <w:spacing w:val="-8"/>
                <w:szCs w:val="21"/>
              </w:rPr>
              <w:t>其他环境</w:t>
            </w:r>
          </w:p>
          <w:p>
            <w:pPr>
              <w:keepNext w:val="0"/>
              <w:keepLines w:val="0"/>
              <w:suppressLineNumbers w:val="0"/>
              <w:adjustRightInd w:val="0"/>
              <w:snapToGrid w:val="0"/>
              <w:spacing w:before="0" w:beforeAutospacing="0" w:after="0" w:afterAutospacing="0"/>
              <w:ind w:left="0" w:right="0"/>
              <w:jc w:val="center"/>
              <w:rPr>
                <w:spacing w:val="-8"/>
                <w:szCs w:val="21"/>
              </w:rPr>
            </w:pPr>
            <w:r>
              <w:rPr>
                <w:rFonts w:hAnsi="宋体"/>
                <w:spacing w:val="-8"/>
                <w:szCs w:val="21"/>
              </w:rPr>
              <w:t>管理要求</w:t>
            </w:r>
          </w:p>
        </w:tc>
        <w:tc>
          <w:tcPr>
            <w:tcW w:w="7262" w:type="dxa"/>
            <w:gridSpan w:val="5"/>
            <w:vAlign w:val="center"/>
          </w:tcPr>
          <w:p>
            <w:pPr>
              <w:keepNext w:val="0"/>
              <w:keepLines w:val="0"/>
              <w:suppressLineNumbers w:val="0"/>
              <w:adjustRightInd w:val="0"/>
              <w:snapToGrid w:val="0"/>
              <w:spacing w:before="0" w:beforeAutospacing="0" w:after="0" w:afterAutospacing="0"/>
              <w:ind w:left="0" w:right="0" w:firstLine="420" w:firstLineChars="200"/>
              <w:jc w:val="left"/>
              <w:rPr>
                <w:szCs w:val="21"/>
              </w:rPr>
            </w:pPr>
            <w:r>
              <w:rPr>
                <w:szCs w:val="21"/>
              </w:rPr>
              <w:t>（1）保持与环境保护主管机构的密切联系，及时了解国家、地方对本项目的有关环境保护的法律、法规</w:t>
            </w:r>
            <w:r>
              <w:rPr>
                <w:rFonts w:hint="eastAsia"/>
                <w:szCs w:val="21"/>
                <w:lang w:eastAsia="zh-CN"/>
              </w:rPr>
              <w:t>和其他</w:t>
            </w:r>
            <w:r>
              <w:rPr>
                <w:szCs w:val="21"/>
              </w:rPr>
              <w:t>要求，及时向环境保护主管机构反映与项目有关的污染因素、存在的问题、采取的污染控制对策等环境保护方面的内容，听取环境保护主管机构的批示意见；</w:t>
            </w:r>
          </w:p>
          <w:p>
            <w:pPr>
              <w:keepNext w:val="0"/>
              <w:keepLines w:val="0"/>
              <w:suppressLineNumbers w:val="0"/>
              <w:adjustRightInd w:val="0"/>
              <w:snapToGrid w:val="0"/>
              <w:spacing w:before="0" w:beforeAutospacing="0" w:after="0" w:afterAutospacing="0"/>
              <w:ind w:left="0" w:right="0" w:firstLine="420" w:firstLineChars="200"/>
              <w:jc w:val="left"/>
              <w:rPr>
                <w:szCs w:val="21"/>
              </w:rPr>
            </w:pPr>
            <w:r>
              <w:rPr>
                <w:szCs w:val="21"/>
              </w:rPr>
              <w:t>（2）及时将国家、地方与本项目环境保护有关的法律、法规</w:t>
            </w:r>
            <w:r>
              <w:rPr>
                <w:rFonts w:hint="eastAsia"/>
                <w:szCs w:val="21"/>
                <w:lang w:eastAsia="zh-CN"/>
              </w:rPr>
              <w:t>和其他</w:t>
            </w:r>
            <w:r>
              <w:rPr>
                <w:szCs w:val="21"/>
              </w:rPr>
              <w:t>要求向单位负责人汇报，及时向本单位有关机构、人员进行通报，组织职工进行环境保护方面的教育、培训，提高环保意识；</w:t>
            </w:r>
          </w:p>
          <w:p>
            <w:pPr>
              <w:keepNext w:val="0"/>
              <w:keepLines w:val="0"/>
              <w:suppressLineNumbers w:val="0"/>
              <w:adjustRightInd w:val="0"/>
              <w:snapToGrid w:val="0"/>
              <w:spacing w:before="0" w:beforeAutospacing="0" w:after="0" w:afterAutospacing="0"/>
              <w:ind w:left="0" w:right="0" w:firstLine="420" w:firstLineChars="200"/>
              <w:jc w:val="left"/>
              <w:rPr>
                <w:szCs w:val="21"/>
              </w:rPr>
            </w:pPr>
            <w:r>
              <w:rPr>
                <w:szCs w:val="21"/>
              </w:rPr>
              <w:t>（3）及时向单位负责人汇报与本项目有关的污染因素、存在问题、采取的污染控制对策、实施情况等，提出改进建议；</w:t>
            </w:r>
          </w:p>
          <w:p>
            <w:pPr>
              <w:keepNext w:val="0"/>
              <w:keepLines w:val="0"/>
              <w:suppressLineNumbers w:val="0"/>
              <w:adjustRightInd w:val="0"/>
              <w:snapToGrid w:val="0"/>
              <w:spacing w:before="0" w:beforeAutospacing="0" w:after="0" w:afterAutospacing="0"/>
              <w:ind w:left="0" w:right="0" w:firstLine="420" w:firstLineChars="200"/>
              <w:jc w:val="left"/>
              <w:rPr>
                <w:szCs w:val="21"/>
              </w:rPr>
            </w:pPr>
            <w:r>
              <w:rPr>
                <w:szCs w:val="21"/>
              </w:rPr>
              <w:t>（4）负责制定、监督实施本单位的有关环境保护管理规章制度，负责实施污染控制措施、管理污染治理设施，并进行详细的记录、以备检查；</w:t>
            </w:r>
          </w:p>
          <w:p>
            <w:pPr>
              <w:keepNext w:val="0"/>
              <w:keepLines w:val="0"/>
              <w:suppressLineNumbers w:val="0"/>
              <w:adjustRightInd w:val="0"/>
              <w:snapToGrid w:val="0"/>
              <w:spacing w:before="0" w:beforeAutospacing="0" w:after="0" w:afterAutospacing="0"/>
              <w:ind w:left="0" w:right="0" w:firstLine="420" w:firstLineChars="200"/>
              <w:jc w:val="left"/>
              <w:rPr>
                <w:szCs w:val="21"/>
              </w:rPr>
            </w:pPr>
            <w:r>
              <w:rPr>
                <w:szCs w:val="21"/>
              </w:rPr>
              <w:t>（5）按照本报告提出的各项环境保护措施，编制详细的环境保护措施落实计划，明确各污染源位置、环境影响、环境保护措施、落实责任机构（人）等，并将该环境保护计划以书面形式发放给相关人员，以便于各项措施的有效落实；</w:t>
            </w:r>
          </w:p>
          <w:p>
            <w:pPr>
              <w:keepNext w:val="0"/>
              <w:keepLines w:val="0"/>
              <w:suppressLineNumbers w:val="0"/>
              <w:adjustRightInd w:val="0"/>
              <w:snapToGrid w:val="0"/>
              <w:spacing w:before="0" w:beforeAutospacing="0" w:after="0" w:afterAutospacing="0"/>
              <w:ind w:left="0" w:right="0" w:firstLine="420" w:firstLineChars="200"/>
              <w:jc w:val="left"/>
              <w:rPr>
                <w:szCs w:val="21"/>
              </w:rPr>
            </w:pPr>
            <w:r>
              <w:rPr>
                <w:szCs w:val="21"/>
              </w:rPr>
              <w:t>（6）按《江苏省排污口设置及规范化整治管理办法》</w:t>
            </w:r>
            <w:r>
              <w:rPr>
                <w:rFonts w:hint="eastAsia"/>
                <w:szCs w:val="21"/>
                <w:lang w:eastAsia="zh-CN"/>
              </w:rPr>
              <w:t>（</w:t>
            </w:r>
            <w:r>
              <w:rPr>
                <w:szCs w:val="21"/>
              </w:rPr>
              <w:t>苏环控[97]122号</w:t>
            </w:r>
            <w:r>
              <w:rPr>
                <w:rFonts w:hint="eastAsia"/>
                <w:szCs w:val="21"/>
                <w:lang w:eastAsia="zh-CN"/>
              </w:rPr>
              <w:t>）</w:t>
            </w:r>
            <w:r>
              <w:rPr>
                <w:szCs w:val="21"/>
              </w:rPr>
              <w:t>要求，对废气排口、固定噪声污染源、固废临时堆场进行规范化设置。</w:t>
            </w:r>
          </w:p>
          <w:p>
            <w:pPr>
              <w:keepNext w:val="0"/>
              <w:keepLines w:val="0"/>
              <w:suppressLineNumbers w:val="0"/>
              <w:adjustRightInd w:val="0"/>
              <w:snapToGrid w:val="0"/>
              <w:spacing w:before="0" w:beforeAutospacing="0" w:after="0" w:afterAutospacing="0"/>
              <w:ind w:left="0" w:right="0" w:firstLine="420" w:firstLineChars="200"/>
              <w:jc w:val="left"/>
              <w:rPr>
                <w:szCs w:val="21"/>
              </w:rPr>
            </w:pPr>
            <w:r>
              <w:rPr>
                <w:szCs w:val="21"/>
              </w:rPr>
              <w:t>（7）根据《企业事业单位环境信息公开办法》（环境保护部令第31号）及《关于印发排污许可证管理暂行规定的通知》（环水体[2016]186号）要求，向社会公开如下信息：</w:t>
            </w:r>
          </w:p>
          <w:p>
            <w:pPr>
              <w:keepNext w:val="0"/>
              <w:keepLines w:val="0"/>
              <w:suppressLineNumbers w:val="0"/>
              <w:adjustRightInd w:val="0"/>
              <w:snapToGrid w:val="0"/>
              <w:spacing w:before="0" w:beforeAutospacing="0" w:after="0" w:afterAutospacing="0"/>
              <w:ind w:left="0" w:right="0" w:firstLine="420" w:firstLineChars="200"/>
              <w:jc w:val="left"/>
              <w:rPr>
                <w:szCs w:val="21"/>
              </w:rPr>
            </w:pPr>
            <w:r>
              <w:rPr>
                <w:rFonts w:hint="eastAsia" w:ascii="宋体" w:hAnsi="宋体" w:cs="宋体"/>
                <w:szCs w:val="21"/>
              </w:rPr>
              <w:t>①</w:t>
            </w:r>
            <w:r>
              <w:rPr>
                <w:szCs w:val="21"/>
              </w:rPr>
              <w:t>基础信息，包括单位名称、组织机构代码、法定代表人、生产地址、联系方式，以及生产经营和管理服务的主要内容、产品及规模；</w:t>
            </w:r>
          </w:p>
          <w:p>
            <w:pPr>
              <w:keepNext w:val="0"/>
              <w:keepLines w:val="0"/>
              <w:suppressLineNumbers w:val="0"/>
              <w:adjustRightInd w:val="0"/>
              <w:snapToGrid w:val="0"/>
              <w:spacing w:before="0" w:beforeAutospacing="0" w:after="0" w:afterAutospacing="0"/>
              <w:ind w:left="0" w:right="0" w:firstLine="420" w:firstLineChars="200"/>
              <w:jc w:val="left"/>
              <w:rPr>
                <w:szCs w:val="21"/>
              </w:rPr>
            </w:pPr>
            <w:r>
              <w:rPr>
                <w:rFonts w:hint="eastAsia" w:ascii="宋体" w:hAnsi="宋体" w:cs="宋体"/>
                <w:szCs w:val="21"/>
              </w:rPr>
              <w:t>②</w:t>
            </w:r>
            <w:r>
              <w:rPr>
                <w:szCs w:val="21"/>
              </w:rPr>
              <w:t>排污信息，包括主要污染物及特征污染物的名称、排放方式、排放口数量和分布情况、排放浓度和总量、超标情况，以及执行的污染物排放标准、核定的排放总量；</w:t>
            </w:r>
          </w:p>
          <w:p>
            <w:pPr>
              <w:keepNext w:val="0"/>
              <w:keepLines w:val="0"/>
              <w:suppressLineNumbers w:val="0"/>
              <w:adjustRightInd w:val="0"/>
              <w:snapToGrid w:val="0"/>
              <w:spacing w:before="0" w:beforeAutospacing="0" w:after="0" w:afterAutospacing="0"/>
              <w:ind w:left="0" w:right="0" w:firstLine="420" w:firstLineChars="200"/>
              <w:jc w:val="left"/>
              <w:rPr>
                <w:szCs w:val="21"/>
              </w:rPr>
            </w:pPr>
            <w:r>
              <w:rPr>
                <w:rFonts w:hint="eastAsia" w:ascii="宋体" w:hAnsi="宋体" w:cs="宋体"/>
                <w:szCs w:val="21"/>
              </w:rPr>
              <w:t>③</w:t>
            </w:r>
            <w:r>
              <w:rPr>
                <w:szCs w:val="21"/>
              </w:rPr>
              <w:t>防治污染设施的建设和运行情况；</w:t>
            </w:r>
          </w:p>
          <w:p>
            <w:pPr>
              <w:keepNext w:val="0"/>
              <w:keepLines w:val="0"/>
              <w:suppressLineNumbers w:val="0"/>
              <w:adjustRightInd w:val="0"/>
              <w:snapToGrid w:val="0"/>
              <w:spacing w:before="0" w:beforeAutospacing="0" w:after="0" w:afterAutospacing="0"/>
              <w:ind w:left="0" w:right="0" w:firstLine="420" w:firstLineChars="200"/>
              <w:jc w:val="left"/>
              <w:rPr>
                <w:szCs w:val="21"/>
              </w:rPr>
            </w:pPr>
            <w:r>
              <w:rPr>
                <w:rFonts w:hint="eastAsia" w:ascii="宋体" w:hAnsi="宋体" w:cs="宋体"/>
                <w:szCs w:val="21"/>
              </w:rPr>
              <w:t>④</w:t>
            </w:r>
            <w:r>
              <w:rPr>
                <w:szCs w:val="21"/>
              </w:rPr>
              <w:t>建设项目环境影响评价及其他环境保护行政许可情况；</w:t>
            </w:r>
          </w:p>
          <w:p>
            <w:pPr>
              <w:keepNext w:val="0"/>
              <w:keepLines w:val="0"/>
              <w:suppressLineNumbers w:val="0"/>
              <w:adjustRightInd w:val="0"/>
              <w:snapToGrid w:val="0"/>
              <w:spacing w:before="0" w:beforeAutospacing="0" w:after="0" w:afterAutospacing="0"/>
              <w:ind w:left="0" w:right="0" w:firstLine="420" w:firstLineChars="200"/>
              <w:rPr>
                <w:szCs w:val="21"/>
              </w:rPr>
            </w:pPr>
            <w:r>
              <w:rPr>
                <w:rFonts w:hint="eastAsia" w:ascii="宋体" w:hAnsi="宋体" w:cs="宋体"/>
                <w:szCs w:val="21"/>
              </w:rPr>
              <w:t>⑤</w:t>
            </w:r>
            <w:r>
              <w:rPr>
                <w:szCs w:val="21"/>
              </w:rPr>
              <w:t>编制突发环境事件应急预案。</w:t>
            </w:r>
          </w:p>
        </w:tc>
      </w:tr>
    </w:tbl>
    <w:p>
      <w:pPr>
        <w:pStyle w:val="18"/>
        <w:spacing w:before="0" w:beforeAutospacing="0" w:after="0" w:afterAutospacing="0"/>
        <w:jc w:val="center"/>
        <w:outlineLvl w:val="0"/>
        <w:rPr>
          <w:rFonts w:ascii="黑体" w:hAnsi="黑体" w:eastAsia="黑体"/>
          <w:snapToGrid w:val="0"/>
          <w:sz w:val="30"/>
          <w:szCs w:val="30"/>
        </w:rPr>
      </w:pPr>
      <w:r>
        <w:rPr>
          <w:snapToGrid w:val="0"/>
        </w:rPr>
        <w:br w:type="page"/>
      </w:r>
      <w:bookmarkStart w:id="8" w:name="_Toc18773"/>
      <w:r>
        <w:rPr>
          <w:rFonts w:hint="eastAsia" w:ascii="黑体" w:hAnsi="黑体" w:eastAsia="黑体"/>
          <w:snapToGrid w:val="0"/>
          <w:sz w:val="30"/>
          <w:szCs w:val="30"/>
        </w:rPr>
        <w:t>六、结论</w:t>
      </w:r>
      <w:bookmarkEnd w:id="8"/>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tcPr>
          <w:p>
            <w:pPr>
              <w:keepNext w:val="0"/>
              <w:keepLines w:val="0"/>
              <w:suppressLineNumbers w:val="0"/>
              <w:spacing w:before="0" w:beforeAutospacing="0" w:after="0" w:afterAutospacing="0" w:line="360" w:lineRule="auto"/>
              <w:ind w:left="0" w:right="0" w:firstLine="480" w:firstLineChars="200"/>
              <w:rPr>
                <w:sz w:val="24"/>
              </w:rPr>
            </w:pPr>
            <w:r>
              <w:rPr>
                <w:rFonts w:ascii="宋体" w:hAnsi="宋体" w:cs="宋体"/>
                <w:sz w:val="24"/>
              </w:rPr>
              <w:t>本项目符合国家及地方相关法律法规、产业政策和城市总体规划。项目建成运行后将产生一定程度的废气、废水、固废及噪声的污染，全面落实本评价拟定的各项环境保护措施，项目对周围环境的影响可以控制在国家有关标准和要求的允许范围以内，各污染物能够满足国家和地方规定的污染物排放标准，不改变当地的环境质量功能属性。因此，建设单位在落实本报告提出的各项污染防治措施的前提下，项目的建设是可行的。</w:t>
            </w:r>
          </w:p>
        </w:tc>
      </w:tr>
    </w:tbl>
    <w:p>
      <w:pPr>
        <w:rPr>
          <w:rFonts w:ascii="宋体"/>
        </w:rPr>
        <w:sectPr>
          <w:pgSz w:w="11906" w:h="16838"/>
          <w:pgMar w:top="1701" w:right="1531" w:bottom="1701" w:left="1531" w:header="851" w:footer="851" w:gutter="0"/>
          <w:cols w:space="720" w:num="1"/>
          <w:docGrid w:linePitch="312" w:charSpace="0"/>
        </w:sectPr>
      </w:pPr>
    </w:p>
    <w:p>
      <w:pPr>
        <w:pStyle w:val="18"/>
        <w:adjustRightInd w:val="0"/>
        <w:spacing w:before="0" w:beforeAutospacing="0" w:after="0" w:afterAutospacing="0"/>
        <w:contextualSpacing/>
        <w:outlineLvl w:val="0"/>
        <w:rPr>
          <w:rFonts w:ascii="黑体" w:hAnsi="黑体" w:eastAsia="黑体"/>
          <w:snapToGrid w:val="0"/>
          <w:sz w:val="32"/>
          <w:szCs w:val="32"/>
        </w:rPr>
      </w:pPr>
      <w:bookmarkStart w:id="9" w:name="_Toc31745"/>
      <w:r>
        <w:rPr>
          <w:rFonts w:hint="eastAsia" w:ascii="黑体" w:hAnsi="黑体" w:eastAsia="黑体"/>
          <w:snapToGrid w:val="0"/>
          <w:sz w:val="32"/>
          <w:szCs w:val="32"/>
        </w:rPr>
        <w:t>附表</w:t>
      </w:r>
      <w:bookmarkEnd w:id="9"/>
    </w:p>
    <w:p>
      <w:pPr>
        <w:pStyle w:val="18"/>
        <w:adjustRightInd w:val="0"/>
        <w:spacing w:before="0" w:beforeAutospacing="0" w:after="0" w:afterAutospacing="0"/>
        <w:contextualSpacing/>
        <w:jc w:val="center"/>
        <w:outlineLvl w:val="0"/>
        <w:rPr>
          <w:rFonts w:hint="default" w:ascii="Times New Roman" w:hAnsi="Times New Roman" w:eastAsia="宋体" w:cs="Times New Roman"/>
          <w:b/>
          <w:bCs/>
          <w:snapToGrid w:val="0"/>
          <w:sz w:val="38"/>
          <w:szCs w:val="38"/>
        </w:rPr>
      </w:pPr>
      <w:bookmarkStart w:id="10" w:name="_Toc5498"/>
      <w:r>
        <w:rPr>
          <w:rFonts w:hint="default" w:ascii="Times New Roman" w:hAnsi="Times New Roman" w:eastAsia="宋体" w:cs="Times New Roman"/>
          <w:b/>
          <w:bCs/>
          <w:snapToGrid w:val="0"/>
          <w:sz w:val="38"/>
          <w:szCs w:val="38"/>
        </w:rPr>
        <w:t>建设项目污染物排放量汇总表（t/a）</w:t>
      </w:r>
      <w:bookmarkEnd w:id="10"/>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8"/>
        <w:gridCol w:w="1417"/>
        <w:gridCol w:w="1701"/>
        <w:gridCol w:w="1276"/>
        <w:gridCol w:w="1701"/>
        <w:gridCol w:w="1559"/>
        <w:gridCol w:w="1761"/>
        <w:gridCol w:w="1641"/>
        <w:gridCol w:w="11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tcBorders>
              <w:tl2br w:val="single" w:color="auto" w:sz="4" w:space="0"/>
            </w:tcBorders>
            <w:tcMar>
              <w:left w:w="28" w:type="dxa"/>
              <w:right w:w="28" w:type="dxa"/>
            </w:tcMar>
            <w:vAlign w:val="center"/>
          </w:tcPr>
          <w:p>
            <w:pPr>
              <w:pStyle w:val="36"/>
              <w:keepNext w:val="0"/>
              <w:keepLines w:val="0"/>
              <w:suppressLineNumbers w:val="0"/>
              <w:spacing w:before="0" w:beforeLines="0" w:beforeAutospacing="0" w:after="0" w:afterLines="0" w:afterAutospacing="0" w:line="240" w:lineRule="auto"/>
              <w:ind w:left="0" w:right="0"/>
              <w:jc w:val="right"/>
              <w:rPr>
                <w:rFonts w:ascii="Times New Roman" w:eastAsia="黑体"/>
                <w:snapToGrid w:val="0"/>
                <w:color w:val="000000"/>
                <w:spacing w:val="-6"/>
                <w:kern w:val="21"/>
                <w:szCs w:val="21"/>
              </w:rPr>
            </w:pPr>
            <w:r>
              <w:rPr>
                <w:rFonts w:ascii="Times New Roman" w:eastAsia="黑体"/>
                <w:snapToGrid w:val="0"/>
                <w:color w:val="000000"/>
                <w:spacing w:val="-6"/>
                <w:kern w:val="21"/>
                <w:szCs w:val="21"/>
              </w:rPr>
              <w:t>项目</w:t>
            </w:r>
          </w:p>
          <w:p>
            <w:pPr>
              <w:pStyle w:val="36"/>
              <w:keepNext w:val="0"/>
              <w:keepLines w:val="0"/>
              <w:suppressLineNumbers w:val="0"/>
              <w:spacing w:before="0" w:beforeLines="0" w:beforeAutospacing="0" w:after="0" w:afterLines="0" w:afterAutospacing="0" w:line="240" w:lineRule="auto"/>
              <w:ind w:left="0" w:right="0"/>
              <w:jc w:val="left"/>
              <w:rPr>
                <w:rFonts w:ascii="Times New Roman" w:eastAsia="黑体"/>
                <w:snapToGrid w:val="0"/>
                <w:color w:val="000000"/>
                <w:spacing w:val="-6"/>
                <w:kern w:val="21"/>
                <w:szCs w:val="21"/>
              </w:rPr>
            </w:pPr>
            <w:r>
              <w:rPr>
                <w:rFonts w:ascii="Times New Roman" w:eastAsia="黑体"/>
                <w:snapToGrid w:val="0"/>
                <w:color w:val="000000"/>
                <w:spacing w:val="-6"/>
                <w:kern w:val="21"/>
                <w:szCs w:val="21"/>
              </w:rPr>
              <w:t>分类</w:t>
            </w:r>
          </w:p>
        </w:tc>
        <w:tc>
          <w:tcPr>
            <w:tcW w:w="1417" w:type="dxa"/>
            <w:tcMar>
              <w:left w:w="28" w:type="dxa"/>
              <w:right w:w="28" w:type="dxa"/>
            </w:tcMar>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eastAsia="黑体"/>
                <w:snapToGrid w:val="0"/>
                <w:color w:val="000000"/>
                <w:spacing w:val="-6"/>
                <w:kern w:val="21"/>
                <w:szCs w:val="21"/>
              </w:rPr>
            </w:pPr>
            <w:r>
              <w:rPr>
                <w:rFonts w:ascii="Times New Roman" w:eastAsia="黑体"/>
                <w:snapToGrid w:val="0"/>
                <w:color w:val="000000"/>
                <w:spacing w:val="-6"/>
                <w:kern w:val="21"/>
                <w:szCs w:val="21"/>
              </w:rPr>
              <w:t>污染物名称</w:t>
            </w:r>
          </w:p>
        </w:tc>
        <w:tc>
          <w:tcPr>
            <w:tcW w:w="1701" w:type="dxa"/>
            <w:tcMar>
              <w:left w:w="28" w:type="dxa"/>
              <w:right w:w="28" w:type="dxa"/>
            </w:tcMar>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eastAsia="黑体"/>
                <w:snapToGrid w:val="0"/>
                <w:color w:val="000000"/>
                <w:spacing w:val="-6"/>
                <w:kern w:val="21"/>
                <w:szCs w:val="21"/>
              </w:rPr>
            </w:pPr>
            <w:r>
              <w:rPr>
                <w:rFonts w:ascii="Times New Roman" w:eastAsia="黑体"/>
                <w:snapToGrid w:val="0"/>
                <w:color w:val="000000"/>
                <w:spacing w:val="-6"/>
                <w:kern w:val="21"/>
                <w:szCs w:val="21"/>
              </w:rPr>
              <w:t>现有工程</w:t>
            </w:r>
          </w:p>
          <w:p>
            <w:pPr>
              <w:pStyle w:val="36"/>
              <w:keepNext w:val="0"/>
              <w:keepLines w:val="0"/>
              <w:suppressLineNumbers w:val="0"/>
              <w:spacing w:before="0" w:beforeLines="0" w:beforeAutospacing="0" w:after="0" w:afterLines="0" w:afterAutospacing="0" w:line="240" w:lineRule="auto"/>
              <w:ind w:left="0" w:right="0"/>
              <w:rPr>
                <w:rFonts w:ascii="Times New Roman" w:eastAsia="黑体"/>
                <w:snapToGrid w:val="0"/>
                <w:color w:val="000000"/>
                <w:spacing w:val="-6"/>
                <w:kern w:val="21"/>
                <w:szCs w:val="21"/>
              </w:rPr>
            </w:pPr>
            <w:r>
              <w:rPr>
                <w:rFonts w:ascii="Times New Roman" w:eastAsia="黑体"/>
                <w:snapToGrid w:val="0"/>
                <w:color w:val="000000"/>
                <w:spacing w:val="-6"/>
                <w:kern w:val="21"/>
                <w:szCs w:val="21"/>
              </w:rPr>
              <w:t>排放量（固体废物产生量）</w:t>
            </w:r>
            <w:r>
              <w:rPr>
                <w:rFonts w:ascii="Times New Roman" w:eastAsia="黑体"/>
                <w:snapToGrid w:val="0"/>
                <w:color w:val="000000"/>
                <w:spacing w:val="-6"/>
                <w:kern w:val="21"/>
                <w:szCs w:val="21"/>
              </w:rPr>
              <w:fldChar w:fldCharType="begin"/>
            </w:r>
            <w:r>
              <w:rPr>
                <w:rFonts w:ascii="Times New Roman" w:eastAsia="黑体"/>
                <w:snapToGrid w:val="0"/>
                <w:color w:val="000000"/>
                <w:spacing w:val="-6"/>
                <w:kern w:val="21"/>
                <w:szCs w:val="21"/>
              </w:rPr>
              <w:instrText xml:space="preserve"> = 1 \* GB3 \* MERGEFORMAT </w:instrText>
            </w:r>
            <w:r>
              <w:rPr>
                <w:rFonts w:ascii="Times New Roman" w:eastAsia="黑体"/>
                <w:snapToGrid w:val="0"/>
                <w:color w:val="000000"/>
                <w:spacing w:val="-6"/>
                <w:kern w:val="21"/>
                <w:szCs w:val="21"/>
              </w:rPr>
              <w:fldChar w:fldCharType="separate"/>
            </w:r>
            <w:r>
              <w:rPr>
                <w:rFonts w:hint="eastAsia" w:hAnsi="宋体" w:cs="宋体"/>
                <w:kern w:val="2"/>
                <w:szCs w:val="21"/>
              </w:rPr>
              <w:t>①</w:t>
            </w:r>
            <w:r>
              <w:rPr>
                <w:rFonts w:ascii="Times New Roman" w:eastAsia="黑体"/>
                <w:snapToGrid w:val="0"/>
                <w:color w:val="000000"/>
                <w:spacing w:val="-6"/>
                <w:kern w:val="21"/>
                <w:szCs w:val="21"/>
              </w:rPr>
              <w:fldChar w:fldCharType="end"/>
            </w:r>
          </w:p>
        </w:tc>
        <w:tc>
          <w:tcPr>
            <w:tcW w:w="1276" w:type="dxa"/>
            <w:tcMar>
              <w:left w:w="28" w:type="dxa"/>
              <w:right w:w="28" w:type="dxa"/>
            </w:tcMar>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eastAsia="黑体"/>
                <w:snapToGrid w:val="0"/>
                <w:color w:val="000000"/>
                <w:spacing w:val="-6"/>
                <w:kern w:val="21"/>
                <w:szCs w:val="21"/>
              </w:rPr>
            </w:pPr>
            <w:r>
              <w:rPr>
                <w:rFonts w:ascii="Times New Roman" w:eastAsia="黑体"/>
                <w:snapToGrid w:val="0"/>
                <w:color w:val="000000"/>
                <w:spacing w:val="-6"/>
                <w:kern w:val="21"/>
                <w:szCs w:val="21"/>
              </w:rPr>
              <w:t>现有工程</w:t>
            </w:r>
          </w:p>
          <w:p>
            <w:pPr>
              <w:pStyle w:val="36"/>
              <w:keepNext w:val="0"/>
              <w:keepLines w:val="0"/>
              <w:suppressLineNumbers w:val="0"/>
              <w:spacing w:before="0" w:beforeLines="0" w:beforeAutospacing="0" w:after="0" w:afterLines="0" w:afterAutospacing="0" w:line="240" w:lineRule="auto"/>
              <w:ind w:left="0" w:right="0"/>
              <w:rPr>
                <w:rFonts w:ascii="Times New Roman" w:eastAsia="黑体"/>
                <w:snapToGrid w:val="0"/>
                <w:color w:val="000000"/>
                <w:spacing w:val="-6"/>
                <w:kern w:val="21"/>
                <w:szCs w:val="21"/>
              </w:rPr>
            </w:pPr>
            <w:r>
              <w:rPr>
                <w:rFonts w:ascii="Times New Roman" w:eastAsia="黑体"/>
                <w:snapToGrid w:val="0"/>
                <w:color w:val="000000"/>
                <w:spacing w:val="-6"/>
                <w:kern w:val="21"/>
                <w:szCs w:val="21"/>
              </w:rPr>
              <w:t>许可排放量</w:t>
            </w:r>
          </w:p>
          <w:p>
            <w:pPr>
              <w:pStyle w:val="36"/>
              <w:keepNext w:val="0"/>
              <w:keepLines w:val="0"/>
              <w:suppressLineNumbers w:val="0"/>
              <w:spacing w:before="0" w:beforeLines="0" w:beforeAutospacing="0" w:after="0" w:afterLines="0" w:afterAutospacing="0"/>
              <w:ind w:left="0" w:right="0"/>
              <w:rPr>
                <w:rFonts w:ascii="Times New Roman" w:eastAsia="黑体"/>
                <w:snapToGrid w:val="0"/>
                <w:color w:val="000000"/>
                <w:spacing w:val="-6"/>
                <w:kern w:val="21"/>
                <w:szCs w:val="21"/>
              </w:rPr>
            </w:pPr>
            <w:r>
              <w:rPr>
                <w:rFonts w:ascii="Times New Roman" w:eastAsia="黑体"/>
                <w:snapToGrid w:val="0"/>
                <w:color w:val="000000"/>
                <w:spacing w:val="-6"/>
                <w:kern w:val="21"/>
                <w:szCs w:val="21"/>
              </w:rPr>
              <w:fldChar w:fldCharType="begin"/>
            </w:r>
            <w:r>
              <w:rPr>
                <w:rFonts w:ascii="Times New Roman" w:eastAsia="黑体"/>
                <w:snapToGrid w:val="0"/>
                <w:color w:val="000000"/>
                <w:spacing w:val="-6"/>
                <w:kern w:val="21"/>
                <w:szCs w:val="21"/>
              </w:rPr>
              <w:instrText xml:space="preserve"> = 2 \* GB3 \* MERGEFORMAT </w:instrText>
            </w:r>
            <w:r>
              <w:rPr>
                <w:rFonts w:ascii="Times New Roman" w:eastAsia="黑体"/>
                <w:snapToGrid w:val="0"/>
                <w:color w:val="000000"/>
                <w:spacing w:val="-6"/>
                <w:kern w:val="21"/>
                <w:szCs w:val="21"/>
              </w:rPr>
              <w:fldChar w:fldCharType="separate"/>
            </w:r>
            <w:r>
              <w:rPr>
                <w:rFonts w:hint="eastAsia" w:hAnsi="宋体" w:cs="宋体"/>
                <w:snapToGrid w:val="0"/>
                <w:color w:val="000000"/>
                <w:spacing w:val="-6"/>
                <w:kern w:val="21"/>
                <w:szCs w:val="21"/>
              </w:rPr>
              <w:t>②</w:t>
            </w:r>
            <w:r>
              <w:rPr>
                <w:rFonts w:ascii="Times New Roman" w:eastAsia="黑体"/>
                <w:snapToGrid w:val="0"/>
                <w:color w:val="000000"/>
                <w:spacing w:val="-6"/>
                <w:kern w:val="21"/>
                <w:szCs w:val="21"/>
              </w:rPr>
              <w:fldChar w:fldCharType="end"/>
            </w:r>
          </w:p>
        </w:tc>
        <w:tc>
          <w:tcPr>
            <w:tcW w:w="1701" w:type="dxa"/>
            <w:tcMar>
              <w:left w:w="28" w:type="dxa"/>
              <w:right w:w="28" w:type="dxa"/>
            </w:tcMar>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eastAsia="黑体"/>
                <w:snapToGrid w:val="0"/>
                <w:color w:val="000000"/>
                <w:spacing w:val="-6"/>
                <w:kern w:val="21"/>
                <w:szCs w:val="21"/>
              </w:rPr>
            </w:pPr>
            <w:r>
              <w:rPr>
                <w:rFonts w:ascii="Times New Roman" w:eastAsia="黑体"/>
                <w:snapToGrid w:val="0"/>
                <w:color w:val="000000"/>
                <w:spacing w:val="-6"/>
                <w:kern w:val="21"/>
                <w:szCs w:val="21"/>
              </w:rPr>
              <w:t>在建工程</w:t>
            </w:r>
          </w:p>
          <w:p>
            <w:pPr>
              <w:pStyle w:val="36"/>
              <w:keepNext w:val="0"/>
              <w:keepLines w:val="0"/>
              <w:suppressLineNumbers w:val="0"/>
              <w:spacing w:before="0" w:beforeLines="0" w:beforeAutospacing="0" w:after="0" w:afterLines="0" w:afterAutospacing="0" w:line="240" w:lineRule="auto"/>
              <w:ind w:left="0" w:right="0"/>
              <w:rPr>
                <w:rFonts w:ascii="Times New Roman" w:eastAsia="黑体"/>
                <w:snapToGrid w:val="0"/>
                <w:color w:val="000000"/>
                <w:spacing w:val="-6"/>
                <w:kern w:val="21"/>
                <w:szCs w:val="21"/>
              </w:rPr>
            </w:pPr>
            <w:r>
              <w:rPr>
                <w:rFonts w:ascii="Times New Roman" w:eastAsia="黑体"/>
                <w:snapToGrid w:val="0"/>
                <w:color w:val="000000"/>
                <w:spacing w:val="-6"/>
                <w:kern w:val="21"/>
                <w:szCs w:val="21"/>
              </w:rPr>
              <w:t>排放量（固体废物产生量）</w:t>
            </w:r>
            <w:r>
              <w:rPr>
                <w:rFonts w:ascii="Times New Roman" w:eastAsia="黑体"/>
                <w:snapToGrid w:val="0"/>
                <w:color w:val="000000"/>
                <w:spacing w:val="-6"/>
                <w:kern w:val="21"/>
                <w:szCs w:val="21"/>
              </w:rPr>
              <w:fldChar w:fldCharType="begin"/>
            </w:r>
            <w:r>
              <w:rPr>
                <w:rFonts w:ascii="Times New Roman" w:eastAsia="黑体"/>
                <w:snapToGrid w:val="0"/>
                <w:color w:val="000000"/>
                <w:spacing w:val="-6"/>
                <w:kern w:val="21"/>
                <w:szCs w:val="21"/>
              </w:rPr>
              <w:instrText xml:space="preserve"> = 3 \* GB3 \* MERGEFORMAT </w:instrText>
            </w:r>
            <w:r>
              <w:rPr>
                <w:rFonts w:ascii="Times New Roman" w:eastAsia="黑体"/>
                <w:snapToGrid w:val="0"/>
                <w:color w:val="000000"/>
                <w:spacing w:val="-6"/>
                <w:kern w:val="21"/>
                <w:szCs w:val="21"/>
              </w:rPr>
              <w:fldChar w:fldCharType="separate"/>
            </w:r>
            <w:r>
              <w:rPr>
                <w:rFonts w:hint="eastAsia" w:hAnsi="宋体" w:cs="宋体"/>
                <w:kern w:val="2"/>
                <w:szCs w:val="21"/>
              </w:rPr>
              <w:t>③</w:t>
            </w:r>
            <w:r>
              <w:rPr>
                <w:rFonts w:ascii="Times New Roman" w:eastAsia="黑体"/>
                <w:snapToGrid w:val="0"/>
                <w:color w:val="000000"/>
                <w:spacing w:val="-6"/>
                <w:kern w:val="21"/>
                <w:szCs w:val="21"/>
              </w:rPr>
              <w:fldChar w:fldCharType="end"/>
            </w:r>
          </w:p>
        </w:tc>
        <w:tc>
          <w:tcPr>
            <w:tcW w:w="1559" w:type="dxa"/>
            <w:tcMar>
              <w:left w:w="28" w:type="dxa"/>
              <w:right w:w="28" w:type="dxa"/>
            </w:tcMar>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eastAsia="黑体"/>
                <w:snapToGrid w:val="0"/>
                <w:color w:val="000000"/>
                <w:spacing w:val="-6"/>
                <w:kern w:val="21"/>
                <w:szCs w:val="21"/>
              </w:rPr>
            </w:pPr>
            <w:r>
              <w:rPr>
                <w:rFonts w:ascii="Times New Roman" w:eastAsia="黑体"/>
                <w:snapToGrid w:val="0"/>
                <w:color w:val="000000"/>
                <w:spacing w:val="-6"/>
                <w:kern w:val="21"/>
                <w:szCs w:val="21"/>
              </w:rPr>
              <w:t>本项目</w:t>
            </w:r>
          </w:p>
          <w:p>
            <w:pPr>
              <w:pStyle w:val="36"/>
              <w:keepNext w:val="0"/>
              <w:keepLines w:val="0"/>
              <w:suppressLineNumbers w:val="0"/>
              <w:spacing w:before="0" w:beforeLines="0" w:beforeAutospacing="0" w:after="0" w:afterLines="0" w:afterAutospacing="0" w:line="240" w:lineRule="auto"/>
              <w:ind w:left="0" w:right="0"/>
              <w:rPr>
                <w:rFonts w:ascii="Times New Roman" w:eastAsia="黑体"/>
                <w:snapToGrid w:val="0"/>
                <w:color w:val="000000"/>
                <w:spacing w:val="-6"/>
                <w:kern w:val="21"/>
                <w:szCs w:val="21"/>
              </w:rPr>
            </w:pPr>
            <w:r>
              <w:rPr>
                <w:rFonts w:ascii="Times New Roman" w:eastAsia="黑体"/>
                <w:snapToGrid w:val="0"/>
                <w:color w:val="000000"/>
                <w:spacing w:val="-6"/>
                <w:kern w:val="21"/>
                <w:szCs w:val="21"/>
              </w:rPr>
              <w:t>排放量（固体废物产生量）</w:t>
            </w:r>
            <w:r>
              <w:rPr>
                <w:rFonts w:ascii="Times New Roman" w:eastAsia="黑体"/>
                <w:snapToGrid w:val="0"/>
                <w:color w:val="000000"/>
                <w:spacing w:val="-6"/>
                <w:kern w:val="21"/>
                <w:szCs w:val="21"/>
              </w:rPr>
              <w:fldChar w:fldCharType="begin"/>
            </w:r>
            <w:r>
              <w:rPr>
                <w:rFonts w:ascii="Times New Roman" w:eastAsia="黑体"/>
                <w:snapToGrid w:val="0"/>
                <w:color w:val="000000"/>
                <w:spacing w:val="-6"/>
                <w:kern w:val="21"/>
                <w:szCs w:val="21"/>
              </w:rPr>
              <w:instrText xml:space="preserve"> = 4 \* GB3 \* MERGEFORMAT </w:instrText>
            </w:r>
            <w:r>
              <w:rPr>
                <w:rFonts w:ascii="Times New Roman" w:eastAsia="黑体"/>
                <w:snapToGrid w:val="0"/>
                <w:color w:val="000000"/>
                <w:spacing w:val="-6"/>
                <w:kern w:val="21"/>
                <w:szCs w:val="21"/>
              </w:rPr>
              <w:fldChar w:fldCharType="separate"/>
            </w:r>
            <w:r>
              <w:rPr>
                <w:rFonts w:hint="eastAsia" w:hAnsi="宋体" w:cs="宋体"/>
                <w:kern w:val="2"/>
                <w:szCs w:val="21"/>
              </w:rPr>
              <w:t>④</w:t>
            </w:r>
            <w:r>
              <w:rPr>
                <w:rFonts w:ascii="Times New Roman" w:eastAsia="黑体"/>
                <w:snapToGrid w:val="0"/>
                <w:color w:val="000000"/>
                <w:spacing w:val="-6"/>
                <w:kern w:val="21"/>
                <w:szCs w:val="21"/>
              </w:rPr>
              <w:fldChar w:fldCharType="end"/>
            </w:r>
          </w:p>
        </w:tc>
        <w:tc>
          <w:tcPr>
            <w:tcW w:w="1761" w:type="dxa"/>
            <w:tcMar>
              <w:left w:w="28" w:type="dxa"/>
              <w:right w:w="28" w:type="dxa"/>
            </w:tcMar>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eastAsia="黑体"/>
                <w:snapToGrid w:val="0"/>
                <w:color w:val="000000"/>
                <w:spacing w:val="-16"/>
                <w:kern w:val="21"/>
                <w:szCs w:val="21"/>
              </w:rPr>
            </w:pPr>
            <w:r>
              <w:rPr>
                <w:rFonts w:ascii="Times New Roman" w:eastAsia="黑体"/>
                <w:snapToGrid w:val="0"/>
                <w:color w:val="000000"/>
                <w:spacing w:val="-16"/>
                <w:kern w:val="21"/>
                <w:szCs w:val="21"/>
              </w:rPr>
              <w:t>以新带老削减量</w:t>
            </w:r>
          </w:p>
          <w:p>
            <w:pPr>
              <w:pStyle w:val="36"/>
              <w:keepNext w:val="0"/>
              <w:keepLines w:val="0"/>
              <w:suppressLineNumbers w:val="0"/>
              <w:spacing w:before="0" w:beforeLines="0" w:beforeAutospacing="0" w:after="0" w:afterLines="0" w:afterAutospacing="0" w:line="240" w:lineRule="auto"/>
              <w:ind w:left="0" w:right="0"/>
              <w:rPr>
                <w:rFonts w:ascii="Times New Roman" w:eastAsia="黑体"/>
                <w:snapToGrid w:val="0"/>
                <w:color w:val="000000"/>
                <w:spacing w:val="-16"/>
                <w:kern w:val="21"/>
                <w:szCs w:val="21"/>
              </w:rPr>
            </w:pPr>
            <w:r>
              <w:rPr>
                <w:rFonts w:ascii="Times New Roman" w:eastAsia="黑体"/>
                <w:snapToGrid w:val="0"/>
                <w:color w:val="000000"/>
                <w:spacing w:val="-16"/>
                <w:kern w:val="21"/>
                <w:szCs w:val="21"/>
              </w:rPr>
              <w:t>（新建项目不填）</w:t>
            </w:r>
            <w:r>
              <w:rPr>
                <w:rFonts w:ascii="Times New Roman" w:eastAsia="黑体"/>
                <w:snapToGrid w:val="0"/>
                <w:color w:val="000000"/>
                <w:spacing w:val="-16"/>
                <w:kern w:val="21"/>
                <w:szCs w:val="21"/>
              </w:rPr>
              <w:fldChar w:fldCharType="begin"/>
            </w:r>
            <w:r>
              <w:rPr>
                <w:rFonts w:ascii="Times New Roman" w:eastAsia="黑体"/>
                <w:snapToGrid w:val="0"/>
                <w:color w:val="000000"/>
                <w:spacing w:val="-16"/>
                <w:kern w:val="21"/>
                <w:szCs w:val="21"/>
              </w:rPr>
              <w:instrText xml:space="preserve"> = 5 \* GB3 \* MERGEFORMAT </w:instrText>
            </w:r>
            <w:r>
              <w:rPr>
                <w:rFonts w:ascii="Times New Roman" w:eastAsia="黑体"/>
                <w:snapToGrid w:val="0"/>
                <w:color w:val="000000"/>
                <w:spacing w:val="-16"/>
                <w:kern w:val="21"/>
                <w:szCs w:val="21"/>
              </w:rPr>
              <w:fldChar w:fldCharType="separate"/>
            </w:r>
            <w:r>
              <w:rPr>
                <w:rFonts w:hint="eastAsia" w:hAnsi="宋体" w:cs="宋体"/>
                <w:kern w:val="2"/>
                <w:szCs w:val="21"/>
              </w:rPr>
              <w:t>⑤</w:t>
            </w:r>
            <w:r>
              <w:rPr>
                <w:rFonts w:ascii="Times New Roman" w:eastAsia="黑体"/>
                <w:snapToGrid w:val="0"/>
                <w:color w:val="000000"/>
                <w:spacing w:val="-16"/>
                <w:kern w:val="21"/>
                <w:szCs w:val="21"/>
              </w:rPr>
              <w:fldChar w:fldCharType="end"/>
            </w:r>
          </w:p>
        </w:tc>
        <w:tc>
          <w:tcPr>
            <w:tcW w:w="1641" w:type="dxa"/>
            <w:tcMar>
              <w:left w:w="28" w:type="dxa"/>
              <w:right w:w="28" w:type="dxa"/>
            </w:tcMar>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eastAsia="黑体"/>
                <w:snapToGrid w:val="0"/>
                <w:color w:val="000000"/>
                <w:spacing w:val="-16"/>
                <w:kern w:val="21"/>
                <w:szCs w:val="21"/>
              </w:rPr>
            </w:pPr>
            <w:r>
              <w:rPr>
                <w:rFonts w:ascii="Times New Roman" w:eastAsia="黑体"/>
                <w:snapToGrid w:val="0"/>
                <w:color w:val="000000"/>
                <w:spacing w:val="-16"/>
                <w:kern w:val="21"/>
                <w:szCs w:val="21"/>
              </w:rPr>
              <w:t>本项目建成后</w:t>
            </w:r>
          </w:p>
          <w:p>
            <w:pPr>
              <w:pStyle w:val="36"/>
              <w:keepNext w:val="0"/>
              <w:keepLines w:val="0"/>
              <w:suppressLineNumbers w:val="0"/>
              <w:spacing w:before="0" w:beforeLines="0" w:beforeAutospacing="0" w:after="0" w:afterLines="0" w:afterAutospacing="0" w:line="240" w:lineRule="auto"/>
              <w:ind w:left="0" w:right="0"/>
              <w:rPr>
                <w:rFonts w:ascii="Times New Roman" w:eastAsia="黑体"/>
                <w:snapToGrid w:val="0"/>
                <w:color w:val="000000"/>
                <w:spacing w:val="-16"/>
                <w:kern w:val="21"/>
                <w:szCs w:val="21"/>
              </w:rPr>
            </w:pPr>
            <w:r>
              <w:rPr>
                <w:rFonts w:ascii="Times New Roman" w:eastAsia="黑体"/>
                <w:snapToGrid w:val="0"/>
                <w:color w:val="000000"/>
                <w:spacing w:val="-16"/>
                <w:kern w:val="21"/>
                <w:szCs w:val="21"/>
              </w:rPr>
              <w:t>全厂排放量（固体废物产生量）</w:t>
            </w:r>
            <w:r>
              <w:rPr>
                <w:rFonts w:ascii="Times New Roman" w:eastAsia="黑体"/>
                <w:snapToGrid w:val="0"/>
                <w:color w:val="000000"/>
                <w:spacing w:val="-16"/>
                <w:kern w:val="21"/>
                <w:szCs w:val="21"/>
              </w:rPr>
              <w:fldChar w:fldCharType="begin"/>
            </w:r>
            <w:r>
              <w:rPr>
                <w:rFonts w:ascii="Times New Roman" w:eastAsia="黑体"/>
                <w:snapToGrid w:val="0"/>
                <w:color w:val="000000"/>
                <w:spacing w:val="-16"/>
                <w:kern w:val="21"/>
                <w:szCs w:val="21"/>
              </w:rPr>
              <w:instrText xml:space="preserve"> = 6 \* GB3 \* MERGEFORMAT </w:instrText>
            </w:r>
            <w:r>
              <w:rPr>
                <w:rFonts w:ascii="Times New Roman" w:eastAsia="黑体"/>
                <w:snapToGrid w:val="0"/>
                <w:color w:val="000000"/>
                <w:spacing w:val="-16"/>
                <w:kern w:val="21"/>
                <w:szCs w:val="21"/>
              </w:rPr>
              <w:fldChar w:fldCharType="separate"/>
            </w:r>
            <w:r>
              <w:rPr>
                <w:rFonts w:hint="eastAsia" w:hAnsi="宋体" w:cs="宋体"/>
                <w:kern w:val="2"/>
                <w:szCs w:val="21"/>
              </w:rPr>
              <w:t>⑥</w:t>
            </w:r>
            <w:r>
              <w:rPr>
                <w:rFonts w:ascii="Times New Roman" w:eastAsia="黑体"/>
                <w:snapToGrid w:val="0"/>
                <w:color w:val="000000"/>
                <w:spacing w:val="-16"/>
                <w:kern w:val="21"/>
                <w:szCs w:val="21"/>
              </w:rPr>
              <w:fldChar w:fldCharType="end"/>
            </w:r>
          </w:p>
        </w:tc>
        <w:tc>
          <w:tcPr>
            <w:tcW w:w="1144" w:type="dxa"/>
            <w:tcMar>
              <w:left w:w="28" w:type="dxa"/>
              <w:right w:w="28" w:type="dxa"/>
            </w:tcMar>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eastAsia="黑体"/>
                <w:snapToGrid w:val="0"/>
                <w:color w:val="000000"/>
                <w:spacing w:val="-6"/>
                <w:kern w:val="21"/>
                <w:szCs w:val="21"/>
              </w:rPr>
            </w:pPr>
            <w:r>
              <w:rPr>
                <w:rFonts w:ascii="Times New Roman" w:eastAsia="黑体"/>
                <w:snapToGrid w:val="0"/>
                <w:color w:val="000000"/>
                <w:spacing w:val="-6"/>
                <w:kern w:val="21"/>
                <w:szCs w:val="21"/>
              </w:rPr>
              <w:t>变化量</w:t>
            </w:r>
          </w:p>
          <w:p>
            <w:pPr>
              <w:pStyle w:val="36"/>
              <w:keepNext w:val="0"/>
              <w:keepLines w:val="0"/>
              <w:suppressLineNumbers w:val="0"/>
              <w:spacing w:before="0" w:beforeLines="0" w:beforeAutospacing="0" w:after="0" w:afterLines="0" w:afterAutospacing="0" w:line="240" w:lineRule="auto"/>
              <w:ind w:left="0" w:right="0"/>
              <w:rPr>
                <w:rFonts w:ascii="Times New Roman" w:eastAsia="黑体"/>
                <w:snapToGrid w:val="0"/>
                <w:color w:val="000000"/>
                <w:spacing w:val="-6"/>
                <w:kern w:val="21"/>
                <w:szCs w:val="21"/>
              </w:rPr>
            </w:pPr>
            <w:r>
              <w:rPr>
                <w:rFonts w:ascii="Times New Roman" w:eastAsia="黑体"/>
                <w:snapToGrid w:val="0"/>
                <w:color w:val="000000"/>
                <w:spacing w:val="-6"/>
                <w:kern w:val="21"/>
                <w:szCs w:val="21"/>
              </w:rPr>
              <w:fldChar w:fldCharType="begin"/>
            </w:r>
            <w:r>
              <w:rPr>
                <w:rFonts w:ascii="Times New Roman" w:eastAsia="黑体"/>
                <w:snapToGrid w:val="0"/>
                <w:color w:val="000000"/>
                <w:spacing w:val="-6"/>
                <w:kern w:val="21"/>
                <w:szCs w:val="21"/>
              </w:rPr>
              <w:instrText xml:space="preserve"> = 7 \* GB3 \* MERGEFORMAT </w:instrText>
            </w:r>
            <w:r>
              <w:rPr>
                <w:rFonts w:ascii="Times New Roman" w:eastAsia="黑体"/>
                <w:snapToGrid w:val="0"/>
                <w:color w:val="000000"/>
                <w:spacing w:val="-6"/>
                <w:kern w:val="21"/>
                <w:szCs w:val="21"/>
              </w:rPr>
              <w:fldChar w:fldCharType="separate"/>
            </w:r>
            <w:r>
              <w:rPr>
                <w:rFonts w:hint="eastAsia" w:hAnsi="宋体" w:cs="宋体"/>
                <w:kern w:val="2"/>
                <w:szCs w:val="21"/>
              </w:rPr>
              <w:t>⑦</w:t>
            </w:r>
            <w:r>
              <w:rPr>
                <w:rFonts w:ascii="Times New Roman" w:eastAsia="黑体"/>
                <w:snapToGrid w:val="0"/>
                <w:color w:val="000000"/>
                <w:spacing w:val="-6"/>
                <w:kern w:val="21"/>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vMerge w:val="restart"/>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ascii="Times New Roman"/>
                <w:snapToGrid w:val="0"/>
                <w:color w:val="000000"/>
                <w:kern w:val="21"/>
                <w:szCs w:val="21"/>
              </w:rPr>
              <w:t>废气</w:t>
            </w:r>
          </w:p>
        </w:tc>
        <w:tc>
          <w:tcPr>
            <w:tcW w:w="1417"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ascii="Times New Roman"/>
                <w:snapToGrid w:val="0"/>
                <w:color w:val="000000"/>
                <w:kern w:val="21"/>
                <w:szCs w:val="21"/>
              </w:rPr>
              <w:t>VOCs</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276"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559" w:type="dxa"/>
            <w:vAlign w:val="center"/>
          </w:tcPr>
          <w:p>
            <w:pPr>
              <w:pStyle w:val="36"/>
              <w:keepNext w:val="0"/>
              <w:keepLines w:val="0"/>
              <w:suppressLineNumbers w:val="0"/>
              <w:spacing w:before="0" w:beforeLines="0" w:beforeAutospacing="0" w:after="0" w:afterLines="0" w:afterAutospacing="0" w:line="240" w:lineRule="auto"/>
              <w:ind w:left="0" w:right="0"/>
              <w:rPr>
                <w:rFonts w:hint="default" w:ascii="Times New Roman" w:eastAsia="宋体"/>
                <w:snapToGrid w:val="0"/>
                <w:color w:val="000000"/>
                <w:kern w:val="21"/>
                <w:szCs w:val="21"/>
                <w:lang w:val="en-US" w:eastAsia="zh-CN"/>
              </w:rPr>
            </w:pPr>
            <w:r>
              <w:rPr>
                <w:rFonts w:hint="eastAsia" w:ascii="Times New Roman"/>
                <w:snapToGrid w:val="0"/>
                <w:color w:val="000000"/>
                <w:kern w:val="21"/>
                <w:szCs w:val="21"/>
              </w:rPr>
              <w:t>0.</w:t>
            </w:r>
            <w:r>
              <w:rPr>
                <w:rFonts w:hint="eastAsia" w:ascii="Times New Roman"/>
                <w:snapToGrid w:val="0"/>
                <w:color w:val="000000"/>
                <w:kern w:val="21"/>
                <w:szCs w:val="21"/>
                <w:lang w:val="en-US" w:eastAsia="zh-CN"/>
              </w:rPr>
              <w:t>111</w:t>
            </w:r>
          </w:p>
        </w:tc>
        <w:tc>
          <w:tcPr>
            <w:tcW w:w="1761" w:type="dxa"/>
            <w:vAlign w:val="center"/>
          </w:tcPr>
          <w:p>
            <w:pPr>
              <w:keepNext w:val="0"/>
              <w:keepLines w:val="0"/>
              <w:suppressLineNumbers w:val="0"/>
              <w:spacing w:before="0" w:beforeAutospacing="0" w:after="0" w:afterAutospacing="0"/>
              <w:ind w:left="0" w:right="0"/>
              <w:jc w:val="center"/>
            </w:pPr>
            <w:r>
              <w:rPr>
                <w:rFonts w:hint="eastAsia"/>
                <w:snapToGrid w:val="0"/>
                <w:color w:val="000000"/>
                <w:kern w:val="21"/>
                <w:szCs w:val="21"/>
              </w:rPr>
              <w:t>0</w:t>
            </w:r>
          </w:p>
        </w:tc>
        <w:tc>
          <w:tcPr>
            <w:tcW w:w="1641" w:type="dxa"/>
            <w:vAlign w:val="center"/>
          </w:tcPr>
          <w:p>
            <w:pPr>
              <w:pStyle w:val="36"/>
              <w:keepNext w:val="0"/>
              <w:keepLines w:val="0"/>
              <w:suppressLineNumbers w:val="0"/>
              <w:spacing w:before="0" w:beforeLines="0" w:beforeAutospacing="0" w:after="0" w:afterLines="0" w:afterAutospacing="0" w:line="240" w:lineRule="auto"/>
              <w:ind w:left="0" w:right="0"/>
              <w:rPr>
                <w:rFonts w:hint="default" w:ascii="Times New Roman"/>
                <w:snapToGrid w:val="0"/>
                <w:color w:val="000000"/>
                <w:kern w:val="21"/>
                <w:szCs w:val="21"/>
                <w:lang w:val="en-US"/>
              </w:rPr>
            </w:pPr>
            <w:r>
              <w:rPr>
                <w:rFonts w:hint="eastAsia" w:ascii="Times New Roman"/>
                <w:snapToGrid w:val="0"/>
                <w:color w:val="000000"/>
                <w:kern w:val="21"/>
                <w:szCs w:val="21"/>
              </w:rPr>
              <w:t>0.</w:t>
            </w:r>
            <w:r>
              <w:rPr>
                <w:rFonts w:hint="eastAsia" w:ascii="Times New Roman"/>
                <w:snapToGrid w:val="0"/>
                <w:color w:val="000000"/>
                <w:kern w:val="21"/>
                <w:szCs w:val="21"/>
                <w:lang w:val="en-US" w:eastAsia="zh-CN"/>
              </w:rPr>
              <w:t>111</w:t>
            </w:r>
          </w:p>
        </w:tc>
        <w:tc>
          <w:tcPr>
            <w:tcW w:w="1144" w:type="dxa"/>
            <w:vAlign w:val="center"/>
          </w:tcPr>
          <w:p>
            <w:pPr>
              <w:pStyle w:val="36"/>
              <w:keepNext w:val="0"/>
              <w:keepLines w:val="0"/>
              <w:suppressLineNumbers w:val="0"/>
              <w:spacing w:before="0" w:beforeLines="0" w:beforeAutospacing="0" w:after="0" w:afterLines="0" w:afterAutospacing="0" w:line="240" w:lineRule="auto"/>
              <w:ind w:left="0" w:right="0"/>
              <w:rPr>
                <w:rFonts w:hint="default" w:ascii="Times New Roman" w:eastAsia="宋体"/>
                <w:snapToGrid w:val="0"/>
                <w:color w:val="000000"/>
                <w:kern w:val="21"/>
                <w:szCs w:val="21"/>
                <w:lang w:val="en-US" w:eastAsia="zh-CN"/>
              </w:rPr>
            </w:pPr>
            <w:r>
              <w:rPr>
                <w:rFonts w:hint="eastAsia" w:ascii="Times New Roman"/>
                <w:szCs w:val="21"/>
              </w:rPr>
              <w:t>+0.</w:t>
            </w:r>
            <w:r>
              <w:rPr>
                <w:rFonts w:hint="eastAsia" w:ascii="Times New Roman"/>
                <w:szCs w:val="21"/>
                <w:lang w:val="en-US" w:eastAsia="zh-CN"/>
              </w:rPr>
              <w:t>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vMerge w:val="continue"/>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p>
        </w:tc>
        <w:tc>
          <w:tcPr>
            <w:tcW w:w="1417"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颗粒物</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276"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559" w:type="dxa"/>
            <w:vAlign w:val="center"/>
          </w:tcPr>
          <w:p>
            <w:pPr>
              <w:pStyle w:val="36"/>
              <w:keepNext w:val="0"/>
              <w:keepLines w:val="0"/>
              <w:suppressLineNumbers w:val="0"/>
              <w:spacing w:before="0" w:beforeLines="0" w:beforeAutospacing="0" w:after="0" w:afterLines="0" w:afterAutospacing="0" w:line="240" w:lineRule="auto"/>
              <w:ind w:left="0" w:right="0"/>
              <w:rPr>
                <w:rFonts w:hint="default" w:ascii="Times New Roman" w:eastAsia="宋体"/>
                <w:snapToGrid w:val="0"/>
                <w:color w:val="000000"/>
                <w:kern w:val="21"/>
                <w:szCs w:val="21"/>
                <w:lang w:val="en-US" w:eastAsia="zh-CN"/>
              </w:rPr>
            </w:pPr>
            <w:r>
              <w:rPr>
                <w:rFonts w:hint="eastAsia" w:ascii="Times New Roman"/>
                <w:snapToGrid w:val="0"/>
                <w:color w:val="000000"/>
                <w:kern w:val="21"/>
                <w:szCs w:val="21"/>
              </w:rPr>
              <w:t>0.0</w:t>
            </w:r>
            <w:r>
              <w:rPr>
                <w:rFonts w:hint="eastAsia" w:ascii="Times New Roman"/>
                <w:snapToGrid w:val="0"/>
                <w:color w:val="000000"/>
                <w:kern w:val="21"/>
                <w:szCs w:val="21"/>
                <w:lang w:val="en-US" w:eastAsia="zh-CN"/>
              </w:rPr>
              <w:t>98</w:t>
            </w:r>
          </w:p>
        </w:tc>
        <w:tc>
          <w:tcPr>
            <w:tcW w:w="1761" w:type="dxa"/>
            <w:vAlign w:val="center"/>
          </w:tcPr>
          <w:p>
            <w:pPr>
              <w:keepNext w:val="0"/>
              <w:keepLines w:val="0"/>
              <w:suppressLineNumbers w:val="0"/>
              <w:spacing w:before="0" w:beforeAutospacing="0" w:after="0" w:afterAutospacing="0"/>
              <w:ind w:left="0" w:right="0"/>
              <w:jc w:val="center"/>
              <w:rPr>
                <w:snapToGrid w:val="0"/>
                <w:color w:val="000000"/>
                <w:kern w:val="21"/>
                <w:szCs w:val="21"/>
              </w:rPr>
            </w:pPr>
            <w:r>
              <w:rPr>
                <w:rFonts w:hint="eastAsia"/>
                <w:snapToGrid w:val="0"/>
                <w:color w:val="000000"/>
                <w:kern w:val="21"/>
                <w:szCs w:val="21"/>
              </w:rPr>
              <w:t>0</w:t>
            </w:r>
          </w:p>
        </w:tc>
        <w:tc>
          <w:tcPr>
            <w:tcW w:w="164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0.0</w:t>
            </w:r>
            <w:r>
              <w:rPr>
                <w:rFonts w:hint="eastAsia" w:ascii="Times New Roman"/>
                <w:snapToGrid w:val="0"/>
                <w:color w:val="000000"/>
                <w:kern w:val="21"/>
                <w:szCs w:val="21"/>
                <w:lang w:val="en-US" w:eastAsia="zh-CN"/>
              </w:rPr>
              <w:t>98</w:t>
            </w:r>
          </w:p>
        </w:tc>
        <w:tc>
          <w:tcPr>
            <w:tcW w:w="1144" w:type="dxa"/>
            <w:vAlign w:val="center"/>
          </w:tcPr>
          <w:p>
            <w:pPr>
              <w:pStyle w:val="36"/>
              <w:keepNext w:val="0"/>
              <w:keepLines w:val="0"/>
              <w:suppressLineNumbers w:val="0"/>
              <w:spacing w:before="0" w:beforeLines="0" w:beforeAutospacing="0" w:after="0" w:afterLines="0" w:afterAutospacing="0" w:line="240" w:lineRule="auto"/>
              <w:ind w:left="0" w:right="0"/>
              <w:rPr>
                <w:rFonts w:hint="default" w:ascii="Times New Roman" w:eastAsia="宋体"/>
                <w:snapToGrid w:val="0"/>
                <w:color w:val="000000"/>
                <w:kern w:val="21"/>
                <w:szCs w:val="21"/>
                <w:lang w:val="en-US" w:eastAsia="zh-CN"/>
              </w:rPr>
            </w:pPr>
            <w:r>
              <w:rPr>
                <w:rFonts w:hint="eastAsia" w:ascii="Times New Roman"/>
                <w:szCs w:val="21"/>
              </w:rPr>
              <w:t>+0.0</w:t>
            </w:r>
            <w:r>
              <w:rPr>
                <w:rFonts w:hint="eastAsia" w:ascii="Times New Roman"/>
                <w:szCs w:val="21"/>
                <w:lang w:val="en-US" w:eastAsia="zh-CN"/>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88" w:type="dxa"/>
            <w:vMerge w:val="restart"/>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ascii="Times New Roman"/>
                <w:snapToGrid w:val="0"/>
                <w:color w:val="000000"/>
                <w:kern w:val="21"/>
                <w:szCs w:val="21"/>
              </w:rPr>
              <w:t>废水</w:t>
            </w:r>
          </w:p>
        </w:tc>
        <w:tc>
          <w:tcPr>
            <w:tcW w:w="1417"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szCs w:val="21"/>
              </w:rPr>
              <w:t>水量</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276"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559" w:type="dxa"/>
            <w:vAlign w:val="center"/>
          </w:tcPr>
          <w:p>
            <w:pPr>
              <w:keepNext w:val="0"/>
              <w:keepLines w:val="0"/>
              <w:suppressLineNumbers w:val="0"/>
              <w:spacing w:before="0" w:beforeAutospacing="0" w:after="0" w:afterAutospacing="0"/>
              <w:ind w:left="0" w:leftChars="0" w:right="0" w:rightChars="0"/>
              <w:jc w:val="center"/>
              <w:rPr>
                <w:szCs w:val="21"/>
              </w:rPr>
            </w:pPr>
            <w:r>
              <w:rPr>
                <w:rFonts w:hint="eastAsia"/>
                <w:szCs w:val="21"/>
                <w:lang w:val="en-US" w:eastAsia="zh-CN"/>
              </w:rPr>
              <w:t>3456</w:t>
            </w:r>
          </w:p>
        </w:tc>
        <w:tc>
          <w:tcPr>
            <w:tcW w:w="1761" w:type="dxa"/>
            <w:vAlign w:val="center"/>
          </w:tcPr>
          <w:p>
            <w:pPr>
              <w:keepNext w:val="0"/>
              <w:keepLines w:val="0"/>
              <w:suppressLineNumbers w:val="0"/>
              <w:spacing w:before="0" w:beforeAutospacing="0" w:after="0" w:afterAutospacing="0"/>
              <w:ind w:left="0" w:right="0"/>
              <w:jc w:val="center"/>
            </w:pPr>
            <w:r>
              <w:rPr>
                <w:rFonts w:hint="eastAsia"/>
                <w:snapToGrid w:val="0"/>
                <w:color w:val="000000"/>
                <w:kern w:val="21"/>
                <w:szCs w:val="21"/>
              </w:rPr>
              <w:t>0</w:t>
            </w:r>
          </w:p>
        </w:tc>
        <w:tc>
          <w:tcPr>
            <w:tcW w:w="1641" w:type="dxa"/>
            <w:vAlign w:val="center"/>
          </w:tcPr>
          <w:p>
            <w:pPr>
              <w:keepNext w:val="0"/>
              <w:keepLines w:val="0"/>
              <w:suppressLineNumbers w:val="0"/>
              <w:spacing w:before="0" w:beforeAutospacing="0" w:after="0" w:afterAutospacing="0"/>
              <w:ind w:left="0" w:leftChars="0" w:right="0" w:rightChars="0"/>
              <w:jc w:val="center"/>
              <w:rPr>
                <w:szCs w:val="21"/>
              </w:rPr>
            </w:pPr>
            <w:r>
              <w:rPr>
                <w:rFonts w:hint="eastAsia"/>
                <w:szCs w:val="21"/>
                <w:lang w:val="en-US" w:eastAsia="zh-CN"/>
              </w:rPr>
              <w:t>3456</w:t>
            </w:r>
          </w:p>
        </w:tc>
        <w:tc>
          <w:tcPr>
            <w:tcW w:w="1144" w:type="dxa"/>
            <w:vAlign w:val="center"/>
          </w:tcPr>
          <w:p>
            <w:pPr>
              <w:keepNext w:val="0"/>
              <w:keepLines w:val="0"/>
              <w:suppressLineNumbers w:val="0"/>
              <w:spacing w:before="0" w:beforeAutospacing="0" w:after="0" w:afterAutospacing="0"/>
              <w:ind w:left="0" w:leftChars="0" w:right="0" w:rightChars="0"/>
              <w:jc w:val="center"/>
              <w:rPr>
                <w:szCs w:val="21"/>
              </w:rPr>
            </w:pPr>
            <w:r>
              <w:rPr>
                <w:rFonts w:hint="eastAsia"/>
                <w:szCs w:val="21"/>
                <w:lang w:val="en-US" w:eastAsia="zh-CN"/>
              </w:rPr>
              <w:t>+3456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vMerge w:val="continue"/>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p>
        </w:tc>
        <w:tc>
          <w:tcPr>
            <w:tcW w:w="1417" w:type="dxa"/>
            <w:vAlign w:val="center"/>
          </w:tcPr>
          <w:p>
            <w:pPr>
              <w:keepNext w:val="0"/>
              <w:keepLines w:val="0"/>
              <w:suppressLineNumbers w:val="0"/>
              <w:spacing w:before="0" w:beforeAutospacing="0" w:after="0" w:afterAutospacing="0"/>
              <w:ind w:left="0" w:right="0"/>
              <w:jc w:val="center"/>
              <w:rPr>
                <w:szCs w:val="21"/>
              </w:rPr>
            </w:pPr>
            <w:r>
              <w:rPr>
                <w:szCs w:val="21"/>
              </w:rPr>
              <w:t>COD</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276"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559" w:type="dxa"/>
            <w:vAlign w:val="center"/>
          </w:tcPr>
          <w:p>
            <w:pPr>
              <w:keepNext w:val="0"/>
              <w:keepLines w:val="0"/>
              <w:suppressLineNumbers w:val="0"/>
              <w:adjustRightInd w:val="0"/>
              <w:snapToGrid w:val="0"/>
              <w:spacing w:before="0" w:beforeAutospacing="0" w:after="0" w:afterAutospacing="0"/>
              <w:ind w:left="0" w:leftChars="0" w:right="0" w:rightChars="0"/>
              <w:jc w:val="center"/>
            </w:pPr>
            <w:r>
              <w:rPr>
                <w:rFonts w:hint="eastAsia"/>
              </w:rPr>
              <w:t>1.</w:t>
            </w:r>
            <w:r>
              <w:rPr>
                <w:rFonts w:hint="eastAsia"/>
                <w:lang w:val="en-US" w:eastAsia="zh-CN"/>
              </w:rPr>
              <w:t>382</w:t>
            </w:r>
          </w:p>
        </w:tc>
        <w:tc>
          <w:tcPr>
            <w:tcW w:w="1761" w:type="dxa"/>
            <w:vAlign w:val="center"/>
          </w:tcPr>
          <w:p>
            <w:pPr>
              <w:keepNext w:val="0"/>
              <w:keepLines w:val="0"/>
              <w:suppressLineNumbers w:val="0"/>
              <w:spacing w:before="0" w:beforeAutospacing="0" w:after="0" w:afterAutospacing="0"/>
              <w:ind w:left="0" w:right="0"/>
              <w:jc w:val="center"/>
              <w:rPr>
                <w:snapToGrid w:val="0"/>
                <w:color w:val="000000"/>
                <w:kern w:val="21"/>
                <w:szCs w:val="21"/>
              </w:rPr>
            </w:pPr>
            <w:r>
              <w:rPr>
                <w:rFonts w:hint="eastAsia"/>
                <w:snapToGrid w:val="0"/>
                <w:color w:val="000000"/>
                <w:kern w:val="21"/>
                <w:szCs w:val="21"/>
              </w:rPr>
              <w:t>0</w:t>
            </w:r>
          </w:p>
        </w:tc>
        <w:tc>
          <w:tcPr>
            <w:tcW w:w="1641" w:type="dxa"/>
            <w:vAlign w:val="center"/>
          </w:tcPr>
          <w:p>
            <w:pPr>
              <w:keepNext w:val="0"/>
              <w:keepLines w:val="0"/>
              <w:suppressLineNumbers w:val="0"/>
              <w:adjustRightInd w:val="0"/>
              <w:snapToGrid w:val="0"/>
              <w:spacing w:before="0" w:beforeAutospacing="0" w:after="0" w:afterAutospacing="0"/>
              <w:ind w:left="0" w:leftChars="0" w:right="0" w:rightChars="0"/>
              <w:jc w:val="center"/>
            </w:pPr>
            <w:r>
              <w:rPr>
                <w:rFonts w:hint="eastAsia"/>
              </w:rPr>
              <w:t>1.</w:t>
            </w:r>
            <w:r>
              <w:rPr>
                <w:rFonts w:hint="eastAsia"/>
                <w:lang w:val="en-US" w:eastAsia="zh-CN"/>
              </w:rPr>
              <w:t>382</w:t>
            </w:r>
          </w:p>
        </w:tc>
        <w:tc>
          <w:tcPr>
            <w:tcW w:w="1144" w:type="dxa"/>
            <w:vAlign w:val="center"/>
          </w:tcPr>
          <w:p>
            <w:pPr>
              <w:keepNext w:val="0"/>
              <w:keepLines w:val="0"/>
              <w:suppressLineNumbers w:val="0"/>
              <w:adjustRightInd w:val="0"/>
              <w:snapToGrid w:val="0"/>
              <w:spacing w:before="0" w:beforeAutospacing="0" w:after="0" w:afterAutospacing="0"/>
              <w:ind w:left="0" w:leftChars="0" w:right="0" w:rightChars="0"/>
              <w:jc w:val="center"/>
            </w:pPr>
            <w:r>
              <w:rPr>
                <w:rFonts w:hint="eastAsia"/>
                <w:lang w:val="en-US" w:eastAsia="zh-CN"/>
              </w:rPr>
              <w:t>+</w:t>
            </w:r>
            <w:r>
              <w:rPr>
                <w:rFonts w:hint="eastAsia"/>
              </w:rPr>
              <w:t>1.</w:t>
            </w:r>
            <w:r>
              <w:rPr>
                <w:rFonts w:hint="eastAsia"/>
                <w:lang w:val="en-US" w:eastAsia="zh-CN"/>
              </w:rPr>
              <w:t>382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vMerge w:val="continue"/>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p>
        </w:tc>
        <w:tc>
          <w:tcPr>
            <w:tcW w:w="1417" w:type="dxa"/>
            <w:vAlign w:val="center"/>
          </w:tcPr>
          <w:p>
            <w:pPr>
              <w:keepNext w:val="0"/>
              <w:keepLines w:val="0"/>
              <w:suppressLineNumbers w:val="0"/>
              <w:spacing w:before="0" w:beforeAutospacing="0" w:after="0" w:afterAutospacing="0"/>
              <w:ind w:left="0" w:right="0"/>
              <w:jc w:val="center"/>
              <w:rPr>
                <w:szCs w:val="21"/>
              </w:rPr>
            </w:pPr>
            <w:r>
              <w:rPr>
                <w:szCs w:val="21"/>
              </w:rPr>
              <w:t>SS</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276"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559" w:type="dxa"/>
            <w:vAlign w:val="center"/>
          </w:tcPr>
          <w:p>
            <w:pPr>
              <w:keepNext w:val="0"/>
              <w:keepLines w:val="0"/>
              <w:suppressLineNumbers w:val="0"/>
              <w:adjustRightInd w:val="0"/>
              <w:snapToGrid w:val="0"/>
              <w:spacing w:before="0" w:beforeAutospacing="0" w:after="0" w:afterAutospacing="0"/>
              <w:ind w:left="0" w:leftChars="0" w:right="0" w:rightChars="0"/>
              <w:jc w:val="center"/>
            </w:pPr>
            <w:r>
              <w:rPr>
                <w:rFonts w:hint="eastAsia"/>
                <w:lang w:val="en-US" w:eastAsia="zh-CN"/>
              </w:rPr>
              <w:t>1.037</w:t>
            </w:r>
          </w:p>
        </w:tc>
        <w:tc>
          <w:tcPr>
            <w:tcW w:w="1761" w:type="dxa"/>
            <w:vAlign w:val="center"/>
          </w:tcPr>
          <w:p>
            <w:pPr>
              <w:keepNext w:val="0"/>
              <w:keepLines w:val="0"/>
              <w:suppressLineNumbers w:val="0"/>
              <w:spacing w:before="0" w:beforeAutospacing="0" w:after="0" w:afterAutospacing="0"/>
              <w:ind w:left="0" w:right="0"/>
              <w:jc w:val="center"/>
            </w:pPr>
            <w:r>
              <w:rPr>
                <w:rFonts w:hint="eastAsia"/>
                <w:snapToGrid w:val="0"/>
                <w:color w:val="000000"/>
                <w:kern w:val="21"/>
                <w:szCs w:val="21"/>
              </w:rPr>
              <w:t>0</w:t>
            </w:r>
          </w:p>
        </w:tc>
        <w:tc>
          <w:tcPr>
            <w:tcW w:w="1641" w:type="dxa"/>
            <w:vAlign w:val="center"/>
          </w:tcPr>
          <w:p>
            <w:pPr>
              <w:keepNext w:val="0"/>
              <w:keepLines w:val="0"/>
              <w:suppressLineNumbers w:val="0"/>
              <w:adjustRightInd w:val="0"/>
              <w:snapToGrid w:val="0"/>
              <w:spacing w:before="0" w:beforeAutospacing="0" w:after="0" w:afterAutospacing="0"/>
              <w:ind w:left="0" w:leftChars="0" w:right="0" w:rightChars="0"/>
              <w:jc w:val="center"/>
            </w:pPr>
            <w:r>
              <w:rPr>
                <w:rFonts w:hint="eastAsia"/>
                <w:lang w:val="en-US" w:eastAsia="zh-CN"/>
              </w:rPr>
              <w:t>1.037</w:t>
            </w:r>
          </w:p>
        </w:tc>
        <w:tc>
          <w:tcPr>
            <w:tcW w:w="1144" w:type="dxa"/>
            <w:vAlign w:val="center"/>
          </w:tcPr>
          <w:p>
            <w:pPr>
              <w:keepNext w:val="0"/>
              <w:keepLines w:val="0"/>
              <w:suppressLineNumbers w:val="0"/>
              <w:adjustRightInd w:val="0"/>
              <w:snapToGrid w:val="0"/>
              <w:spacing w:before="0" w:beforeAutospacing="0" w:after="0" w:afterAutospacing="0"/>
              <w:ind w:left="0" w:leftChars="0" w:right="0" w:rightChars="0"/>
              <w:jc w:val="center"/>
            </w:pPr>
            <w:r>
              <w:rPr>
                <w:rFonts w:hint="eastAsia"/>
                <w:lang w:val="en-US" w:eastAsia="zh-CN"/>
              </w:rPr>
              <w:t>+1.037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vMerge w:val="continue"/>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p>
        </w:tc>
        <w:tc>
          <w:tcPr>
            <w:tcW w:w="1417" w:type="dxa"/>
            <w:vAlign w:val="center"/>
          </w:tcPr>
          <w:p>
            <w:pPr>
              <w:keepNext w:val="0"/>
              <w:keepLines w:val="0"/>
              <w:suppressLineNumbers w:val="0"/>
              <w:spacing w:before="0" w:beforeAutospacing="0" w:after="0" w:afterAutospacing="0"/>
              <w:ind w:left="0" w:right="0"/>
              <w:jc w:val="center"/>
              <w:rPr>
                <w:szCs w:val="21"/>
              </w:rPr>
            </w:pPr>
            <w:r>
              <w:rPr>
                <w:rFonts w:hint="eastAsia"/>
                <w:szCs w:val="21"/>
              </w:rPr>
              <w:t>氨氮</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276"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559" w:type="dxa"/>
            <w:vAlign w:val="center"/>
          </w:tcPr>
          <w:p>
            <w:pPr>
              <w:keepNext w:val="0"/>
              <w:keepLines w:val="0"/>
              <w:suppressLineNumbers w:val="0"/>
              <w:adjustRightInd w:val="0"/>
              <w:snapToGrid w:val="0"/>
              <w:spacing w:before="0" w:beforeAutospacing="0" w:after="0" w:afterAutospacing="0"/>
              <w:ind w:left="0" w:leftChars="0" w:right="0" w:rightChars="0"/>
              <w:jc w:val="center"/>
            </w:pPr>
            <w:r>
              <w:t>0.</w:t>
            </w:r>
            <w:r>
              <w:rPr>
                <w:rFonts w:hint="eastAsia"/>
                <w:lang w:val="en-US" w:eastAsia="zh-CN"/>
              </w:rPr>
              <w:t>0864</w:t>
            </w:r>
          </w:p>
        </w:tc>
        <w:tc>
          <w:tcPr>
            <w:tcW w:w="1761" w:type="dxa"/>
            <w:vAlign w:val="center"/>
          </w:tcPr>
          <w:p>
            <w:pPr>
              <w:keepNext w:val="0"/>
              <w:keepLines w:val="0"/>
              <w:suppressLineNumbers w:val="0"/>
              <w:spacing w:before="0" w:beforeAutospacing="0" w:after="0" w:afterAutospacing="0"/>
              <w:ind w:left="0" w:right="0"/>
              <w:jc w:val="center"/>
              <w:rPr>
                <w:snapToGrid w:val="0"/>
                <w:color w:val="000000"/>
                <w:kern w:val="21"/>
                <w:szCs w:val="21"/>
              </w:rPr>
            </w:pPr>
            <w:r>
              <w:rPr>
                <w:rFonts w:hint="eastAsia"/>
                <w:snapToGrid w:val="0"/>
                <w:color w:val="000000"/>
                <w:kern w:val="21"/>
                <w:szCs w:val="21"/>
              </w:rPr>
              <w:t>0</w:t>
            </w:r>
          </w:p>
        </w:tc>
        <w:tc>
          <w:tcPr>
            <w:tcW w:w="1641" w:type="dxa"/>
            <w:vAlign w:val="center"/>
          </w:tcPr>
          <w:p>
            <w:pPr>
              <w:keepNext w:val="0"/>
              <w:keepLines w:val="0"/>
              <w:suppressLineNumbers w:val="0"/>
              <w:adjustRightInd w:val="0"/>
              <w:snapToGrid w:val="0"/>
              <w:spacing w:before="0" w:beforeAutospacing="0" w:after="0" w:afterAutospacing="0"/>
              <w:ind w:left="0" w:leftChars="0" w:right="0" w:rightChars="0"/>
              <w:jc w:val="center"/>
            </w:pPr>
            <w:r>
              <w:t>0.</w:t>
            </w:r>
            <w:r>
              <w:rPr>
                <w:rFonts w:hint="eastAsia"/>
                <w:lang w:val="en-US" w:eastAsia="zh-CN"/>
              </w:rPr>
              <w:t>0864</w:t>
            </w:r>
          </w:p>
        </w:tc>
        <w:tc>
          <w:tcPr>
            <w:tcW w:w="1144" w:type="dxa"/>
            <w:vAlign w:val="center"/>
          </w:tcPr>
          <w:p>
            <w:pPr>
              <w:keepNext w:val="0"/>
              <w:keepLines w:val="0"/>
              <w:suppressLineNumbers w:val="0"/>
              <w:adjustRightInd w:val="0"/>
              <w:snapToGrid w:val="0"/>
              <w:spacing w:before="0" w:beforeAutospacing="0" w:after="0" w:afterAutospacing="0"/>
              <w:ind w:left="0" w:leftChars="0" w:right="0" w:rightChars="0"/>
              <w:jc w:val="center"/>
            </w:pPr>
            <w:r>
              <w:rPr>
                <w:rFonts w:hint="eastAsia"/>
                <w:lang w:val="en-US" w:eastAsia="zh-CN"/>
              </w:rPr>
              <w:t>+</w:t>
            </w:r>
            <w:r>
              <w:t>0.</w:t>
            </w:r>
            <w:r>
              <w:rPr>
                <w:rFonts w:hint="eastAsia"/>
                <w:lang w:val="en-US" w:eastAsia="zh-CN"/>
              </w:rPr>
              <w:t>0864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vMerge w:val="continue"/>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p>
        </w:tc>
        <w:tc>
          <w:tcPr>
            <w:tcW w:w="1417" w:type="dxa"/>
            <w:vAlign w:val="center"/>
          </w:tcPr>
          <w:p>
            <w:pPr>
              <w:keepNext w:val="0"/>
              <w:keepLines w:val="0"/>
              <w:suppressLineNumbers w:val="0"/>
              <w:spacing w:before="0" w:beforeAutospacing="0" w:after="0" w:afterAutospacing="0"/>
              <w:ind w:left="0" w:right="0"/>
              <w:jc w:val="center"/>
              <w:rPr>
                <w:szCs w:val="21"/>
              </w:rPr>
            </w:pPr>
            <w:r>
              <w:rPr>
                <w:rFonts w:hint="eastAsia"/>
                <w:szCs w:val="21"/>
              </w:rPr>
              <w:t>TP</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276"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559" w:type="dxa"/>
            <w:vAlign w:val="center"/>
          </w:tcPr>
          <w:p>
            <w:pPr>
              <w:keepNext w:val="0"/>
              <w:keepLines w:val="0"/>
              <w:suppressLineNumbers w:val="0"/>
              <w:adjustRightInd w:val="0"/>
              <w:snapToGrid w:val="0"/>
              <w:spacing w:before="0" w:beforeAutospacing="0" w:after="0" w:afterAutospacing="0"/>
              <w:ind w:left="0" w:leftChars="0" w:right="0" w:rightChars="0"/>
              <w:jc w:val="center"/>
            </w:pPr>
            <w:r>
              <w:t>0.0</w:t>
            </w:r>
            <w:r>
              <w:rPr>
                <w:rFonts w:hint="eastAsia"/>
                <w:lang w:val="en-US" w:eastAsia="zh-CN"/>
              </w:rPr>
              <w:t>1728</w:t>
            </w:r>
          </w:p>
        </w:tc>
        <w:tc>
          <w:tcPr>
            <w:tcW w:w="1761" w:type="dxa"/>
            <w:vAlign w:val="center"/>
          </w:tcPr>
          <w:p>
            <w:pPr>
              <w:keepNext w:val="0"/>
              <w:keepLines w:val="0"/>
              <w:suppressLineNumbers w:val="0"/>
              <w:spacing w:before="0" w:beforeAutospacing="0" w:after="0" w:afterAutospacing="0"/>
              <w:ind w:left="0" w:right="0"/>
              <w:jc w:val="center"/>
            </w:pPr>
            <w:r>
              <w:rPr>
                <w:rFonts w:hint="eastAsia"/>
                <w:snapToGrid w:val="0"/>
                <w:color w:val="000000"/>
                <w:kern w:val="21"/>
                <w:szCs w:val="21"/>
              </w:rPr>
              <w:t>0</w:t>
            </w:r>
          </w:p>
        </w:tc>
        <w:tc>
          <w:tcPr>
            <w:tcW w:w="1641" w:type="dxa"/>
            <w:vAlign w:val="center"/>
          </w:tcPr>
          <w:p>
            <w:pPr>
              <w:keepNext w:val="0"/>
              <w:keepLines w:val="0"/>
              <w:suppressLineNumbers w:val="0"/>
              <w:adjustRightInd w:val="0"/>
              <w:snapToGrid w:val="0"/>
              <w:spacing w:before="0" w:beforeAutospacing="0" w:after="0" w:afterAutospacing="0"/>
              <w:ind w:left="0" w:leftChars="0" w:right="0" w:rightChars="0"/>
              <w:jc w:val="center"/>
            </w:pPr>
            <w:r>
              <w:t>0.0</w:t>
            </w:r>
            <w:r>
              <w:rPr>
                <w:rFonts w:hint="eastAsia"/>
                <w:lang w:val="en-US" w:eastAsia="zh-CN"/>
              </w:rPr>
              <w:t>1728</w:t>
            </w:r>
          </w:p>
        </w:tc>
        <w:tc>
          <w:tcPr>
            <w:tcW w:w="1144" w:type="dxa"/>
            <w:vAlign w:val="center"/>
          </w:tcPr>
          <w:p>
            <w:pPr>
              <w:keepNext w:val="0"/>
              <w:keepLines w:val="0"/>
              <w:suppressLineNumbers w:val="0"/>
              <w:adjustRightInd w:val="0"/>
              <w:snapToGrid w:val="0"/>
              <w:spacing w:before="0" w:beforeAutospacing="0" w:after="0" w:afterAutospacing="0"/>
              <w:ind w:left="0" w:leftChars="0" w:right="0" w:rightChars="0"/>
              <w:jc w:val="center"/>
            </w:pPr>
            <w:r>
              <w:rPr>
                <w:rFonts w:hint="eastAsia"/>
                <w:lang w:val="en-US" w:eastAsia="zh-CN"/>
              </w:rPr>
              <w:t>+</w:t>
            </w:r>
            <w:r>
              <w:t>0.0</w:t>
            </w:r>
            <w:r>
              <w:rPr>
                <w:rFonts w:hint="eastAsia"/>
                <w:lang w:val="en-US" w:eastAsia="zh-CN"/>
              </w:rPr>
              <w:t>1728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vMerge w:val="continue"/>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p>
        </w:tc>
        <w:tc>
          <w:tcPr>
            <w:tcW w:w="1417" w:type="dxa"/>
            <w:vAlign w:val="center"/>
          </w:tcPr>
          <w:p>
            <w:pPr>
              <w:keepNext w:val="0"/>
              <w:keepLines w:val="0"/>
              <w:suppressLineNumbers w:val="0"/>
              <w:spacing w:before="0" w:beforeAutospacing="0" w:after="0" w:afterAutospacing="0"/>
              <w:ind w:left="0" w:right="0"/>
              <w:jc w:val="center"/>
              <w:rPr>
                <w:szCs w:val="21"/>
              </w:rPr>
            </w:pPr>
            <w:r>
              <w:rPr>
                <w:szCs w:val="21"/>
              </w:rPr>
              <w:t>T</w:t>
            </w:r>
            <w:r>
              <w:rPr>
                <w:rFonts w:hint="eastAsia"/>
                <w:szCs w:val="21"/>
              </w:rPr>
              <w:t>N</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276"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559" w:type="dxa"/>
            <w:vAlign w:val="center"/>
          </w:tcPr>
          <w:p>
            <w:pPr>
              <w:keepNext w:val="0"/>
              <w:keepLines w:val="0"/>
              <w:suppressLineNumbers w:val="0"/>
              <w:adjustRightInd w:val="0"/>
              <w:snapToGrid w:val="0"/>
              <w:spacing w:before="0" w:beforeAutospacing="0" w:after="0" w:afterAutospacing="0"/>
              <w:ind w:left="0" w:leftChars="0" w:right="0" w:rightChars="0"/>
              <w:jc w:val="center"/>
            </w:pPr>
            <w:r>
              <w:t>0.</w:t>
            </w:r>
            <w:r>
              <w:rPr>
                <w:rFonts w:hint="eastAsia"/>
                <w:lang w:val="en-US" w:eastAsia="zh-CN"/>
              </w:rPr>
              <w:t>1728</w:t>
            </w:r>
          </w:p>
        </w:tc>
        <w:tc>
          <w:tcPr>
            <w:tcW w:w="1761" w:type="dxa"/>
            <w:vAlign w:val="center"/>
          </w:tcPr>
          <w:p>
            <w:pPr>
              <w:keepNext w:val="0"/>
              <w:keepLines w:val="0"/>
              <w:suppressLineNumbers w:val="0"/>
              <w:spacing w:before="0" w:beforeAutospacing="0" w:after="0" w:afterAutospacing="0"/>
              <w:ind w:left="0" w:right="0"/>
              <w:jc w:val="center"/>
              <w:rPr>
                <w:snapToGrid w:val="0"/>
                <w:color w:val="000000"/>
                <w:kern w:val="21"/>
                <w:szCs w:val="21"/>
              </w:rPr>
            </w:pPr>
            <w:r>
              <w:rPr>
                <w:rFonts w:hint="eastAsia"/>
                <w:snapToGrid w:val="0"/>
                <w:color w:val="000000"/>
                <w:kern w:val="21"/>
                <w:szCs w:val="21"/>
              </w:rPr>
              <w:t>0</w:t>
            </w:r>
          </w:p>
        </w:tc>
        <w:tc>
          <w:tcPr>
            <w:tcW w:w="1641" w:type="dxa"/>
            <w:vAlign w:val="center"/>
          </w:tcPr>
          <w:p>
            <w:pPr>
              <w:keepNext w:val="0"/>
              <w:keepLines w:val="0"/>
              <w:suppressLineNumbers w:val="0"/>
              <w:adjustRightInd w:val="0"/>
              <w:snapToGrid w:val="0"/>
              <w:spacing w:before="0" w:beforeAutospacing="0" w:after="0" w:afterAutospacing="0"/>
              <w:ind w:left="0" w:leftChars="0" w:right="0" w:rightChars="0"/>
              <w:jc w:val="center"/>
            </w:pPr>
            <w:r>
              <w:t>0.</w:t>
            </w:r>
            <w:r>
              <w:rPr>
                <w:rFonts w:hint="eastAsia"/>
                <w:lang w:val="en-US" w:eastAsia="zh-CN"/>
              </w:rPr>
              <w:t>1728</w:t>
            </w:r>
          </w:p>
        </w:tc>
        <w:tc>
          <w:tcPr>
            <w:tcW w:w="1144" w:type="dxa"/>
            <w:vAlign w:val="center"/>
          </w:tcPr>
          <w:p>
            <w:pPr>
              <w:keepNext w:val="0"/>
              <w:keepLines w:val="0"/>
              <w:suppressLineNumbers w:val="0"/>
              <w:adjustRightInd w:val="0"/>
              <w:snapToGrid w:val="0"/>
              <w:spacing w:before="0" w:beforeAutospacing="0" w:after="0" w:afterAutospacing="0"/>
              <w:ind w:left="0" w:leftChars="0" w:right="0" w:rightChars="0"/>
              <w:jc w:val="center"/>
            </w:pPr>
            <w:r>
              <w:rPr>
                <w:rFonts w:hint="eastAsia"/>
                <w:lang w:val="en-US" w:eastAsia="zh-CN"/>
              </w:rPr>
              <w:t>+</w:t>
            </w:r>
            <w:r>
              <w:t>0.</w:t>
            </w:r>
            <w:r>
              <w:rPr>
                <w:rFonts w:hint="eastAsia"/>
                <w:lang w:val="en-US" w:eastAsia="zh-CN"/>
              </w:rPr>
              <w:t>1728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vMerge w:val="continue"/>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p>
        </w:tc>
        <w:tc>
          <w:tcPr>
            <w:tcW w:w="1417" w:type="dxa"/>
            <w:vAlign w:val="center"/>
          </w:tcPr>
          <w:p>
            <w:pPr>
              <w:keepNext w:val="0"/>
              <w:keepLines w:val="0"/>
              <w:suppressLineNumbers w:val="0"/>
              <w:spacing w:before="0" w:beforeAutospacing="0" w:after="0" w:afterAutospacing="0"/>
              <w:ind w:left="0" w:right="0"/>
              <w:jc w:val="center"/>
              <w:rPr>
                <w:szCs w:val="21"/>
              </w:rPr>
            </w:pPr>
            <w:r>
              <w:rPr>
                <w:rFonts w:hint="eastAsia"/>
                <w:szCs w:val="21"/>
              </w:rPr>
              <w:t>动植物油</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276"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559" w:type="dxa"/>
            <w:vAlign w:val="center"/>
          </w:tcPr>
          <w:p>
            <w:pPr>
              <w:keepNext w:val="0"/>
              <w:keepLines w:val="0"/>
              <w:suppressLineNumbers w:val="0"/>
              <w:adjustRightInd w:val="0"/>
              <w:snapToGrid w:val="0"/>
              <w:spacing w:before="0" w:beforeAutospacing="0" w:after="0" w:afterAutospacing="0"/>
              <w:ind w:left="0" w:leftChars="0" w:right="0" w:rightChars="0"/>
              <w:jc w:val="center"/>
            </w:pPr>
            <w:r>
              <w:rPr>
                <w:rFonts w:hint="eastAsia"/>
              </w:rPr>
              <w:t>0.0</w:t>
            </w:r>
            <w:r>
              <w:rPr>
                <w:rFonts w:hint="eastAsia"/>
                <w:lang w:val="en-US" w:eastAsia="zh-CN"/>
              </w:rPr>
              <w:t>23</w:t>
            </w:r>
          </w:p>
        </w:tc>
        <w:tc>
          <w:tcPr>
            <w:tcW w:w="1761" w:type="dxa"/>
            <w:vAlign w:val="center"/>
          </w:tcPr>
          <w:p>
            <w:pPr>
              <w:keepNext w:val="0"/>
              <w:keepLines w:val="0"/>
              <w:suppressLineNumbers w:val="0"/>
              <w:spacing w:before="0" w:beforeAutospacing="0" w:after="0" w:afterAutospacing="0"/>
              <w:ind w:left="0" w:right="0"/>
              <w:jc w:val="center"/>
            </w:pPr>
            <w:r>
              <w:rPr>
                <w:rFonts w:hint="eastAsia"/>
                <w:snapToGrid w:val="0"/>
                <w:color w:val="000000"/>
                <w:kern w:val="21"/>
                <w:szCs w:val="21"/>
              </w:rPr>
              <w:t>0</w:t>
            </w:r>
          </w:p>
        </w:tc>
        <w:tc>
          <w:tcPr>
            <w:tcW w:w="1641" w:type="dxa"/>
            <w:vAlign w:val="center"/>
          </w:tcPr>
          <w:p>
            <w:pPr>
              <w:keepNext w:val="0"/>
              <w:keepLines w:val="0"/>
              <w:suppressLineNumbers w:val="0"/>
              <w:adjustRightInd w:val="0"/>
              <w:snapToGrid w:val="0"/>
              <w:spacing w:before="0" w:beforeAutospacing="0" w:after="0" w:afterAutospacing="0"/>
              <w:ind w:left="0" w:leftChars="0" w:right="0" w:rightChars="0"/>
              <w:jc w:val="center"/>
            </w:pPr>
            <w:r>
              <w:rPr>
                <w:rFonts w:hint="eastAsia"/>
              </w:rPr>
              <w:t>0.0</w:t>
            </w:r>
            <w:r>
              <w:rPr>
                <w:rFonts w:hint="eastAsia"/>
                <w:lang w:val="en-US" w:eastAsia="zh-CN"/>
              </w:rPr>
              <w:t>23</w:t>
            </w:r>
          </w:p>
        </w:tc>
        <w:tc>
          <w:tcPr>
            <w:tcW w:w="1144" w:type="dxa"/>
            <w:vAlign w:val="center"/>
          </w:tcPr>
          <w:p>
            <w:pPr>
              <w:keepNext w:val="0"/>
              <w:keepLines w:val="0"/>
              <w:suppressLineNumbers w:val="0"/>
              <w:adjustRightInd w:val="0"/>
              <w:snapToGrid w:val="0"/>
              <w:spacing w:before="0" w:beforeAutospacing="0" w:after="0" w:afterAutospacing="0"/>
              <w:ind w:left="0" w:leftChars="0" w:right="0" w:rightChars="0"/>
              <w:jc w:val="center"/>
            </w:pPr>
            <w:r>
              <w:rPr>
                <w:rFonts w:hint="eastAsia"/>
                <w:lang w:val="en-US" w:eastAsia="zh-CN"/>
              </w:rPr>
              <w:t>+</w:t>
            </w:r>
            <w:r>
              <w:rPr>
                <w:rFonts w:hint="eastAsia"/>
              </w:rPr>
              <w:t>0.0</w:t>
            </w:r>
            <w:r>
              <w:rPr>
                <w:rFonts w:hint="eastAsia"/>
                <w:lang w:val="en-US" w:eastAsia="zh-CN"/>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vMerge w:val="restart"/>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ascii="Times New Roman"/>
                <w:snapToGrid w:val="0"/>
                <w:color w:val="000000"/>
                <w:kern w:val="21"/>
                <w:szCs w:val="21"/>
              </w:rPr>
              <w:t>一般工业</w:t>
            </w:r>
          </w:p>
          <w:p>
            <w:pPr>
              <w:pStyle w:val="36"/>
              <w:keepNext w:val="0"/>
              <w:keepLines w:val="0"/>
              <w:suppressLineNumbers w:val="0"/>
              <w:spacing w:before="24" w:beforeAutospacing="0" w:after="24" w:afterAutospacing="0"/>
              <w:ind w:left="0" w:right="0"/>
              <w:rPr>
                <w:rFonts w:ascii="Times New Roman"/>
                <w:snapToGrid w:val="0"/>
                <w:color w:val="000000"/>
                <w:kern w:val="21"/>
                <w:szCs w:val="21"/>
              </w:rPr>
            </w:pPr>
            <w:r>
              <w:rPr>
                <w:rFonts w:ascii="Times New Roman"/>
                <w:snapToGrid w:val="0"/>
                <w:color w:val="000000"/>
                <w:kern w:val="21"/>
                <w:szCs w:val="21"/>
              </w:rPr>
              <w:t>固体废物</w:t>
            </w:r>
          </w:p>
        </w:tc>
        <w:tc>
          <w:tcPr>
            <w:tcW w:w="1417" w:type="dxa"/>
            <w:vAlign w:val="center"/>
          </w:tcPr>
          <w:p>
            <w:pPr>
              <w:keepNext w:val="0"/>
              <w:keepLines w:val="0"/>
              <w:suppressLineNumbers w:val="0"/>
              <w:adjustRightInd w:val="0"/>
              <w:snapToGrid w:val="0"/>
              <w:spacing w:before="0" w:beforeAutospacing="0" w:after="0" w:afterAutospacing="0"/>
              <w:ind w:left="0" w:right="0"/>
              <w:jc w:val="center"/>
              <w:rPr>
                <w:szCs w:val="21"/>
              </w:rPr>
            </w:pPr>
            <w:r>
              <w:t>废包装袋</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276"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559"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0.6</w:t>
            </w:r>
          </w:p>
        </w:tc>
        <w:tc>
          <w:tcPr>
            <w:tcW w:w="1761" w:type="dxa"/>
            <w:vAlign w:val="center"/>
          </w:tcPr>
          <w:p>
            <w:pPr>
              <w:keepNext w:val="0"/>
              <w:keepLines w:val="0"/>
              <w:suppressLineNumbers w:val="0"/>
              <w:spacing w:before="0" w:beforeAutospacing="0" w:after="0" w:afterAutospacing="0"/>
              <w:ind w:left="0" w:right="0"/>
              <w:jc w:val="center"/>
              <w:rPr>
                <w:snapToGrid w:val="0"/>
                <w:color w:val="000000"/>
                <w:kern w:val="21"/>
                <w:szCs w:val="21"/>
              </w:rPr>
            </w:pPr>
            <w:r>
              <w:rPr>
                <w:rFonts w:hint="eastAsia"/>
                <w:snapToGrid w:val="0"/>
                <w:color w:val="000000"/>
                <w:kern w:val="21"/>
                <w:szCs w:val="21"/>
              </w:rPr>
              <w:t>0</w:t>
            </w:r>
          </w:p>
        </w:tc>
        <w:tc>
          <w:tcPr>
            <w:tcW w:w="1641"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0.6</w:t>
            </w:r>
          </w:p>
        </w:tc>
        <w:tc>
          <w:tcPr>
            <w:tcW w:w="1144"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vMerge w:val="continue"/>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p>
        </w:tc>
        <w:tc>
          <w:tcPr>
            <w:tcW w:w="1417" w:type="dxa"/>
            <w:vAlign w:val="center"/>
          </w:tcPr>
          <w:p>
            <w:pPr>
              <w:keepNext w:val="0"/>
              <w:keepLines w:val="0"/>
              <w:suppressLineNumbers w:val="0"/>
              <w:adjustRightInd w:val="0"/>
              <w:snapToGrid w:val="0"/>
              <w:spacing w:before="0" w:beforeAutospacing="0" w:after="0" w:afterAutospacing="0"/>
              <w:ind w:left="0" w:right="0"/>
              <w:jc w:val="center"/>
            </w:pPr>
            <w:r>
              <w:rPr>
                <w:rFonts w:hint="eastAsia"/>
              </w:rPr>
              <w:t>不合格品</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276"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559" w:type="dxa"/>
            <w:vAlign w:val="center"/>
          </w:tcPr>
          <w:p>
            <w:pPr>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12</w:t>
            </w:r>
          </w:p>
        </w:tc>
        <w:tc>
          <w:tcPr>
            <w:tcW w:w="1761" w:type="dxa"/>
            <w:vAlign w:val="center"/>
          </w:tcPr>
          <w:p>
            <w:pPr>
              <w:keepNext w:val="0"/>
              <w:keepLines w:val="0"/>
              <w:suppressLineNumbers w:val="0"/>
              <w:spacing w:before="0" w:beforeAutospacing="0" w:after="0" w:afterAutospacing="0"/>
              <w:ind w:left="0" w:right="0"/>
              <w:jc w:val="center"/>
            </w:pPr>
            <w:r>
              <w:rPr>
                <w:rFonts w:hint="eastAsia"/>
                <w:snapToGrid w:val="0"/>
                <w:color w:val="000000"/>
                <w:kern w:val="21"/>
                <w:szCs w:val="21"/>
              </w:rPr>
              <w:t>0</w:t>
            </w:r>
          </w:p>
        </w:tc>
        <w:tc>
          <w:tcPr>
            <w:tcW w:w="1641" w:type="dxa"/>
            <w:vAlign w:val="center"/>
          </w:tcPr>
          <w:p>
            <w:pPr>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12</w:t>
            </w:r>
          </w:p>
        </w:tc>
        <w:tc>
          <w:tcPr>
            <w:tcW w:w="1144" w:type="dxa"/>
            <w:vAlign w:val="center"/>
          </w:tcPr>
          <w:p>
            <w:pPr>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rFonts w:hint="eastAsia"/>
                <w:szCs w:val="21"/>
              </w:rPr>
              <w:t>+</w:t>
            </w:r>
            <w:r>
              <w:rPr>
                <w:rFonts w:hint="eastAsia"/>
                <w:szCs w:val="21"/>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vMerge w:val="continue"/>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p>
        </w:tc>
        <w:tc>
          <w:tcPr>
            <w:tcW w:w="1417" w:type="dxa"/>
            <w:vAlign w:val="center"/>
          </w:tcPr>
          <w:p>
            <w:pPr>
              <w:keepNext w:val="0"/>
              <w:keepLines w:val="0"/>
              <w:suppressLineNumbers w:val="0"/>
              <w:adjustRightInd w:val="0"/>
              <w:snapToGrid w:val="0"/>
              <w:spacing w:before="0" w:beforeAutospacing="0" w:after="0" w:afterAutospacing="0"/>
              <w:ind w:left="0" w:right="0"/>
              <w:jc w:val="center"/>
            </w:pPr>
            <w:r>
              <w:rPr>
                <w:rFonts w:hint="eastAsia"/>
              </w:rPr>
              <w:t>边角料</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276"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559"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1200</w:t>
            </w:r>
          </w:p>
        </w:tc>
        <w:tc>
          <w:tcPr>
            <w:tcW w:w="1761" w:type="dxa"/>
            <w:vAlign w:val="center"/>
          </w:tcPr>
          <w:p>
            <w:pPr>
              <w:keepNext w:val="0"/>
              <w:keepLines w:val="0"/>
              <w:suppressLineNumbers w:val="0"/>
              <w:spacing w:before="0" w:beforeAutospacing="0" w:after="0" w:afterAutospacing="0"/>
              <w:ind w:left="0" w:right="0"/>
              <w:jc w:val="center"/>
              <w:rPr>
                <w:snapToGrid w:val="0"/>
                <w:color w:val="000000"/>
                <w:kern w:val="21"/>
                <w:szCs w:val="21"/>
              </w:rPr>
            </w:pPr>
            <w:r>
              <w:rPr>
                <w:rFonts w:hint="eastAsia"/>
                <w:snapToGrid w:val="0"/>
                <w:color w:val="000000"/>
                <w:kern w:val="21"/>
                <w:szCs w:val="21"/>
              </w:rPr>
              <w:t>0</w:t>
            </w:r>
          </w:p>
        </w:tc>
        <w:tc>
          <w:tcPr>
            <w:tcW w:w="1641"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1200</w:t>
            </w:r>
          </w:p>
        </w:tc>
        <w:tc>
          <w:tcPr>
            <w:tcW w:w="1144"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vMerge w:val="continue"/>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p>
        </w:tc>
        <w:tc>
          <w:tcPr>
            <w:tcW w:w="1417" w:type="dxa"/>
            <w:vAlign w:val="center"/>
          </w:tcPr>
          <w:p>
            <w:pPr>
              <w:keepNext w:val="0"/>
              <w:keepLines w:val="0"/>
              <w:suppressLineNumbers w:val="0"/>
              <w:adjustRightInd w:val="0"/>
              <w:snapToGrid w:val="0"/>
              <w:spacing w:before="0" w:beforeAutospacing="0" w:after="0" w:afterAutospacing="0"/>
              <w:ind w:left="0" w:right="0"/>
              <w:jc w:val="center"/>
              <w:rPr>
                <w:rFonts w:hint="eastAsia" w:eastAsia="宋体"/>
                <w:lang w:eastAsia="zh-CN"/>
              </w:rPr>
            </w:pPr>
            <w:r>
              <w:rPr>
                <w:rFonts w:hint="eastAsia"/>
              </w:rPr>
              <w:t>收集粉尘</w:t>
            </w:r>
            <w:r>
              <w:rPr>
                <w:rFonts w:hint="eastAsia"/>
                <w:lang w:eastAsia="zh-CN"/>
              </w:rPr>
              <w:t>（涂敷）</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276"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559" w:type="dxa"/>
            <w:vAlign w:val="center"/>
          </w:tcPr>
          <w:p>
            <w:pPr>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9.802</w:t>
            </w:r>
          </w:p>
        </w:tc>
        <w:tc>
          <w:tcPr>
            <w:tcW w:w="1761" w:type="dxa"/>
            <w:vAlign w:val="center"/>
          </w:tcPr>
          <w:p>
            <w:pPr>
              <w:keepNext w:val="0"/>
              <w:keepLines w:val="0"/>
              <w:suppressLineNumbers w:val="0"/>
              <w:spacing w:before="0" w:beforeAutospacing="0" w:after="0" w:afterAutospacing="0"/>
              <w:ind w:left="0" w:right="0"/>
              <w:jc w:val="center"/>
            </w:pPr>
            <w:r>
              <w:rPr>
                <w:rFonts w:hint="eastAsia"/>
                <w:snapToGrid w:val="0"/>
                <w:color w:val="000000"/>
                <w:kern w:val="21"/>
                <w:szCs w:val="21"/>
              </w:rPr>
              <w:t>0</w:t>
            </w:r>
          </w:p>
        </w:tc>
        <w:tc>
          <w:tcPr>
            <w:tcW w:w="1641" w:type="dxa"/>
            <w:vAlign w:val="center"/>
          </w:tcPr>
          <w:p>
            <w:pPr>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9.802</w:t>
            </w:r>
          </w:p>
        </w:tc>
        <w:tc>
          <w:tcPr>
            <w:tcW w:w="1144" w:type="dxa"/>
            <w:vAlign w:val="center"/>
          </w:tcPr>
          <w:p>
            <w:pPr>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rFonts w:hint="eastAsia"/>
                <w:szCs w:val="21"/>
              </w:rPr>
              <w:t>+</w:t>
            </w:r>
            <w:r>
              <w:rPr>
                <w:rFonts w:hint="eastAsia"/>
                <w:szCs w:val="21"/>
                <w:lang w:val="en-US" w:eastAsia="zh-CN"/>
              </w:rPr>
              <w:t>9.802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vMerge w:val="continue"/>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p>
        </w:tc>
        <w:tc>
          <w:tcPr>
            <w:tcW w:w="1417" w:type="dxa"/>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kern w:val="2"/>
                <w:sz w:val="21"/>
                <w:szCs w:val="24"/>
                <w:lang w:val="en-US" w:eastAsia="zh-CN" w:bidi="ar-SA"/>
              </w:rPr>
            </w:pPr>
            <w:r>
              <w:rPr>
                <w:rFonts w:hint="eastAsia"/>
              </w:rPr>
              <w:t>收集粉尘</w:t>
            </w:r>
            <w:r>
              <w:rPr>
                <w:rFonts w:hint="eastAsia"/>
                <w:lang w:eastAsia="zh-CN"/>
              </w:rPr>
              <w:t>（焊接）</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hint="eastAsia" w:ascii="Times New Roman"/>
                <w:snapToGrid w:val="0"/>
                <w:color w:val="000000"/>
                <w:kern w:val="21"/>
                <w:szCs w:val="21"/>
              </w:rPr>
            </w:pPr>
            <w:r>
              <w:rPr>
                <w:rFonts w:hint="eastAsia" w:ascii="Times New Roman"/>
                <w:snapToGrid w:val="0"/>
                <w:color w:val="000000"/>
                <w:kern w:val="21"/>
                <w:szCs w:val="21"/>
              </w:rPr>
              <w:t>0</w:t>
            </w:r>
          </w:p>
        </w:tc>
        <w:tc>
          <w:tcPr>
            <w:tcW w:w="1276" w:type="dxa"/>
            <w:vAlign w:val="center"/>
          </w:tcPr>
          <w:p>
            <w:pPr>
              <w:pStyle w:val="36"/>
              <w:keepNext w:val="0"/>
              <w:keepLines w:val="0"/>
              <w:suppressLineNumbers w:val="0"/>
              <w:spacing w:before="0" w:beforeLines="0" w:beforeAutospacing="0" w:after="0" w:afterLines="0" w:afterAutospacing="0" w:line="240" w:lineRule="auto"/>
              <w:ind w:left="0" w:right="0"/>
              <w:rPr>
                <w:rFonts w:hint="eastAsia" w:ascii="Times New Roman"/>
                <w:snapToGrid w:val="0"/>
                <w:color w:val="000000"/>
                <w:kern w:val="21"/>
                <w:szCs w:val="21"/>
              </w:rPr>
            </w:pPr>
            <w:r>
              <w:rPr>
                <w:rFonts w:hint="eastAsia" w:ascii="Times New Roman"/>
                <w:snapToGrid w:val="0"/>
                <w:color w:val="000000"/>
                <w:kern w:val="21"/>
                <w:szCs w:val="21"/>
              </w:rPr>
              <w:t>0</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hint="eastAsia" w:ascii="Times New Roman"/>
                <w:snapToGrid w:val="0"/>
                <w:color w:val="000000"/>
                <w:kern w:val="21"/>
                <w:szCs w:val="21"/>
              </w:rPr>
            </w:pPr>
            <w:r>
              <w:rPr>
                <w:rFonts w:hint="eastAsia" w:ascii="Times New Roman"/>
                <w:snapToGrid w:val="0"/>
                <w:color w:val="000000"/>
                <w:kern w:val="21"/>
                <w:szCs w:val="21"/>
              </w:rPr>
              <w:t>0</w:t>
            </w:r>
          </w:p>
        </w:tc>
        <w:tc>
          <w:tcPr>
            <w:tcW w:w="1559" w:type="dxa"/>
            <w:vAlign w:val="center"/>
          </w:tcPr>
          <w:p>
            <w:pPr>
              <w:keepNext w:val="0"/>
              <w:keepLines w:val="0"/>
              <w:suppressLineNumbers w:val="0"/>
              <w:adjustRightInd w:val="0"/>
              <w:snapToGrid w:val="0"/>
              <w:spacing w:before="0" w:beforeAutospacing="0" w:after="0" w:afterAutospacing="0"/>
              <w:ind w:left="0" w:right="0"/>
              <w:jc w:val="center"/>
              <w:rPr>
                <w:rFonts w:hint="default"/>
                <w:szCs w:val="21"/>
                <w:lang w:val="en-US" w:eastAsia="zh-CN"/>
              </w:rPr>
            </w:pPr>
            <w:r>
              <w:rPr>
                <w:rFonts w:hint="eastAsia"/>
                <w:szCs w:val="21"/>
                <w:lang w:val="en-US" w:eastAsia="zh-CN"/>
              </w:rPr>
              <w:t>0.0014</w:t>
            </w:r>
          </w:p>
        </w:tc>
        <w:tc>
          <w:tcPr>
            <w:tcW w:w="1761" w:type="dxa"/>
            <w:vAlign w:val="center"/>
          </w:tcPr>
          <w:p>
            <w:pPr>
              <w:keepNext w:val="0"/>
              <w:keepLines w:val="0"/>
              <w:suppressLineNumbers w:val="0"/>
              <w:spacing w:before="0" w:beforeAutospacing="0" w:after="0" w:afterAutospacing="0"/>
              <w:ind w:left="0" w:right="0"/>
              <w:jc w:val="center"/>
              <w:rPr>
                <w:rFonts w:hint="eastAsia"/>
                <w:snapToGrid w:val="0"/>
                <w:color w:val="000000"/>
                <w:kern w:val="21"/>
                <w:szCs w:val="21"/>
              </w:rPr>
            </w:pPr>
            <w:r>
              <w:rPr>
                <w:rFonts w:hint="eastAsia"/>
                <w:snapToGrid w:val="0"/>
                <w:color w:val="000000"/>
                <w:kern w:val="21"/>
                <w:szCs w:val="21"/>
              </w:rPr>
              <w:t>0</w:t>
            </w:r>
          </w:p>
        </w:tc>
        <w:tc>
          <w:tcPr>
            <w:tcW w:w="1641" w:type="dxa"/>
            <w:vAlign w:val="center"/>
          </w:tcPr>
          <w:p>
            <w:pPr>
              <w:keepNext w:val="0"/>
              <w:keepLines w:val="0"/>
              <w:suppressLineNumbers w:val="0"/>
              <w:adjustRightInd w:val="0"/>
              <w:snapToGrid w:val="0"/>
              <w:spacing w:before="0" w:beforeAutospacing="0" w:after="0" w:afterAutospacing="0"/>
              <w:ind w:left="0" w:right="0"/>
              <w:jc w:val="center"/>
              <w:rPr>
                <w:rFonts w:hint="default"/>
                <w:szCs w:val="21"/>
                <w:lang w:val="en-US" w:eastAsia="zh-CN"/>
              </w:rPr>
            </w:pPr>
            <w:r>
              <w:rPr>
                <w:rFonts w:hint="eastAsia"/>
                <w:szCs w:val="21"/>
                <w:lang w:val="en-US" w:eastAsia="zh-CN"/>
              </w:rPr>
              <w:t>0.0014</w:t>
            </w:r>
          </w:p>
        </w:tc>
        <w:tc>
          <w:tcPr>
            <w:tcW w:w="1144" w:type="dxa"/>
            <w:vAlign w:val="center"/>
          </w:tcPr>
          <w:p>
            <w:pPr>
              <w:keepNext w:val="0"/>
              <w:keepLines w:val="0"/>
              <w:suppressLineNumbers w:val="0"/>
              <w:adjustRightInd w:val="0"/>
              <w:snapToGrid w:val="0"/>
              <w:spacing w:before="0" w:beforeAutospacing="0" w:after="0" w:afterAutospacing="0"/>
              <w:ind w:left="0" w:right="0"/>
              <w:jc w:val="center"/>
              <w:rPr>
                <w:rFonts w:hint="default"/>
                <w:szCs w:val="21"/>
                <w:lang w:val="en-US"/>
              </w:rPr>
            </w:pPr>
            <w:r>
              <w:rPr>
                <w:rFonts w:hint="eastAsia"/>
                <w:szCs w:val="21"/>
              </w:rPr>
              <w:t>+</w:t>
            </w:r>
            <w:r>
              <w:rPr>
                <w:rFonts w:hint="eastAsia"/>
                <w:szCs w:val="21"/>
                <w:lang w:val="en-US" w:eastAsia="zh-CN"/>
              </w:rPr>
              <w:t>0.0014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vMerge w:val="continue"/>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p>
        </w:tc>
        <w:tc>
          <w:tcPr>
            <w:tcW w:w="1417" w:type="dxa"/>
            <w:vAlign w:val="center"/>
          </w:tcPr>
          <w:p>
            <w:pPr>
              <w:keepNext w:val="0"/>
              <w:keepLines w:val="0"/>
              <w:suppressLineNumbers w:val="0"/>
              <w:adjustRightInd w:val="0"/>
              <w:snapToGrid w:val="0"/>
              <w:spacing w:before="0" w:beforeAutospacing="0" w:after="0" w:afterAutospacing="0"/>
              <w:ind w:left="0" w:right="0"/>
              <w:jc w:val="center"/>
            </w:pPr>
            <w:r>
              <w:rPr>
                <w:rFonts w:hint="eastAsia"/>
              </w:rPr>
              <w:t>废滤芯</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276"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559"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0.18</w:t>
            </w:r>
          </w:p>
        </w:tc>
        <w:tc>
          <w:tcPr>
            <w:tcW w:w="1761" w:type="dxa"/>
            <w:vAlign w:val="center"/>
          </w:tcPr>
          <w:p>
            <w:pPr>
              <w:keepNext w:val="0"/>
              <w:keepLines w:val="0"/>
              <w:suppressLineNumbers w:val="0"/>
              <w:spacing w:before="0" w:beforeAutospacing="0" w:after="0" w:afterAutospacing="0"/>
              <w:ind w:left="0" w:right="0"/>
              <w:jc w:val="center"/>
              <w:rPr>
                <w:snapToGrid w:val="0"/>
                <w:color w:val="000000"/>
                <w:kern w:val="21"/>
                <w:szCs w:val="21"/>
              </w:rPr>
            </w:pPr>
            <w:r>
              <w:rPr>
                <w:rFonts w:hint="eastAsia"/>
                <w:snapToGrid w:val="0"/>
                <w:color w:val="000000"/>
                <w:kern w:val="21"/>
                <w:szCs w:val="21"/>
              </w:rPr>
              <w:t>0</w:t>
            </w:r>
          </w:p>
        </w:tc>
        <w:tc>
          <w:tcPr>
            <w:tcW w:w="1641"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0.18</w:t>
            </w:r>
          </w:p>
        </w:tc>
        <w:tc>
          <w:tcPr>
            <w:tcW w:w="1144"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vMerge w:val="continue"/>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p>
        </w:tc>
        <w:tc>
          <w:tcPr>
            <w:tcW w:w="1417" w:type="dxa"/>
            <w:vAlign w:val="center"/>
          </w:tcPr>
          <w:p>
            <w:pPr>
              <w:keepNext w:val="0"/>
              <w:keepLines w:val="0"/>
              <w:suppressLineNumbers w:val="0"/>
              <w:adjustRightInd w:val="0"/>
              <w:snapToGrid w:val="0"/>
              <w:spacing w:before="0" w:beforeAutospacing="0" w:after="0" w:afterAutospacing="0"/>
              <w:ind w:left="0" w:right="0"/>
              <w:jc w:val="center"/>
              <w:rPr>
                <w:rFonts w:hint="eastAsia" w:eastAsia="宋体"/>
                <w:lang w:eastAsia="zh-CN"/>
              </w:rPr>
            </w:pPr>
            <w:r>
              <w:rPr>
                <w:rFonts w:hint="eastAsia"/>
                <w:lang w:eastAsia="zh-CN"/>
              </w:rPr>
              <w:t>塑料边角料</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hint="eastAsia" w:ascii="Times New Roman"/>
                <w:snapToGrid w:val="0"/>
                <w:color w:val="000000"/>
                <w:kern w:val="21"/>
                <w:szCs w:val="21"/>
              </w:rPr>
            </w:pPr>
            <w:r>
              <w:rPr>
                <w:rFonts w:hint="eastAsia" w:ascii="Times New Roman"/>
                <w:snapToGrid w:val="0"/>
                <w:color w:val="000000"/>
                <w:kern w:val="21"/>
                <w:szCs w:val="21"/>
              </w:rPr>
              <w:t>0</w:t>
            </w:r>
          </w:p>
        </w:tc>
        <w:tc>
          <w:tcPr>
            <w:tcW w:w="1276" w:type="dxa"/>
            <w:vAlign w:val="center"/>
          </w:tcPr>
          <w:p>
            <w:pPr>
              <w:pStyle w:val="36"/>
              <w:keepNext w:val="0"/>
              <w:keepLines w:val="0"/>
              <w:suppressLineNumbers w:val="0"/>
              <w:spacing w:before="0" w:beforeLines="0" w:beforeAutospacing="0" w:after="0" w:afterLines="0" w:afterAutospacing="0" w:line="240" w:lineRule="auto"/>
              <w:ind w:left="0" w:right="0"/>
              <w:rPr>
                <w:rFonts w:hint="eastAsia" w:ascii="Times New Roman"/>
                <w:snapToGrid w:val="0"/>
                <w:color w:val="000000"/>
                <w:kern w:val="21"/>
                <w:szCs w:val="21"/>
              </w:rPr>
            </w:pPr>
            <w:r>
              <w:rPr>
                <w:rFonts w:hint="eastAsia" w:ascii="Times New Roman"/>
                <w:snapToGrid w:val="0"/>
                <w:color w:val="000000"/>
                <w:kern w:val="21"/>
                <w:szCs w:val="21"/>
              </w:rPr>
              <w:t>0</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hint="eastAsia" w:ascii="Times New Roman"/>
                <w:snapToGrid w:val="0"/>
                <w:color w:val="000000"/>
                <w:kern w:val="21"/>
                <w:szCs w:val="21"/>
              </w:rPr>
            </w:pPr>
            <w:r>
              <w:rPr>
                <w:rFonts w:hint="eastAsia" w:ascii="Times New Roman"/>
                <w:snapToGrid w:val="0"/>
                <w:color w:val="000000"/>
                <w:kern w:val="21"/>
                <w:szCs w:val="21"/>
              </w:rPr>
              <w:t>0</w:t>
            </w:r>
          </w:p>
        </w:tc>
        <w:tc>
          <w:tcPr>
            <w:tcW w:w="1559" w:type="dxa"/>
            <w:vAlign w:val="center"/>
          </w:tcPr>
          <w:p>
            <w:pPr>
              <w:keepNext w:val="0"/>
              <w:keepLines w:val="0"/>
              <w:suppressLineNumbers w:val="0"/>
              <w:adjustRightInd w:val="0"/>
              <w:snapToGrid w:val="0"/>
              <w:spacing w:before="0" w:beforeAutospacing="0" w:after="0" w:afterAutospacing="0"/>
              <w:ind w:left="0" w:right="0"/>
              <w:jc w:val="center"/>
              <w:rPr>
                <w:rFonts w:hint="default"/>
                <w:szCs w:val="21"/>
                <w:lang w:val="en-US"/>
              </w:rPr>
            </w:pPr>
            <w:r>
              <w:rPr>
                <w:rFonts w:hint="eastAsia"/>
                <w:szCs w:val="21"/>
                <w:lang w:val="en-US" w:eastAsia="zh-CN"/>
              </w:rPr>
              <w:t>2.5</w:t>
            </w:r>
          </w:p>
        </w:tc>
        <w:tc>
          <w:tcPr>
            <w:tcW w:w="1761" w:type="dxa"/>
            <w:vAlign w:val="center"/>
          </w:tcPr>
          <w:p>
            <w:pPr>
              <w:keepNext w:val="0"/>
              <w:keepLines w:val="0"/>
              <w:suppressLineNumbers w:val="0"/>
              <w:spacing w:before="0" w:beforeAutospacing="0" w:after="0" w:afterAutospacing="0"/>
              <w:ind w:left="0" w:right="0"/>
              <w:jc w:val="center"/>
              <w:rPr>
                <w:rFonts w:hint="eastAsia"/>
                <w:snapToGrid w:val="0"/>
                <w:color w:val="000000"/>
                <w:kern w:val="21"/>
                <w:szCs w:val="21"/>
              </w:rPr>
            </w:pPr>
            <w:r>
              <w:rPr>
                <w:rFonts w:hint="eastAsia"/>
                <w:snapToGrid w:val="0"/>
                <w:color w:val="000000"/>
                <w:kern w:val="21"/>
                <w:szCs w:val="21"/>
              </w:rPr>
              <w:t>0</w:t>
            </w:r>
          </w:p>
        </w:tc>
        <w:tc>
          <w:tcPr>
            <w:tcW w:w="1641" w:type="dxa"/>
            <w:vAlign w:val="center"/>
          </w:tcPr>
          <w:p>
            <w:pPr>
              <w:keepNext w:val="0"/>
              <w:keepLines w:val="0"/>
              <w:suppressLineNumbers w:val="0"/>
              <w:adjustRightInd w:val="0"/>
              <w:snapToGrid w:val="0"/>
              <w:spacing w:before="0" w:beforeAutospacing="0" w:after="0" w:afterAutospacing="0"/>
              <w:ind w:left="0" w:right="0"/>
              <w:jc w:val="center"/>
              <w:rPr>
                <w:rFonts w:hint="default"/>
                <w:szCs w:val="21"/>
                <w:lang w:val="en-US"/>
              </w:rPr>
            </w:pPr>
            <w:r>
              <w:rPr>
                <w:rFonts w:hint="eastAsia"/>
                <w:szCs w:val="21"/>
                <w:lang w:val="en-US" w:eastAsia="zh-CN"/>
              </w:rPr>
              <w:t>2.5</w:t>
            </w:r>
          </w:p>
        </w:tc>
        <w:tc>
          <w:tcPr>
            <w:tcW w:w="1144" w:type="dxa"/>
            <w:vAlign w:val="center"/>
          </w:tcPr>
          <w:p>
            <w:pPr>
              <w:keepNext w:val="0"/>
              <w:keepLines w:val="0"/>
              <w:suppressLineNumbers w:val="0"/>
              <w:adjustRightInd w:val="0"/>
              <w:snapToGrid w:val="0"/>
              <w:spacing w:before="0" w:beforeAutospacing="0" w:after="0" w:afterAutospacing="0"/>
              <w:ind w:left="0" w:right="0"/>
              <w:jc w:val="center"/>
              <w:rPr>
                <w:rFonts w:hint="default"/>
                <w:szCs w:val="21"/>
                <w:lang w:val="en-US"/>
              </w:rPr>
            </w:pPr>
            <w:r>
              <w:rPr>
                <w:rFonts w:hint="eastAsia"/>
                <w:szCs w:val="21"/>
              </w:rPr>
              <w:t>+</w:t>
            </w:r>
            <w:r>
              <w:rPr>
                <w:rFonts w:hint="eastAsia"/>
                <w:szCs w:val="21"/>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vMerge w:val="continue"/>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p>
        </w:tc>
        <w:tc>
          <w:tcPr>
            <w:tcW w:w="1417" w:type="dxa"/>
            <w:vAlign w:val="center"/>
          </w:tcPr>
          <w:p>
            <w:pPr>
              <w:keepNext w:val="0"/>
              <w:keepLines w:val="0"/>
              <w:suppressLineNumbers w:val="0"/>
              <w:adjustRightInd w:val="0"/>
              <w:snapToGrid w:val="0"/>
              <w:spacing w:before="0" w:beforeAutospacing="0" w:after="0" w:afterAutospacing="0"/>
              <w:ind w:left="0" w:right="0"/>
              <w:jc w:val="center"/>
            </w:pPr>
            <w:r>
              <w:rPr>
                <w:rFonts w:hint="eastAsia"/>
              </w:rPr>
              <w:t>餐厨垃圾</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276"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559"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15</w:t>
            </w:r>
          </w:p>
        </w:tc>
        <w:tc>
          <w:tcPr>
            <w:tcW w:w="1761" w:type="dxa"/>
            <w:vAlign w:val="center"/>
          </w:tcPr>
          <w:p>
            <w:pPr>
              <w:keepNext w:val="0"/>
              <w:keepLines w:val="0"/>
              <w:suppressLineNumbers w:val="0"/>
              <w:spacing w:before="0" w:beforeAutospacing="0" w:after="0" w:afterAutospacing="0"/>
              <w:ind w:left="0" w:right="0"/>
              <w:jc w:val="center"/>
              <w:rPr>
                <w:snapToGrid w:val="0"/>
                <w:color w:val="000000"/>
                <w:kern w:val="21"/>
                <w:szCs w:val="21"/>
              </w:rPr>
            </w:pPr>
            <w:r>
              <w:rPr>
                <w:rFonts w:hint="eastAsia"/>
                <w:snapToGrid w:val="0"/>
                <w:color w:val="000000"/>
                <w:kern w:val="21"/>
                <w:szCs w:val="21"/>
              </w:rPr>
              <w:t>0</w:t>
            </w:r>
          </w:p>
        </w:tc>
        <w:tc>
          <w:tcPr>
            <w:tcW w:w="1641"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15</w:t>
            </w:r>
          </w:p>
        </w:tc>
        <w:tc>
          <w:tcPr>
            <w:tcW w:w="1144"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vMerge w:val="restart"/>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ascii="Times New Roman"/>
                <w:snapToGrid w:val="0"/>
                <w:color w:val="000000"/>
                <w:kern w:val="21"/>
                <w:szCs w:val="21"/>
              </w:rPr>
              <w:t>危险废物</w:t>
            </w:r>
          </w:p>
        </w:tc>
        <w:tc>
          <w:tcPr>
            <w:tcW w:w="1417" w:type="dxa"/>
            <w:vAlign w:val="center"/>
          </w:tcPr>
          <w:p>
            <w:pPr>
              <w:keepNext w:val="0"/>
              <w:keepLines w:val="0"/>
              <w:suppressLineNumbers w:val="0"/>
              <w:adjustRightInd w:val="0"/>
              <w:snapToGrid w:val="0"/>
              <w:spacing w:before="0" w:beforeAutospacing="0" w:after="0" w:afterAutospacing="0"/>
              <w:ind w:left="0" w:right="0"/>
              <w:jc w:val="center"/>
              <w:rPr>
                <w:szCs w:val="21"/>
              </w:rPr>
            </w:pPr>
            <w:r>
              <w:t>废活性炭</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276"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559" w:type="dxa"/>
            <w:vAlign w:val="center"/>
          </w:tcPr>
          <w:p>
            <w:pPr>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4.9</w:t>
            </w:r>
          </w:p>
        </w:tc>
        <w:tc>
          <w:tcPr>
            <w:tcW w:w="1761" w:type="dxa"/>
            <w:vAlign w:val="center"/>
          </w:tcPr>
          <w:p>
            <w:pPr>
              <w:keepNext w:val="0"/>
              <w:keepLines w:val="0"/>
              <w:suppressLineNumbers w:val="0"/>
              <w:spacing w:before="0" w:beforeAutospacing="0" w:after="0" w:afterAutospacing="0"/>
              <w:ind w:left="0" w:right="0"/>
              <w:jc w:val="center"/>
            </w:pPr>
            <w:r>
              <w:rPr>
                <w:rFonts w:hint="eastAsia"/>
                <w:snapToGrid w:val="0"/>
                <w:color w:val="000000"/>
                <w:kern w:val="21"/>
                <w:szCs w:val="21"/>
              </w:rPr>
              <w:t>0</w:t>
            </w:r>
          </w:p>
        </w:tc>
        <w:tc>
          <w:tcPr>
            <w:tcW w:w="1641" w:type="dxa"/>
            <w:vAlign w:val="center"/>
          </w:tcPr>
          <w:p>
            <w:pPr>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rFonts w:hint="eastAsia"/>
                <w:szCs w:val="21"/>
                <w:lang w:val="en-US" w:eastAsia="zh-CN"/>
              </w:rPr>
              <w:t>4.9</w:t>
            </w:r>
          </w:p>
        </w:tc>
        <w:tc>
          <w:tcPr>
            <w:tcW w:w="1144" w:type="dxa"/>
            <w:vAlign w:val="center"/>
          </w:tcPr>
          <w:p>
            <w:pPr>
              <w:keepNext w:val="0"/>
              <w:keepLines w:val="0"/>
              <w:suppressLineNumbers w:val="0"/>
              <w:adjustRightInd w:val="0"/>
              <w:snapToGrid w:val="0"/>
              <w:spacing w:before="0" w:beforeAutospacing="0" w:after="0" w:afterAutospacing="0"/>
              <w:ind w:left="0" w:right="0"/>
              <w:jc w:val="center"/>
              <w:rPr>
                <w:rFonts w:hint="default" w:eastAsia="宋体"/>
                <w:szCs w:val="21"/>
                <w:lang w:val="en-US" w:eastAsia="zh-CN"/>
              </w:rPr>
            </w:pPr>
            <w:r>
              <w:rPr>
                <w:rFonts w:hint="eastAsia"/>
                <w:szCs w:val="21"/>
              </w:rPr>
              <w:t>+</w:t>
            </w:r>
            <w:r>
              <w:rPr>
                <w:rFonts w:hint="eastAsia"/>
                <w:szCs w:val="21"/>
                <w:lang w:val="en-US" w:eastAsia="zh-CN"/>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vMerge w:val="continue"/>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p>
        </w:tc>
        <w:tc>
          <w:tcPr>
            <w:tcW w:w="1417" w:type="dxa"/>
            <w:vAlign w:val="center"/>
          </w:tcPr>
          <w:p>
            <w:pPr>
              <w:keepNext w:val="0"/>
              <w:keepLines w:val="0"/>
              <w:suppressLineNumbers w:val="0"/>
              <w:adjustRightInd w:val="0"/>
              <w:snapToGrid w:val="0"/>
              <w:spacing w:before="0" w:beforeAutospacing="0" w:after="0" w:afterAutospacing="0"/>
              <w:ind w:left="0" w:right="0"/>
              <w:jc w:val="center"/>
            </w:pPr>
            <w:r>
              <w:rPr>
                <w:rFonts w:hint="eastAsia"/>
              </w:rPr>
              <w:t>废包装桶</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276"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559"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0.6</w:t>
            </w:r>
          </w:p>
        </w:tc>
        <w:tc>
          <w:tcPr>
            <w:tcW w:w="1761" w:type="dxa"/>
            <w:vAlign w:val="center"/>
          </w:tcPr>
          <w:p>
            <w:pPr>
              <w:keepNext w:val="0"/>
              <w:keepLines w:val="0"/>
              <w:suppressLineNumbers w:val="0"/>
              <w:spacing w:before="0" w:beforeAutospacing="0" w:after="0" w:afterAutospacing="0"/>
              <w:ind w:left="0" w:right="0"/>
              <w:jc w:val="center"/>
              <w:rPr>
                <w:snapToGrid w:val="0"/>
                <w:color w:val="000000"/>
                <w:kern w:val="21"/>
                <w:szCs w:val="21"/>
              </w:rPr>
            </w:pPr>
            <w:r>
              <w:rPr>
                <w:rFonts w:hint="eastAsia"/>
                <w:snapToGrid w:val="0"/>
                <w:color w:val="000000"/>
                <w:kern w:val="21"/>
                <w:szCs w:val="21"/>
              </w:rPr>
              <w:t>0</w:t>
            </w:r>
          </w:p>
        </w:tc>
        <w:tc>
          <w:tcPr>
            <w:tcW w:w="1641"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0.6</w:t>
            </w:r>
          </w:p>
        </w:tc>
        <w:tc>
          <w:tcPr>
            <w:tcW w:w="1144"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vMerge w:val="continue"/>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p>
        </w:tc>
        <w:tc>
          <w:tcPr>
            <w:tcW w:w="1417" w:type="dxa"/>
            <w:vAlign w:val="center"/>
          </w:tcPr>
          <w:p>
            <w:pPr>
              <w:keepNext w:val="0"/>
              <w:keepLines w:val="0"/>
              <w:suppressLineNumbers w:val="0"/>
              <w:adjustRightInd w:val="0"/>
              <w:snapToGrid w:val="0"/>
              <w:spacing w:before="0" w:beforeAutospacing="0" w:after="0" w:afterAutospacing="0"/>
              <w:ind w:left="0" w:right="0"/>
              <w:jc w:val="center"/>
            </w:pPr>
            <w:r>
              <w:rPr>
                <w:rFonts w:hint="eastAsia"/>
              </w:rPr>
              <w:t>废</w:t>
            </w:r>
            <w:r>
              <w:rPr>
                <w:rFonts w:hint="eastAsia"/>
                <w:lang w:eastAsia="zh-CN"/>
              </w:rPr>
              <w:t>矿物</w:t>
            </w:r>
            <w:r>
              <w:rPr>
                <w:rFonts w:hint="eastAsia"/>
              </w:rPr>
              <w:t>油</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276"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559" w:type="dxa"/>
            <w:vAlign w:val="center"/>
          </w:tcPr>
          <w:p>
            <w:pPr>
              <w:keepNext w:val="0"/>
              <w:keepLines w:val="0"/>
              <w:suppressLineNumbers w:val="0"/>
              <w:adjustRightInd w:val="0"/>
              <w:snapToGrid w:val="0"/>
              <w:spacing w:before="0" w:beforeAutospacing="0" w:after="0" w:afterAutospacing="0"/>
              <w:ind w:left="0" w:right="0"/>
              <w:jc w:val="center"/>
              <w:rPr>
                <w:rFonts w:hint="eastAsia" w:eastAsia="宋体"/>
                <w:szCs w:val="21"/>
                <w:lang w:eastAsia="zh-CN"/>
              </w:rPr>
            </w:pPr>
            <w:r>
              <w:rPr>
                <w:rFonts w:hint="eastAsia"/>
                <w:szCs w:val="21"/>
                <w:lang w:val="en-US" w:eastAsia="zh-CN"/>
              </w:rPr>
              <w:t>4</w:t>
            </w:r>
          </w:p>
        </w:tc>
        <w:tc>
          <w:tcPr>
            <w:tcW w:w="1761" w:type="dxa"/>
            <w:vAlign w:val="center"/>
          </w:tcPr>
          <w:p>
            <w:pPr>
              <w:keepNext w:val="0"/>
              <w:keepLines w:val="0"/>
              <w:suppressLineNumbers w:val="0"/>
              <w:spacing w:before="0" w:beforeAutospacing="0" w:after="0" w:afterAutospacing="0"/>
              <w:ind w:left="0" w:right="0"/>
              <w:jc w:val="center"/>
            </w:pPr>
            <w:r>
              <w:rPr>
                <w:rFonts w:hint="eastAsia"/>
                <w:snapToGrid w:val="0"/>
                <w:color w:val="000000"/>
                <w:kern w:val="21"/>
                <w:szCs w:val="21"/>
              </w:rPr>
              <w:t>0</w:t>
            </w:r>
          </w:p>
        </w:tc>
        <w:tc>
          <w:tcPr>
            <w:tcW w:w="1641" w:type="dxa"/>
            <w:vAlign w:val="center"/>
          </w:tcPr>
          <w:p>
            <w:pPr>
              <w:keepNext w:val="0"/>
              <w:keepLines w:val="0"/>
              <w:suppressLineNumbers w:val="0"/>
              <w:adjustRightInd w:val="0"/>
              <w:snapToGrid w:val="0"/>
              <w:spacing w:before="0" w:beforeAutospacing="0" w:after="0" w:afterAutospacing="0"/>
              <w:ind w:left="0" w:right="0"/>
              <w:jc w:val="center"/>
              <w:rPr>
                <w:rFonts w:hint="eastAsia" w:eastAsia="宋体"/>
                <w:szCs w:val="21"/>
                <w:lang w:eastAsia="zh-CN"/>
              </w:rPr>
            </w:pPr>
            <w:r>
              <w:rPr>
                <w:rFonts w:hint="eastAsia"/>
                <w:szCs w:val="21"/>
                <w:lang w:val="en-US" w:eastAsia="zh-CN"/>
              </w:rPr>
              <w:t>4</w:t>
            </w:r>
          </w:p>
        </w:tc>
        <w:tc>
          <w:tcPr>
            <w:tcW w:w="1144" w:type="dxa"/>
            <w:vAlign w:val="center"/>
          </w:tcPr>
          <w:p>
            <w:pPr>
              <w:keepNext w:val="0"/>
              <w:keepLines w:val="0"/>
              <w:suppressLineNumbers w:val="0"/>
              <w:adjustRightInd w:val="0"/>
              <w:snapToGrid w:val="0"/>
              <w:spacing w:before="0" w:beforeAutospacing="0" w:after="0" w:afterAutospacing="0"/>
              <w:ind w:left="0" w:right="0"/>
              <w:jc w:val="center"/>
              <w:rPr>
                <w:rFonts w:hint="eastAsia" w:eastAsia="宋体"/>
                <w:szCs w:val="21"/>
                <w:lang w:eastAsia="zh-CN"/>
              </w:rPr>
            </w:pPr>
            <w:r>
              <w:rPr>
                <w:rFonts w:hint="eastAsia"/>
                <w:szCs w:val="21"/>
              </w:rPr>
              <w:t>+</w:t>
            </w:r>
            <w:r>
              <w:rPr>
                <w:rFonts w:hint="eastAsia"/>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vMerge w:val="continue"/>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p>
        </w:tc>
        <w:tc>
          <w:tcPr>
            <w:tcW w:w="1417" w:type="dxa"/>
            <w:vAlign w:val="center"/>
          </w:tcPr>
          <w:p>
            <w:pPr>
              <w:keepNext w:val="0"/>
              <w:keepLines w:val="0"/>
              <w:suppressLineNumbers w:val="0"/>
              <w:adjustRightInd w:val="0"/>
              <w:snapToGrid w:val="0"/>
              <w:spacing w:before="0" w:beforeAutospacing="0" w:after="0" w:afterAutospacing="0"/>
              <w:ind w:left="0" w:right="0"/>
              <w:jc w:val="center"/>
            </w:pPr>
            <w:r>
              <w:rPr>
                <w:rFonts w:hint="eastAsia"/>
              </w:rPr>
              <w:t>含油抹布手套（豁免）</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276"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559"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0.2</w:t>
            </w:r>
          </w:p>
        </w:tc>
        <w:tc>
          <w:tcPr>
            <w:tcW w:w="1761" w:type="dxa"/>
            <w:vAlign w:val="center"/>
          </w:tcPr>
          <w:p>
            <w:pPr>
              <w:keepNext w:val="0"/>
              <w:keepLines w:val="0"/>
              <w:suppressLineNumbers w:val="0"/>
              <w:spacing w:before="0" w:beforeAutospacing="0" w:after="0" w:afterAutospacing="0"/>
              <w:ind w:left="0" w:right="0"/>
              <w:jc w:val="center"/>
            </w:pPr>
            <w:r>
              <w:rPr>
                <w:rFonts w:hint="eastAsia"/>
                <w:snapToGrid w:val="0"/>
                <w:color w:val="000000"/>
                <w:kern w:val="21"/>
                <w:szCs w:val="21"/>
              </w:rPr>
              <w:t>0</w:t>
            </w:r>
          </w:p>
        </w:tc>
        <w:tc>
          <w:tcPr>
            <w:tcW w:w="1641"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0.2</w:t>
            </w:r>
          </w:p>
        </w:tc>
        <w:tc>
          <w:tcPr>
            <w:tcW w:w="1144"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ascii="Times New Roman"/>
                <w:snapToGrid w:val="0"/>
                <w:color w:val="000000"/>
                <w:kern w:val="21"/>
                <w:szCs w:val="21"/>
              </w:rPr>
              <w:t>生活垃圾</w:t>
            </w:r>
          </w:p>
        </w:tc>
        <w:tc>
          <w:tcPr>
            <w:tcW w:w="1417" w:type="dxa"/>
            <w:vAlign w:val="center"/>
          </w:tcPr>
          <w:p>
            <w:pPr>
              <w:keepNext w:val="0"/>
              <w:keepLines w:val="0"/>
              <w:suppressLineNumbers w:val="0"/>
              <w:adjustRightInd w:val="0"/>
              <w:snapToGrid w:val="0"/>
              <w:spacing w:before="0" w:beforeAutospacing="0" w:after="0" w:afterAutospacing="0"/>
              <w:ind w:left="0" w:right="0"/>
              <w:jc w:val="center"/>
              <w:rPr>
                <w:szCs w:val="21"/>
              </w:rPr>
            </w:pPr>
            <w:r>
              <w:t>生活垃圾</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276"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701" w:type="dxa"/>
            <w:vAlign w:val="center"/>
          </w:tcPr>
          <w:p>
            <w:pPr>
              <w:pStyle w:val="36"/>
              <w:keepNext w:val="0"/>
              <w:keepLines w:val="0"/>
              <w:suppressLineNumbers w:val="0"/>
              <w:spacing w:before="0" w:beforeLines="0" w:beforeAutospacing="0" w:after="0" w:afterLines="0" w:afterAutospacing="0" w:line="240" w:lineRule="auto"/>
              <w:ind w:left="0" w:right="0"/>
              <w:rPr>
                <w:rFonts w:ascii="Times New Roman"/>
                <w:snapToGrid w:val="0"/>
                <w:color w:val="000000"/>
                <w:kern w:val="21"/>
                <w:szCs w:val="21"/>
              </w:rPr>
            </w:pPr>
            <w:r>
              <w:rPr>
                <w:rFonts w:hint="eastAsia" w:ascii="Times New Roman"/>
                <w:snapToGrid w:val="0"/>
                <w:color w:val="000000"/>
                <w:kern w:val="21"/>
                <w:szCs w:val="21"/>
              </w:rPr>
              <w:t>0</w:t>
            </w:r>
          </w:p>
        </w:tc>
        <w:tc>
          <w:tcPr>
            <w:tcW w:w="1559"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36</w:t>
            </w:r>
          </w:p>
        </w:tc>
        <w:tc>
          <w:tcPr>
            <w:tcW w:w="1761" w:type="dxa"/>
            <w:vAlign w:val="center"/>
          </w:tcPr>
          <w:p>
            <w:pPr>
              <w:keepNext w:val="0"/>
              <w:keepLines w:val="0"/>
              <w:suppressLineNumbers w:val="0"/>
              <w:spacing w:before="0" w:beforeAutospacing="0" w:after="0" w:afterAutospacing="0"/>
              <w:ind w:left="0" w:right="0"/>
              <w:jc w:val="center"/>
              <w:rPr>
                <w:snapToGrid w:val="0"/>
                <w:color w:val="000000"/>
                <w:kern w:val="21"/>
                <w:szCs w:val="21"/>
              </w:rPr>
            </w:pPr>
            <w:r>
              <w:rPr>
                <w:rFonts w:hint="eastAsia"/>
                <w:snapToGrid w:val="0"/>
                <w:color w:val="000000"/>
                <w:kern w:val="21"/>
                <w:szCs w:val="21"/>
              </w:rPr>
              <w:t>0</w:t>
            </w:r>
          </w:p>
        </w:tc>
        <w:tc>
          <w:tcPr>
            <w:tcW w:w="1641"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36</w:t>
            </w:r>
          </w:p>
        </w:tc>
        <w:tc>
          <w:tcPr>
            <w:tcW w:w="1144" w:type="dxa"/>
            <w:vAlign w:val="center"/>
          </w:tcPr>
          <w:p>
            <w:pPr>
              <w:keepNext w:val="0"/>
              <w:keepLines w:val="0"/>
              <w:suppressLineNumbers w:val="0"/>
              <w:adjustRightInd w:val="0"/>
              <w:snapToGrid w:val="0"/>
              <w:spacing w:before="0" w:beforeAutospacing="0" w:after="0" w:afterAutospacing="0"/>
              <w:ind w:left="0" w:right="0"/>
              <w:jc w:val="center"/>
              <w:rPr>
                <w:szCs w:val="21"/>
              </w:rPr>
            </w:pPr>
            <w:r>
              <w:rPr>
                <w:rFonts w:hint="eastAsia"/>
                <w:szCs w:val="21"/>
              </w:rPr>
              <w:t>+36</w:t>
            </w:r>
          </w:p>
        </w:tc>
      </w:tr>
    </w:tbl>
    <w:p>
      <w:pPr>
        <w:pStyle w:val="36"/>
        <w:spacing w:beforeLines="0" w:afterLines="0" w:line="240" w:lineRule="auto"/>
        <w:jc w:val="left"/>
        <w:rPr>
          <w:rFonts w:hAnsi="宋体"/>
          <w:snapToGrid w:val="0"/>
          <w:color w:val="000000"/>
          <w:spacing w:val="-6"/>
          <w:kern w:val="21"/>
          <w:szCs w:val="21"/>
        </w:rPr>
        <w:sectPr>
          <w:footerReference r:id="rId8" w:type="default"/>
          <w:pgSz w:w="16838" w:h="11906" w:orient="landscape"/>
          <w:pgMar w:top="1701" w:right="1531" w:bottom="1701" w:left="1531" w:header="851" w:footer="851" w:gutter="0"/>
          <w:cols w:space="720" w:num="1"/>
          <w:docGrid w:linePitch="312" w:charSpace="0"/>
        </w:sectPr>
      </w:pPr>
      <w:r>
        <w:rPr>
          <w:rFonts w:hAnsi="宋体"/>
          <w:snapToGrid w:val="0"/>
          <w:color w:val="000000"/>
          <w:kern w:val="21"/>
          <w:szCs w:val="21"/>
        </w:rPr>
        <w:t>注：</w:t>
      </w:r>
      <w:r>
        <w:rPr>
          <w:rFonts w:hAnsi="宋体"/>
          <w:snapToGrid w:val="0"/>
          <w:color w:val="000000"/>
          <w:spacing w:val="-16"/>
          <w:kern w:val="21"/>
          <w:szCs w:val="21"/>
        </w:rPr>
        <w:fldChar w:fldCharType="begin"/>
      </w:r>
      <w:r>
        <w:rPr>
          <w:rFonts w:hAnsi="宋体"/>
          <w:snapToGrid w:val="0"/>
          <w:color w:val="000000"/>
          <w:spacing w:val="-16"/>
          <w:kern w:val="21"/>
          <w:szCs w:val="21"/>
        </w:rPr>
        <w:instrText xml:space="preserve"> = 6 \* GB3 \* MERGEFORMAT </w:instrText>
      </w:r>
      <w:r>
        <w:rPr>
          <w:rFonts w:hAnsi="宋体"/>
          <w:snapToGrid w:val="0"/>
          <w:color w:val="000000"/>
          <w:spacing w:val="-16"/>
          <w:kern w:val="21"/>
          <w:szCs w:val="21"/>
        </w:rPr>
        <w:fldChar w:fldCharType="separate"/>
      </w:r>
      <w:r>
        <w:rPr>
          <w:rFonts w:hint="eastAsia" w:hAnsi="宋体"/>
          <w:szCs w:val="21"/>
        </w:rPr>
        <w:t>⑥</w:t>
      </w:r>
      <w:r>
        <w:rPr>
          <w:rFonts w:hAnsi="宋体"/>
          <w:snapToGrid w:val="0"/>
          <w:color w:val="000000"/>
          <w:spacing w:val="-16"/>
          <w:kern w:val="21"/>
          <w:szCs w:val="21"/>
        </w:rPr>
        <w:fldChar w:fldCharType="end"/>
      </w:r>
      <w:r>
        <w:rPr>
          <w:rFonts w:hAnsi="宋体"/>
          <w:snapToGrid w:val="0"/>
          <w:color w:val="000000"/>
          <w:spacing w:val="-16"/>
          <w:kern w:val="21"/>
          <w:szCs w:val="21"/>
        </w:rPr>
        <w:t>=</w:t>
      </w:r>
      <w:r>
        <w:rPr>
          <w:rFonts w:hAnsi="宋体"/>
          <w:snapToGrid w:val="0"/>
          <w:color w:val="000000"/>
          <w:spacing w:val="-6"/>
          <w:kern w:val="21"/>
          <w:szCs w:val="21"/>
        </w:rPr>
        <w:fldChar w:fldCharType="begin"/>
      </w:r>
      <w:r>
        <w:rPr>
          <w:rFonts w:hAnsi="宋体"/>
          <w:snapToGrid w:val="0"/>
          <w:color w:val="000000"/>
          <w:spacing w:val="-6"/>
          <w:kern w:val="21"/>
          <w:szCs w:val="21"/>
        </w:rPr>
        <w:instrText xml:space="preserve"> = 1 \* GB3 \* MERGEFORMAT </w:instrText>
      </w:r>
      <w:r>
        <w:rPr>
          <w:rFonts w:hAnsi="宋体"/>
          <w:snapToGrid w:val="0"/>
          <w:color w:val="000000"/>
          <w:spacing w:val="-6"/>
          <w:kern w:val="21"/>
          <w:szCs w:val="21"/>
        </w:rPr>
        <w:fldChar w:fldCharType="separate"/>
      </w:r>
      <w:r>
        <w:rPr>
          <w:rFonts w:hint="eastAsia" w:hAnsi="宋体"/>
          <w:szCs w:val="21"/>
        </w:rPr>
        <w:t>①</w:t>
      </w:r>
      <w:r>
        <w:rPr>
          <w:rFonts w:hAnsi="宋体"/>
          <w:snapToGrid w:val="0"/>
          <w:color w:val="000000"/>
          <w:spacing w:val="-6"/>
          <w:kern w:val="21"/>
          <w:szCs w:val="21"/>
        </w:rPr>
        <w:fldChar w:fldCharType="end"/>
      </w:r>
      <w:r>
        <w:rPr>
          <w:rFonts w:hAnsi="宋体"/>
          <w:snapToGrid w:val="0"/>
          <w:color w:val="000000"/>
          <w:spacing w:val="-6"/>
          <w:kern w:val="21"/>
          <w:szCs w:val="21"/>
        </w:rPr>
        <w:t>+</w:t>
      </w:r>
      <w:r>
        <w:rPr>
          <w:rFonts w:hAnsi="宋体"/>
          <w:snapToGrid w:val="0"/>
          <w:color w:val="000000"/>
          <w:spacing w:val="-6"/>
          <w:kern w:val="21"/>
          <w:szCs w:val="21"/>
        </w:rPr>
        <w:fldChar w:fldCharType="begin"/>
      </w:r>
      <w:r>
        <w:rPr>
          <w:rFonts w:hAnsi="宋体"/>
          <w:snapToGrid w:val="0"/>
          <w:color w:val="000000"/>
          <w:spacing w:val="-6"/>
          <w:kern w:val="21"/>
          <w:szCs w:val="21"/>
        </w:rPr>
        <w:instrText xml:space="preserve"> = 3 \* GB3 \* MERGEFORMAT </w:instrText>
      </w:r>
      <w:r>
        <w:rPr>
          <w:rFonts w:hAnsi="宋体"/>
          <w:snapToGrid w:val="0"/>
          <w:color w:val="000000"/>
          <w:spacing w:val="-6"/>
          <w:kern w:val="21"/>
          <w:szCs w:val="21"/>
        </w:rPr>
        <w:fldChar w:fldCharType="separate"/>
      </w:r>
      <w:r>
        <w:rPr>
          <w:rFonts w:hint="eastAsia" w:hAnsi="宋体"/>
          <w:szCs w:val="21"/>
        </w:rPr>
        <w:t>③</w:t>
      </w:r>
      <w:r>
        <w:rPr>
          <w:rFonts w:hAnsi="宋体"/>
          <w:snapToGrid w:val="0"/>
          <w:color w:val="000000"/>
          <w:spacing w:val="-6"/>
          <w:kern w:val="21"/>
          <w:szCs w:val="21"/>
        </w:rPr>
        <w:fldChar w:fldCharType="end"/>
      </w:r>
      <w:r>
        <w:rPr>
          <w:rFonts w:hAnsi="宋体"/>
          <w:snapToGrid w:val="0"/>
          <w:color w:val="000000"/>
          <w:spacing w:val="-6"/>
          <w:kern w:val="21"/>
          <w:szCs w:val="21"/>
        </w:rPr>
        <w:t>+</w:t>
      </w:r>
      <w:r>
        <w:rPr>
          <w:rFonts w:hAnsi="宋体"/>
          <w:snapToGrid w:val="0"/>
          <w:color w:val="000000"/>
          <w:spacing w:val="-6"/>
          <w:kern w:val="21"/>
          <w:szCs w:val="21"/>
        </w:rPr>
        <w:fldChar w:fldCharType="begin"/>
      </w:r>
      <w:r>
        <w:rPr>
          <w:rFonts w:hAnsi="宋体"/>
          <w:snapToGrid w:val="0"/>
          <w:color w:val="000000"/>
          <w:spacing w:val="-6"/>
          <w:kern w:val="21"/>
          <w:szCs w:val="21"/>
        </w:rPr>
        <w:instrText xml:space="preserve"> = 4 \* GB3 \* MERGEFORMAT </w:instrText>
      </w:r>
      <w:r>
        <w:rPr>
          <w:rFonts w:hAnsi="宋体"/>
          <w:snapToGrid w:val="0"/>
          <w:color w:val="000000"/>
          <w:spacing w:val="-6"/>
          <w:kern w:val="21"/>
          <w:szCs w:val="21"/>
        </w:rPr>
        <w:fldChar w:fldCharType="separate"/>
      </w:r>
      <w:r>
        <w:rPr>
          <w:rFonts w:hint="eastAsia" w:hAnsi="宋体"/>
          <w:szCs w:val="21"/>
        </w:rPr>
        <w:t>④</w:t>
      </w:r>
      <w:r>
        <w:rPr>
          <w:rFonts w:hAnsi="宋体"/>
          <w:snapToGrid w:val="0"/>
          <w:color w:val="000000"/>
          <w:spacing w:val="-6"/>
          <w:kern w:val="21"/>
          <w:szCs w:val="21"/>
        </w:rPr>
        <w:fldChar w:fldCharType="end"/>
      </w:r>
      <w:r>
        <w:rPr>
          <w:rFonts w:hAnsi="宋体"/>
          <w:snapToGrid w:val="0"/>
          <w:color w:val="000000"/>
          <w:spacing w:val="-6"/>
          <w:kern w:val="21"/>
          <w:szCs w:val="21"/>
        </w:rPr>
        <w:t>-</w:t>
      </w:r>
      <w:r>
        <w:rPr>
          <w:rFonts w:hAnsi="宋体"/>
          <w:snapToGrid w:val="0"/>
          <w:color w:val="000000"/>
          <w:spacing w:val="-16"/>
          <w:kern w:val="21"/>
          <w:szCs w:val="21"/>
        </w:rPr>
        <w:fldChar w:fldCharType="begin"/>
      </w:r>
      <w:r>
        <w:rPr>
          <w:rFonts w:hAnsi="宋体"/>
          <w:snapToGrid w:val="0"/>
          <w:color w:val="000000"/>
          <w:spacing w:val="-16"/>
          <w:kern w:val="21"/>
          <w:szCs w:val="21"/>
        </w:rPr>
        <w:instrText xml:space="preserve"> = 5 \* GB3 \* MERGEFORMAT </w:instrText>
      </w:r>
      <w:r>
        <w:rPr>
          <w:rFonts w:hAnsi="宋体"/>
          <w:snapToGrid w:val="0"/>
          <w:color w:val="000000"/>
          <w:spacing w:val="-16"/>
          <w:kern w:val="21"/>
          <w:szCs w:val="21"/>
        </w:rPr>
        <w:fldChar w:fldCharType="separate"/>
      </w:r>
      <w:r>
        <w:rPr>
          <w:rFonts w:hint="eastAsia" w:hAnsi="宋体"/>
          <w:szCs w:val="21"/>
        </w:rPr>
        <w:t>⑤</w:t>
      </w:r>
      <w:r>
        <w:rPr>
          <w:rFonts w:hAnsi="宋体"/>
          <w:snapToGrid w:val="0"/>
          <w:color w:val="000000"/>
          <w:spacing w:val="-16"/>
          <w:kern w:val="21"/>
          <w:szCs w:val="21"/>
        </w:rPr>
        <w:fldChar w:fldCharType="end"/>
      </w:r>
      <w:r>
        <w:rPr>
          <w:rFonts w:hAnsi="宋体"/>
          <w:snapToGrid w:val="0"/>
          <w:color w:val="000000"/>
          <w:spacing w:val="-16"/>
          <w:kern w:val="21"/>
          <w:szCs w:val="21"/>
        </w:rPr>
        <w:t>；</w:t>
      </w:r>
      <w:r>
        <w:rPr>
          <w:rFonts w:hAnsi="宋体"/>
          <w:snapToGrid w:val="0"/>
          <w:color w:val="000000"/>
          <w:spacing w:val="-6"/>
          <w:kern w:val="21"/>
          <w:szCs w:val="21"/>
        </w:rPr>
        <w:fldChar w:fldCharType="begin"/>
      </w:r>
      <w:r>
        <w:rPr>
          <w:rFonts w:hAnsi="宋体"/>
          <w:snapToGrid w:val="0"/>
          <w:color w:val="000000"/>
          <w:spacing w:val="-6"/>
          <w:kern w:val="21"/>
          <w:szCs w:val="21"/>
        </w:rPr>
        <w:instrText xml:space="preserve"> = 7 \* GB3 \* MERGEFORMAT </w:instrText>
      </w:r>
      <w:r>
        <w:rPr>
          <w:rFonts w:hAnsi="宋体"/>
          <w:snapToGrid w:val="0"/>
          <w:color w:val="000000"/>
          <w:spacing w:val="-6"/>
          <w:kern w:val="21"/>
          <w:szCs w:val="21"/>
        </w:rPr>
        <w:fldChar w:fldCharType="separate"/>
      </w:r>
      <w:r>
        <w:rPr>
          <w:rFonts w:hint="eastAsia" w:hAnsi="宋体"/>
          <w:szCs w:val="21"/>
        </w:rPr>
        <w:t>⑦</w:t>
      </w:r>
      <w:r>
        <w:rPr>
          <w:rFonts w:hAnsi="宋体"/>
          <w:snapToGrid w:val="0"/>
          <w:color w:val="000000"/>
          <w:spacing w:val="-6"/>
          <w:kern w:val="21"/>
          <w:szCs w:val="21"/>
        </w:rPr>
        <w:fldChar w:fldCharType="end"/>
      </w:r>
      <w:r>
        <w:rPr>
          <w:rFonts w:hAnsi="宋体"/>
          <w:snapToGrid w:val="0"/>
          <w:color w:val="000000"/>
          <w:spacing w:val="-6"/>
          <w:kern w:val="21"/>
          <w:szCs w:val="21"/>
        </w:rPr>
        <w:t>=</w:t>
      </w:r>
      <w:r>
        <w:rPr>
          <w:rFonts w:hAnsi="宋体"/>
          <w:snapToGrid w:val="0"/>
          <w:color w:val="000000"/>
          <w:spacing w:val="-16"/>
          <w:kern w:val="21"/>
          <w:szCs w:val="21"/>
        </w:rPr>
        <w:fldChar w:fldCharType="begin"/>
      </w:r>
      <w:r>
        <w:rPr>
          <w:rFonts w:hAnsi="宋体"/>
          <w:snapToGrid w:val="0"/>
          <w:color w:val="000000"/>
          <w:spacing w:val="-16"/>
          <w:kern w:val="21"/>
          <w:szCs w:val="21"/>
        </w:rPr>
        <w:instrText xml:space="preserve"> = 6 \* GB3 \* MERGEFORMAT </w:instrText>
      </w:r>
      <w:r>
        <w:rPr>
          <w:rFonts w:hAnsi="宋体"/>
          <w:snapToGrid w:val="0"/>
          <w:color w:val="000000"/>
          <w:spacing w:val="-16"/>
          <w:kern w:val="21"/>
          <w:szCs w:val="21"/>
        </w:rPr>
        <w:fldChar w:fldCharType="separate"/>
      </w:r>
      <w:r>
        <w:rPr>
          <w:rFonts w:hint="eastAsia" w:hAnsi="宋体"/>
          <w:szCs w:val="21"/>
        </w:rPr>
        <w:t>⑥</w:t>
      </w:r>
      <w:r>
        <w:rPr>
          <w:rFonts w:hAnsi="宋体"/>
          <w:snapToGrid w:val="0"/>
          <w:color w:val="000000"/>
          <w:spacing w:val="-16"/>
          <w:kern w:val="21"/>
          <w:szCs w:val="21"/>
        </w:rPr>
        <w:fldChar w:fldCharType="end"/>
      </w:r>
      <w:r>
        <w:rPr>
          <w:rFonts w:hAnsi="宋体"/>
          <w:snapToGrid w:val="0"/>
          <w:color w:val="000000"/>
          <w:spacing w:val="-16"/>
          <w:kern w:val="21"/>
          <w:szCs w:val="21"/>
        </w:rPr>
        <w:t>-</w:t>
      </w:r>
      <w:r>
        <w:rPr>
          <w:rFonts w:hAnsi="宋体"/>
          <w:snapToGrid w:val="0"/>
          <w:color w:val="000000"/>
          <w:spacing w:val="-6"/>
          <w:kern w:val="21"/>
          <w:szCs w:val="21"/>
        </w:rPr>
        <w:fldChar w:fldCharType="begin"/>
      </w:r>
      <w:r>
        <w:rPr>
          <w:rFonts w:hAnsi="宋体"/>
          <w:snapToGrid w:val="0"/>
          <w:color w:val="000000"/>
          <w:spacing w:val="-6"/>
          <w:kern w:val="21"/>
          <w:szCs w:val="21"/>
        </w:rPr>
        <w:instrText xml:space="preserve"> = 1 \* GB3 \* MERGEFORMAT </w:instrText>
      </w:r>
      <w:r>
        <w:rPr>
          <w:rFonts w:hAnsi="宋体"/>
          <w:snapToGrid w:val="0"/>
          <w:color w:val="000000"/>
          <w:spacing w:val="-6"/>
          <w:kern w:val="21"/>
          <w:szCs w:val="21"/>
        </w:rPr>
        <w:fldChar w:fldCharType="separate"/>
      </w:r>
      <w:r>
        <w:rPr>
          <w:rFonts w:hint="eastAsia" w:hAnsi="宋体"/>
          <w:szCs w:val="21"/>
        </w:rPr>
        <w:t>①</w:t>
      </w:r>
      <w:r>
        <w:rPr>
          <w:rFonts w:hAnsi="宋体"/>
          <w:snapToGrid w:val="0"/>
          <w:color w:val="000000"/>
          <w:spacing w:val="-6"/>
          <w:kern w:val="21"/>
          <w:szCs w:val="21"/>
        </w:rPr>
        <w:fldChar w:fldCharType="end"/>
      </w:r>
    </w:p>
    <w:p>
      <w:pPr>
        <w:rPr>
          <w:rFonts w:ascii="宋体" w:hAnsi="宋体" w:eastAsia="黑体"/>
        </w:rPr>
      </w:pPr>
    </w:p>
    <w:p>
      <w:pPr>
        <w:adjustRightInd w:val="0"/>
        <w:snapToGrid w:val="0"/>
        <w:spacing w:line="480" w:lineRule="exact"/>
        <w:ind w:firstLine="480"/>
        <w:outlineLvl w:val="0"/>
        <w:rPr>
          <w:rFonts w:ascii="宋体" w:hAnsi="宋体" w:cs="宋体"/>
          <w:b/>
          <w:bCs/>
        </w:rPr>
      </w:pPr>
      <w:bookmarkStart w:id="11" w:name="_Toc5383"/>
      <w:r>
        <w:rPr>
          <w:rFonts w:hint="eastAsia" w:ascii="宋体" w:hAnsi="宋体" w:cs="宋体"/>
          <w:b/>
          <w:bCs/>
          <w:sz w:val="24"/>
        </w:rPr>
        <w:t>附件</w:t>
      </w:r>
      <w:bookmarkEnd w:id="11"/>
    </w:p>
    <w:p>
      <w:pPr>
        <w:adjustRightInd w:val="0"/>
        <w:snapToGrid w:val="0"/>
        <w:spacing w:line="480" w:lineRule="exact"/>
        <w:ind w:firstLine="480"/>
        <w:outlineLvl w:val="0"/>
        <w:rPr>
          <w:rFonts w:cs="宋体"/>
        </w:rPr>
      </w:pPr>
      <w:bookmarkStart w:id="12" w:name="_Toc20775"/>
      <w:r>
        <w:rPr>
          <w:rFonts w:hint="eastAsia" w:cs="宋体"/>
          <w:sz w:val="24"/>
        </w:rPr>
        <w:t>附件1  委托书</w:t>
      </w:r>
      <w:bookmarkEnd w:id="12"/>
    </w:p>
    <w:p>
      <w:pPr>
        <w:adjustRightInd w:val="0"/>
        <w:snapToGrid w:val="0"/>
        <w:spacing w:line="480" w:lineRule="exact"/>
        <w:ind w:firstLine="480"/>
        <w:outlineLvl w:val="0"/>
        <w:rPr>
          <w:rFonts w:cs="宋体"/>
        </w:rPr>
      </w:pPr>
      <w:bookmarkStart w:id="13" w:name="_Toc20573"/>
      <w:r>
        <w:rPr>
          <w:rFonts w:hint="eastAsia" w:cs="宋体"/>
          <w:sz w:val="24"/>
        </w:rPr>
        <w:t>附件2  项目备案通知书</w:t>
      </w:r>
      <w:bookmarkEnd w:id="13"/>
    </w:p>
    <w:p>
      <w:pPr>
        <w:adjustRightInd w:val="0"/>
        <w:snapToGrid w:val="0"/>
        <w:spacing w:line="480" w:lineRule="exact"/>
        <w:ind w:firstLine="480"/>
        <w:outlineLvl w:val="0"/>
        <w:rPr>
          <w:rFonts w:cs="宋体"/>
        </w:rPr>
      </w:pPr>
      <w:bookmarkStart w:id="14" w:name="_Toc19494"/>
      <w:r>
        <w:rPr>
          <w:rFonts w:hint="eastAsia" w:cs="宋体"/>
          <w:sz w:val="24"/>
        </w:rPr>
        <w:t>附件3  环境影响申报登记表及答复意见</w:t>
      </w:r>
      <w:bookmarkEnd w:id="14"/>
    </w:p>
    <w:p>
      <w:pPr>
        <w:adjustRightInd w:val="0"/>
        <w:snapToGrid w:val="0"/>
        <w:spacing w:line="480" w:lineRule="exact"/>
        <w:ind w:firstLine="480"/>
        <w:outlineLvl w:val="0"/>
        <w:rPr>
          <w:sz w:val="24"/>
          <w:szCs w:val="22"/>
        </w:rPr>
      </w:pPr>
      <w:bookmarkStart w:id="15" w:name="_Toc28669"/>
      <w:r>
        <w:rPr>
          <w:rFonts w:hint="eastAsia"/>
          <w:sz w:val="24"/>
          <w:szCs w:val="22"/>
        </w:rPr>
        <w:t>附件4  原有项目环评批复</w:t>
      </w:r>
      <w:bookmarkEnd w:id="15"/>
    </w:p>
    <w:p>
      <w:pPr>
        <w:adjustRightInd w:val="0"/>
        <w:snapToGrid w:val="0"/>
        <w:spacing w:line="480" w:lineRule="exact"/>
        <w:ind w:firstLine="480"/>
        <w:outlineLvl w:val="0"/>
        <w:rPr>
          <w:sz w:val="24"/>
          <w:szCs w:val="22"/>
        </w:rPr>
      </w:pPr>
      <w:bookmarkStart w:id="16" w:name="_Toc29843"/>
      <w:r>
        <w:rPr>
          <w:sz w:val="24"/>
          <w:szCs w:val="22"/>
        </w:rPr>
        <w:t>附件</w:t>
      </w:r>
      <w:r>
        <w:rPr>
          <w:rFonts w:hint="eastAsia"/>
          <w:sz w:val="24"/>
          <w:szCs w:val="22"/>
        </w:rPr>
        <w:t>5</w:t>
      </w:r>
      <w:r>
        <w:rPr>
          <w:sz w:val="24"/>
          <w:szCs w:val="22"/>
        </w:rPr>
        <w:t xml:space="preserve">  营业执照</w:t>
      </w:r>
      <w:bookmarkEnd w:id="16"/>
    </w:p>
    <w:p>
      <w:pPr>
        <w:adjustRightInd w:val="0"/>
        <w:snapToGrid w:val="0"/>
        <w:spacing w:line="480" w:lineRule="exact"/>
        <w:ind w:firstLine="480"/>
        <w:outlineLvl w:val="0"/>
        <w:rPr>
          <w:sz w:val="24"/>
          <w:szCs w:val="22"/>
        </w:rPr>
      </w:pPr>
      <w:bookmarkStart w:id="17" w:name="_Toc13680"/>
      <w:r>
        <w:rPr>
          <w:sz w:val="24"/>
          <w:szCs w:val="22"/>
        </w:rPr>
        <w:t>附件</w:t>
      </w:r>
      <w:r>
        <w:rPr>
          <w:rFonts w:hint="eastAsia"/>
          <w:sz w:val="24"/>
          <w:szCs w:val="22"/>
        </w:rPr>
        <w:t>6</w:t>
      </w:r>
      <w:r>
        <w:rPr>
          <w:sz w:val="24"/>
          <w:szCs w:val="22"/>
        </w:rPr>
        <w:t xml:space="preserve">  土地情况说明、用地红线图</w:t>
      </w:r>
      <w:bookmarkEnd w:id="17"/>
    </w:p>
    <w:p>
      <w:pPr>
        <w:adjustRightInd w:val="0"/>
        <w:snapToGrid w:val="0"/>
        <w:spacing w:line="480" w:lineRule="exact"/>
        <w:ind w:firstLine="480"/>
        <w:outlineLvl w:val="0"/>
        <w:rPr>
          <w:sz w:val="24"/>
          <w:szCs w:val="22"/>
        </w:rPr>
      </w:pPr>
      <w:bookmarkStart w:id="18" w:name="_Toc27181"/>
      <w:r>
        <w:rPr>
          <w:sz w:val="24"/>
          <w:szCs w:val="22"/>
        </w:rPr>
        <w:t>附件</w:t>
      </w:r>
      <w:r>
        <w:rPr>
          <w:rFonts w:hint="eastAsia"/>
          <w:sz w:val="24"/>
          <w:szCs w:val="22"/>
        </w:rPr>
        <w:t>7</w:t>
      </w:r>
      <w:r>
        <w:rPr>
          <w:sz w:val="24"/>
          <w:szCs w:val="22"/>
        </w:rPr>
        <w:t xml:space="preserve">  污水接管协议</w:t>
      </w:r>
      <w:bookmarkEnd w:id="18"/>
    </w:p>
    <w:p>
      <w:pPr>
        <w:adjustRightInd w:val="0"/>
        <w:snapToGrid w:val="0"/>
        <w:spacing w:line="480" w:lineRule="exact"/>
        <w:ind w:firstLine="480"/>
        <w:outlineLvl w:val="0"/>
        <w:rPr>
          <w:sz w:val="24"/>
          <w:szCs w:val="22"/>
        </w:rPr>
      </w:pPr>
      <w:bookmarkStart w:id="19" w:name="_Toc31853"/>
      <w:r>
        <w:rPr>
          <w:sz w:val="24"/>
          <w:szCs w:val="22"/>
        </w:rPr>
        <w:t>附件</w:t>
      </w:r>
      <w:r>
        <w:rPr>
          <w:rFonts w:hint="eastAsia"/>
          <w:sz w:val="24"/>
          <w:szCs w:val="22"/>
        </w:rPr>
        <w:t>8</w:t>
      </w:r>
      <w:r>
        <w:rPr>
          <w:sz w:val="24"/>
          <w:szCs w:val="22"/>
        </w:rPr>
        <w:t xml:space="preserve">  </w:t>
      </w:r>
      <w:r>
        <w:rPr>
          <w:rFonts w:hint="eastAsia"/>
          <w:sz w:val="24"/>
          <w:szCs w:val="22"/>
        </w:rPr>
        <w:t>现状</w:t>
      </w:r>
      <w:r>
        <w:rPr>
          <w:sz w:val="24"/>
          <w:szCs w:val="22"/>
        </w:rPr>
        <w:t>监测报告</w:t>
      </w:r>
      <w:bookmarkEnd w:id="19"/>
    </w:p>
    <w:p>
      <w:pPr>
        <w:adjustRightInd w:val="0"/>
        <w:snapToGrid w:val="0"/>
        <w:spacing w:line="480" w:lineRule="exact"/>
        <w:ind w:firstLine="480"/>
        <w:outlineLvl w:val="0"/>
        <w:rPr>
          <w:sz w:val="24"/>
          <w:szCs w:val="22"/>
        </w:rPr>
      </w:pPr>
      <w:bookmarkStart w:id="20" w:name="_Toc12534"/>
      <w:r>
        <w:rPr>
          <w:sz w:val="24"/>
          <w:szCs w:val="22"/>
        </w:rPr>
        <w:t>附件</w:t>
      </w:r>
      <w:r>
        <w:rPr>
          <w:rFonts w:hint="eastAsia"/>
          <w:sz w:val="24"/>
          <w:szCs w:val="22"/>
        </w:rPr>
        <w:t>9</w:t>
      </w:r>
      <w:r>
        <w:rPr>
          <w:sz w:val="24"/>
          <w:szCs w:val="22"/>
        </w:rPr>
        <w:t xml:space="preserve">  编制主持人现场照片</w:t>
      </w:r>
      <w:bookmarkEnd w:id="20"/>
    </w:p>
    <w:p>
      <w:pPr>
        <w:adjustRightInd w:val="0"/>
        <w:snapToGrid w:val="0"/>
        <w:spacing w:line="480" w:lineRule="exact"/>
        <w:ind w:firstLine="480"/>
        <w:outlineLvl w:val="0"/>
        <w:rPr>
          <w:sz w:val="24"/>
          <w:szCs w:val="22"/>
        </w:rPr>
      </w:pPr>
      <w:bookmarkStart w:id="21" w:name="_Toc9722"/>
      <w:r>
        <w:rPr>
          <w:sz w:val="24"/>
          <w:szCs w:val="22"/>
        </w:rPr>
        <w:t>附件1</w:t>
      </w:r>
      <w:r>
        <w:rPr>
          <w:rFonts w:hint="eastAsia"/>
          <w:sz w:val="24"/>
          <w:szCs w:val="22"/>
          <w:lang w:val="en-US" w:eastAsia="zh-CN"/>
        </w:rPr>
        <w:t>0</w:t>
      </w:r>
      <w:r>
        <w:rPr>
          <w:sz w:val="24"/>
          <w:szCs w:val="22"/>
        </w:rPr>
        <w:t xml:space="preserve"> 公示委托书</w:t>
      </w:r>
      <w:bookmarkEnd w:id="21"/>
    </w:p>
    <w:p>
      <w:pPr>
        <w:adjustRightInd w:val="0"/>
        <w:snapToGrid w:val="0"/>
        <w:spacing w:line="480" w:lineRule="exact"/>
        <w:ind w:firstLine="480"/>
        <w:outlineLvl w:val="0"/>
        <w:rPr>
          <w:sz w:val="24"/>
          <w:szCs w:val="22"/>
        </w:rPr>
      </w:pPr>
      <w:bookmarkStart w:id="22" w:name="_Toc16866"/>
      <w:r>
        <w:rPr>
          <w:sz w:val="24"/>
          <w:szCs w:val="22"/>
        </w:rPr>
        <w:t>附件1</w:t>
      </w:r>
      <w:r>
        <w:rPr>
          <w:rFonts w:hint="eastAsia"/>
          <w:sz w:val="24"/>
          <w:szCs w:val="22"/>
          <w:lang w:val="en-US" w:eastAsia="zh-CN"/>
        </w:rPr>
        <w:t>1</w:t>
      </w:r>
      <w:r>
        <w:rPr>
          <w:sz w:val="24"/>
          <w:szCs w:val="22"/>
        </w:rPr>
        <w:t xml:space="preserve"> 全文本公开证明材料</w:t>
      </w:r>
      <w:bookmarkEnd w:id="22"/>
    </w:p>
    <w:p>
      <w:pPr>
        <w:adjustRightInd w:val="0"/>
        <w:snapToGrid w:val="0"/>
        <w:spacing w:line="480" w:lineRule="exact"/>
        <w:ind w:firstLine="480"/>
        <w:outlineLvl w:val="0"/>
        <w:rPr>
          <w:sz w:val="24"/>
          <w:szCs w:val="22"/>
        </w:rPr>
      </w:pPr>
      <w:bookmarkStart w:id="23" w:name="_Toc12095"/>
      <w:r>
        <w:rPr>
          <w:sz w:val="24"/>
          <w:szCs w:val="22"/>
        </w:rPr>
        <w:t>附件1</w:t>
      </w:r>
      <w:r>
        <w:rPr>
          <w:rFonts w:hint="eastAsia"/>
          <w:sz w:val="24"/>
          <w:szCs w:val="22"/>
          <w:lang w:val="en-US" w:eastAsia="zh-CN"/>
        </w:rPr>
        <w:t>2</w:t>
      </w:r>
      <w:r>
        <w:rPr>
          <w:sz w:val="24"/>
          <w:szCs w:val="22"/>
        </w:rPr>
        <w:t xml:space="preserve"> 建设单位承诺书</w:t>
      </w:r>
      <w:bookmarkEnd w:id="23"/>
    </w:p>
    <w:p>
      <w:pPr>
        <w:adjustRightInd w:val="0"/>
        <w:snapToGrid w:val="0"/>
        <w:spacing w:line="480" w:lineRule="exact"/>
        <w:ind w:firstLine="480"/>
        <w:outlineLvl w:val="0"/>
      </w:pPr>
      <w:bookmarkStart w:id="24" w:name="_Toc2267"/>
      <w:r>
        <w:rPr>
          <w:rFonts w:hint="eastAsia" w:cs="宋体"/>
          <w:sz w:val="24"/>
        </w:rPr>
        <w:t>附件1</w:t>
      </w:r>
      <w:r>
        <w:rPr>
          <w:rFonts w:hint="eastAsia" w:cs="宋体"/>
          <w:sz w:val="24"/>
          <w:lang w:val="en-US" w:eastAsia="zh-CN"/>
        </w:rPr>
        <w:t>3</w:t>
      </w:r>
      <w:r>
        <w:rPr>
          <w:rFonts w:hint="eastAsia" w:cs="宋体"/>
          <w:sz w:val="24"/>
        </w:rPr>
        <w:t xml:space="preserve"> </w:t>
      </w:r>
      <w:r>
        <w:rPr>
          <w:rFonts w:hint="eastAsia" w:cs="宋体"/>
          <w:sz w:val="24"/>
          <w:lang w:eastAsia="zh-CN"/>
        </w:rPr>
        <w:t>原辅料</w:t>
      </w:r>
      <w:r>
        <w:rPr>
          <w:rFonts w:hint="eastAsia" w:cs="宋体"/>
          <w:sz w:val="24"/>
        </w:rPr>
        <w:t>MSDS</w:t>
      </w:r>
      <w:bookmarkEnd w:id="24"/>
    </w:p>
    <w:p>
      <w:pPr>
        <w:adjustRightInd w:val="0"/>
        <w:snapToGrid w:val="0"/>
        <w:spacing w:line="480" w:lineRule="exact"/>
        <w:ind w:firstLine="480"/>
        <w:outlineLvl w:val="0"/>
        <w:rPr>
          <w:rFonts w:cs="宋体"/>
          <w:sz w:val="24"/>
        </w:rPr>
      </w:pPr>
      <w:bookmarkStart w:id="25" w:name="_Toc10271"/>
      <w:r>
        <w:rPr>
          <w:rFonts w:hint="eastAsia" w:cs="宋体"/>
          <w:sz w:val="24"/>
        </w:rPr>
        <w:t>附件1</w:t>
      </w:r>
      <w:r>
        <w:rPr>
          <w:rFonts w:hint="eastAsia" w:cs="宋体"/>
          <w:sz w:val="24"/>
          <w:lang w:val="en-US" w:eastAsia="zh-CN"/>
        </w:rPr>
        <w:t>4</w:t>
      </w:r>
      <w:r>
        <w:rPr>
          <w:rFonts w:hint="eastAsia" w:cs="宋体"/>
          <w:sz w:val="24"/>
          <w:lang w:eastAsia="zh-CN"/>
        </w:rPr>
        <w:t>洛阳</w:t>
      </w:r>
      <w:r>
        <w:rPr>
          <w:rFonts w:hint="eastAsia" w:cs="宋体"/>
          <w:sz w:val="24"/>
        </w:rPr>
        <w:t>工业集中区规划环评批复</w:t>
      </w:r>
      <w:bookmarkEnd w:id="25"/>
    </w:p>
    <w:p>
      <w:pPr>
        <w:adjustRightInd w:val="0"/>
        <w:snapToGrid w:val="0"/>
        <w:spacing w:line="480" w:lineRule="exact"/>
        <w:ind w:firstLine="480"/>
        <w:rPr>
          <w:rFonts w:cs="宋体"/>
          <w:sz w:val="24"/>
        </w:rPr>
      </w:pPr>
    </w:p>
    <w:p>
      <w:pPr>
        <w:adjustRightInd w:val="0"/>
        <w:snapToGrid w:val="0"/>
        <w:spacing w:line="480" w:lineRule="exact"/>
        <w:ind w:firstLine="480"/>
        <w:rPr>
          <w:rFonts w:cs="宋体"/>
          <w:sz w:val="24"/>
        </w:rPr>
      </w:pPr>
    </w:p>
    <w:p>
      <w:pPr>
        <w:adjustRightInd w:val="0"/>
        <w:snapToGrid w:val="0"/>
        <w:spacing w:line="480" w:lineRule="exact"/>
        <w:ind w:firstLine="480"/>
        <w:rPr>
          <w:rFonts w:ascii="宋体" w:hAnsi="宋体" w:cs="宋体"/>
          <w:b/>
          <w:bCs/>
        </w:rPr>
      </w:pPr>
      <w:r>
        <w:rPr>
          <w:rFonts w:hint="eastAsia" w:ascii="宋体" w:hAnsi="宋体" w:cs="宋体"/>
          <w:b/>
          <w:bCs/>
          <w:sz w:val="24"/>
        </w:rPr>
        <w:t>附图</w:t>
      </w:r>
    </w:p>
    <w:p>
      <w:pPr>
        <w:adjustRightInd w:val="0"/>
        <w:snapToGrid w:val="0"/>
        <w:spacing w:line="480" w:lineRule="exact"/>
        <w:ind w:firstLine="480"/>
        <w:outlineLvl w:val="0"/>
        <w:rPr>
          <w:rFonts w:ascii="宋体" w:hAnsi="宋体" w:cs="宋体"/>
        </w:rPr>
      </w:pPr>
      <w:bookmarkStart w:id="26" w:name="_Toc21114"/>
      <w:r>
        <w:rPr>
          <w:rFonts w:hint="eastAsia" w:ascii="宋体" w:hAnsi="宋体" w:cs="宋体"/>
          <w:sz w:val="24"/>
        </w:rPr>
        <w:t>附图</w:t>
      </w:r>
      <w:r>
        <w:rPr>
          <w:rFonts w:hint="eastAsia" w:cs="宋体"/>
          <w:sz w:val="24"/>
        </w:rPr>
        <w:t>1</w:t>
      </w:r>
      <w:r>
        <w:rPr>
          <w:rFonts w:hint="eastAsia" w:ascii="宋体" w:hAnsi="宋体" w:cs="宋体"/>
          <w:sz w:val="24"/>
        </w:rPr>
        <w:t xml:space="preserve">  项目地理位置示意图</w:t>
      </w:r>
      <w:bookmarkEnd w:id="26"/>
    </w:p>
    <w:p>
      <w:pPr>
        <w:adjustRightInd w:val="0"/>
        <w:snapToGrid w:val="0"/>
        <w:spacing w:line="480" w:lineRule="exact"/>
        <w:ind w:firstLine="480"/>
        <w:outlineLvl w:val="0"/>
        <w:rPr>
          <w:rFonts w:ascii="宋体" w:hAnsi="宋体" w:cs="宋体"/>
        </w:rPr>
      </w:pPr>
      <w:bookmarkStart w:id="27" w:name="_Toc21925"/>
      <w:r>
        <w:rPr>
          <w:rFonts w:hint="eastAsia" w:ascii="宋体" w:hAnsi="宋体" w:cs="宋体"/>
          <w:sz w:val="24"/>
        </w:rPr>
        <w:t>附图</w:t>
      </w:r>
      <w:r>
        <w:rPr>
          <w:rFonts w:hint="eastAsia" w:cs="宋体"/>
          <w:sz w:val="24"/>
        </w:rPr>
        <w:t>2</w:t>
      </w:r>
      <w:r>
        <w:rPr>
          <w:rFonts w:hint="eastAsia" w:ascii="宋体" w:hAnsi="宋体" w:cs="宋体"/>
          <w:sz w:val="24"/>
        </w:rPr>
        <w:t xml:space="preserve">  项目周边环境状况示意图</w:t>
      </w:r>
      <w:bookmarkEnd w:id="27"/>
    </w:p>
    <w:p>
      <w:pPr>
        <w:adjustRightInd w:val="0"/>
        <w:snapToGrid w:val="0"/>
        <w:spacing w:line="480" w:lineRule="exact"/>
        <w:ind w:firstLine="480"/>
        <w:outlineLvl w:val="0"/>
        <w:rPr>
          <w:rFonts w:ascii="宋体" w:hAnsi="宋体" w:cs="宋体"/>
          <w:szCs w:val="22"/>
        </w:rPr>
      </w:pPr>
      <w:bookmarkStart w:id="28" w:name="_Toc13664"/>
      <w:r>
        <w:rPr>
          <w:rFonts w:hint="eastAsia" w:ascii="宋体" w:hAnsi="宋体" w:cs="宋体"/>
          <w:sz w:val="24"/>
        </w:rPr>
        <w:t>附图</w:t>
      </w:r>
      <w:r>
        <w:rPr>
          <w:rFonts w:hint="eastAsia" w:cs="宋体"/>
          <w:sz w:val="24"/>
          <w:szCs w:val="22"/>
        </w:rPr>
        <w:t>3</w:t>
      </w:r>
      <w:r>
        <w:rPr>
          <w:rFonts w:hint="eastAsia" w:ascii="宋体" w:hAnsi="宋体" w:cs="宋体"/>
          <w:sz w:val="24"/>
          <w:szCs w:val="22"/>
        </w:rPr>
        <w:t xml:space="preserve">  平面布置图</w:t>
      </w:r>
      <w:bookmarkEnd w:id="28"/>
    </w:p>
    <w:p>
      <w:pPr>
        <w:adjustRightInd w:val="0"/>
        <w:snapToGrid w:val="0"/>
        <w:spacing w:line="480" w:lineRule="exact"/>
        <w:ind w:firstLine="480"/>
        <w:outlineLvl w:val="0"/>
        <w:rPr>
          <w:rFonts w:ascii="宋体" w:hAnsi="宋体" w:cs="宋体"/>
          <w:szCs w:val="22"/>
        </w:rPr>
      </w:pPr>
      <w:bookmarkStart w:id="29" w:name="_Toc19108"/>
      <w:r>
        <w:rPr>
          <w:rFonts w:hint="eastAsia" w:ascii="宋体" w:hAnsi="宋体" w:cs="宋体"/>
          <w:sz w:val="24"/>
          <w:szCs w:val="22"/>
        </w:rPr>
        <w:t>附图</w:t>
      </w:r>
      <w:r>
        <w:rPr>
          <w:rFonts w:hint="eastAsia" w:cs="宋体"/>
          <w:sz w:val="24"/>
          <w:szCs w:val="22"/>
        </w:rPr>
        <w:t>4</w:t>
      </w:r>
      <w:r>
        <w:rPr>
          <w:rFonts w:hint="eastAsia" w:ascii="宋体" w:hAnsi="宋体" w:cs="宋体"/>
          <w:sz w:val="24"/>
          <w:szCs w:val="22"/>
        </w:rPr>
        <w:t xml:space="preserve">  区域水系图</w:t>
      </w:r>
      <w:bookmarkEnd w:id="29"/>
    </w:p>
    <w:p>
      <w:pPr>
        <w:adjustRightInd w:val="0"/>
        <w:snapToGrid w:val="0"/>
        <w:spacing w:line="480" w:lineRule="exact"/>
        <w:ind w:firstLine="480"/>
        <w:outlineLvl w:val="0"/>
        <w:rPr>
          <w:rFonts w:ascii="宋体" w:hAnsi="宋体" w:cs="宋体"/>
          <w:sz w:val="24"/>
          <w:szCs w:val="22"/>
        </w:rPr>
      </w:pPr>
      <w:bookmarkStart w:id="30" w:name="_Toc23785"/>
      <w:r>
        <w:rPr>
          <w:rFonts w:hint="eastAsia" w:ascii="宋体" w:hAnsi="宋体" w:cs="宋体"/>
          <w:sz w:val="24"/>
          <w:szCs w:val="22"/>
        </w:rPr>
        <w:t>附图</w:t>
      </w:r>
      <w:r>
        <w:rPr>
          <w:rFonts w:hint="eastAsia" w:cs="宋体"/>
          <w:sz w:val="24"/>
          <w:szCs w:val="22"/>
        </w:rPr>
        <w:t>5</w:t>
      </w:r>
      <w:r>
        <w:rPr>
          <w:rFonts w:hint="eastAsia" w:ascii="宋体" w:hAnsi="宋体" w:cs="宋体"/>
          <w:sz w:val="24"/>
          <w:szCs w:val="22"/>
        </w:rPr>
        <w:t xml:space="preserve">  生态红线图</w:t>
      </w:r>
      <w:bookmarkEnd w:id="30"/>
    </w:p>
    <w:p>
      <w:pPr>
        <w:adjustRightInd w:val="0"/>
        <w:snapToGrid w:val="0"/>
        <w:spacing w:line="480" w:lineRule="exact"/>
        <w:ind w:firstLine="480"/>
        <w:outlineLvl w:val="0"/>
        <w:rPr>
          <w:rFonts w:ascii="宋体" w:hAnsi="宋体" w:cs="宋体"/>
          <w:szCs w:val="22"/>
        </w:rPr>
      </w:pPr>
      <w:bookmarkStart w:id="31" w:name="_Toc8602"/>
      <w:r>
        <w:rPr>
          <w:rFonts w:hAnsi="宋体"/>
          <w:sz w:val="24"/>
          <w:szCs w:val="22"/>
        </w:rPr>
        <w:t>附图</w:t>
      </w:r>
      <w:r>
        <w:rPr>
          <w:sz w:val="24"/>
          <w:szCs w:val="22"/>
        </w:rPr>
        <w:t xml:space="preserve">6  </w:t>
      </w:r>
      <w:bookmarkEnd w:id="31"/>
      <w:r>
        <w:rPr>
          <w:rFonts w:hint="eastAsia" w:hAnsi="宋体"/>
          <w:sz w:val="24"/>
          <w:szCs w:val="22"/>
        </w:rPr>
        <w:t>常州市武进区洛阳镇控制性详细规划图</w:t>
      </w:r>
    </w:p>
    <w:p>
      <w:pPr>
        <w:rPr>
          <w:rFonts w:ascii="宋体" w:hAnsi="宋体" w:eastAsia="黑体"/>
        </w:rPr>
      </w:pPr>
    </w:p>
    <w:sectPr>
      <w:footerReference r:id="rId9" w:type="default"/>
      <w:pgSz w:w="11906" w:h="16838"/>
      <w:pgMar w:top="1701" w:right="1531" w:bottom="1701" w:left="1531" w:header="851" w:footer="85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FangSong_GB2312">
    <w:altName w:val="仿宋"/>
    <w:panose1 w:val="02010609060101010101"/>
    <w:charset w:val="86"/>
    <w:family w:val="modern"/>
    <w:pitch w:val="default"/>
    <w:sig w:usb0="00000000" w:usb1="00000000" w:usb2="00000016" w:usb3="00000000" w:csb0="00040001" w:csb1="00000000"/>
  </w:font>
  <w:font w:name="仿宋">
    <w:panose1 w:val="02010609060101010101"/>
    <w:charset w:val="86"/>
    <w:family w:val="auto"/>
    <w:pitch w:val="default"/>
    <w:sig w:usb0="800002BF" w:usb1="38CF7CFA" w:usb2="00000016" w:usb3="00000000" w:csb0="00040001" w:csb1="00000000"/>
  </w:font>
  <w:font w:name="Arial Black">
    <w:panose1 w:val="020B0A04020102020204"/>
    <w:charset w:val="00"/>
    <w:family w:val="swiss"/>
    <w:pitch w:val="default"/>
    <w:sig w:usb0="00000287" w:usb1="00000000" w:usb2="00000000" w:usb3="00000000" w:csb0="2000009F" w:csb1="DFD70000"/>
  </w:font>
  <w:font w:name="文鼎CS中宋">
    <w:altName w:val="宋体"/>
    <w:panose1 w:val="00000000000000000000"/>
    <w:charset w:val="86"/>
    <w:family w:val="modern"/>
    <w:pitch w:val="default"/>
    <w:sig w:usb0="00000000" w:usb1="00000000" w:usb2="00000010" w:usb3="00000000" w:csb0="00040000" w:csb1="00000000"/>
  </w:font>
  <w:font w:name="TimesNewRomanPSMT">
    <w:altName w:val="Times New Roman"/>
    <w:panose1 w:val="00000000000000000000"/>
    <w:charset w:val="00"/>
    <w:family w:val="auto"/>
    <w:pitch w:val="default"/>
    <w:sig w:usb0="00000000" w:usb1="00000000" w:usb2="00000000" w:usb3="00000000" w:csb0="00000000" w:csb1="00000000"/>
  </w:font>
  <w:font w:name="Arial Unicode MS">
    <w:panose1 w:val="020B0604020202020204"/>
    <w:charset w:val="86"/>
    <w:family w:val="swiss"/>
    <w:pitch w:val="default"/>
    <w:sig w:usb0="FFFFFFFF" w:usb1="E9FFFFFF" w:usb2="0000003F" w:usb3="00000000" w:csb0="603F01FF" w:csb1="FFFF0000"/>
  </w:font>
  <w:font w:name="MingLiU">
    <w:panose1 w:val="02020509000000000000"/>
    <w:charset w:val="88"/>
    <w:family w:val="modern"/>
    <w:pitch w:val="default"/>
    <w:sig w:usb0="A00002FF" w:usb1="28CFFCFA" w:usb2="00000016" w:usb3="00000000" w:csb0="0010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华文仿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408673"/>
    </w:sdtPr>
    <w:sdtContent>
      <w:p>
        <w:pPr>
          <w:pStyle w:val="14"/>
          <w:jc w:val="center"/>
        </w:pPr>
        <w:r>
          <w:rPr>
            <w:rFonts w:hint="eastAsia"/>
          </w:rPr>
          <w:t>1</w:t>
        </w:r>
      </w:p>
    </w:sdtContent>
  </w:sdt>
  <w:p>
    <w:pPr>
      <w:pStyle w:val="14"/>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rPr>
        <w:rStyle w:val="24"/>
      </w:rPr>
    </w:pPr>
    <w:r>
      <w:fldChar w:fldCharType="begin"/>
    </w:r>
    <w:r>
      <w:rPr>
        <w:rStyle w:val="24"/>
      </w:rPr>
      <w:instrText xml:space="preserve">PAGE  </w:instrText>
    </w:r>
    <w:r>
      <w:fldChar w:fldCharType="end"/>
    </w:r>
  </w:p>
  <w:p>
    <w:pPr>
      <w:pStyle w:val="1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pict>
        <v:shape id="_x0000_s3073" o:spid="_x0000_s3073"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dUCbQt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JdUCbQtAgAAVwQAAA4AAAAAAAAAAQAgAAAAHwEAAGRycy9lMm9Eb2MueG1sUEsFBgAAAAAG&#10;AAYAWQEAAL4FAAAAAA==&#10;">
          <v:path/>
          <v:fill on="f" focussize="0,0"/>
          <v:stroke on="f" weight="0.5pt" joinstyle="miter"/>
          <v:imagedata o:title=""/>
          <o:lock v:ext="edit"/>
          <v:textbox inset="0mm,0mm,0mm,0mm" style="mso-fit-shape-to-text:t;">
            <w:txbxContent>
              <w:p>
                <w:pPr>
                  <w:pStyle w:val="14"/>
                </w:pPr>
                <w:r>
                  <w:fldChar w:fldCharType="begin"/>
                </w:r>
                <w:r>
                  <w:instrText xml:space="preserve"> PAGE  \* MERGEFORMAT </w:instrText>
                </w:r>
                <w:r>
                  <w:fldChar w:fldCharType="separate"/>
                </w:r>
                <w:r>
                  <w:t>17</w:t>
                </w:r>
                <w: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pict>
        <v:shape id="_x0000_s3074" o:spid="_x0000_s3074"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8ZWvQtAgAAVwQAAA4AAABkcnMvZTJvRG9jLnhtbK1UzY7TMBC+I/EO&#10;lu80adGuSt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oU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QrdZFjb6wfII&#10;HcXzdrkPEDDpGkXplThrhX5LlTnPRmzoP/cp6vF/sPg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D8ZWvQtAgAAVwQAAA4AAAAAAAAAAQAgAAAAHwEAAGRycy9lMm9Eb2MueG1sUEsFBgAAAAAG&#10;AAYAWQEAAL4FAAAAAA==&#10;">
          <v:path/>
          <v:fill on="f" focussize="0,0"/>
          <v:stroke on="f" weight="0.5pt" joinstyle="miter"/>
          <v:imagedata o:title=""/>
          <o:lock v:ext="edit"/>
          <v:textbox inset="0mm,0mm,0mm,0mm" style="mso-fit-shape-to-text:t;">
            <w:txbxContent>
              <w:p>
                <w:pPr>
                  <w:pStyle w:val="14"/>
                </w:pPr>
                <w:r>
                  <w:fldChar w:fldCharType="begin"/>
                </w:r>
                <w:r>
                  <w:instrText xml:space="preserve"> PAGE  \* MERGEFORMAT </w:instrText>
                </w:r>
                <w:r>
                  <w:fldChar w:fldCharType="separate"/>
                </w:r>
                <w:r>
                  <w:t>57</w:t>
                </w:r>
                <w:r>
                  <w:fldChar w:fldCharType="end"/>
                </w:r>
              </w:p>
            </w:txbxContent>
          </v:textbox>
        </v:shape>
      </w:pict>
    </w:r>
  </w:p>
  <w:p>
    <w:pPr>
      <w:pStyle w:val="14"/>
      <w:ind w:right="360" w:firstLine="360"/>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right="360" w:firstLine="360"/>
      <w:jc w:val="center"/>
    </w:pPr>
    <w:r>
      <w:pict>
        <v:shape id="_x0000_s3075" o:spid="_x0000_s3075"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y8pmg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DsvKZoKwIAAFcEAAAOAAAAAAAAAAEAIAAAAB8BAABkcnMvZTJvRG9jLnhtbFBLBQYAAAAABgAG&#10;AFkBAAC8BQAAAAA=&#10;">
          <v:path/>
          <v:fill on="f" focussize="0,0"/>
          <v:stroke on="f" weight="0.5pt" joinstyle="miter"/>
          <v:imagedata o:title=""/>
          <o:lock v:ext="edit"/>
          <v:textbox inset="0mm,0mm,0mm,0mm" style="mso-fit-shape-to-text:t;">
            <w:txbxContent>
              <w:p>
                <w:pPr>
                  <w:pStyle w:val="14"/>
                </w:pPr>
                <w:r>
                  <w:fldChar w:fldCharType="begin"/>
                </w:r>
                <w:r>
                  <w:instrText xml:space="preserve"> PAGE  \* MERGEFORMAT </w:instrText>
                </w:r>
                <w:r>
                  <w:fldChar w:fldCharType="separate"/>
                </w:r>
                <w:r>
                  <w:t>82</w:t>
                </w:r>
                <w: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right="360" w:firstLine="360"/>
      <w:jc w:val="center"/>
    </w:pPr>
    <w:r>
      <w:pict>
        <v:shape id="_x0000_s3076" o:spid="_x0000_s307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Tx9Sg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E8fUoKwIAAFcEAAAOAAAAAAAAAAEAIAAAAB8BAABkcnMvZTJvRG9jLnhtbFBLBQYAAAAABgAG&#10;AFkBAAC8BQAAAAA=&#10;">
          <v:path/>
          <v:fill on="f" focussize="0,0"/>
          <v:stroke on="f" weight="0.5pt" joinstyle="miter"/>
          <v:imagedata o:title=""/>
          <o:lock v:ext="edit"/>
          <v:textbox inset="0mm,0mm,0mm,0mm" style="mso-fit-shape-to-text:t;">
            <w:txbxContent>
              <w:p>
                <w:pPr>
                  <w:pStyle w:val="14"/>
                </w:pPr>
                <w:r>
                  <w:fldChar w:fldCharType="begin"/>
                </w:r>
                <w:r>
                  <w:instrText xml:space="preserve"> PAGE  \* MERGEFORMAT </w:instrText>
                </w:r>
                <w:r>
                  <w:fldChar w:fldCharType="separate"/>
                </w:r>
                <w:r>
                  <w:t>83</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F40F34"/>
    <w:multiLevelType w:val="multilevel"/>
    <w:tmpl w:val="0CF40F34"/>
    <w:lvl w:ilvl="0" w:tentative="0">
      <w:start w:val="1"/>
      <w:numFmt w:val="decimal"/>
      <w:suff w:val="nothing"/>
      <w:lvlText w:val="（%1）"/>
      <w:lvlJc w:val="left"/>
      <w:pPr>
        <w:ind w:left="0" w:firstLine="0"/>
      </w:pPr>
      <w:rPr>
        <w:rFonts w:hint="default" w:ascii="Times New Roman" w:hAnsi="Times New Roman" w:cs="Times New Roman"/>
        <w:sz w:val="24"/>
        <w:szCs w:val="24"/>
        <w:lang w:val="en-U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60166529"/>
    <w:multiLevelType w:val="multilevel"/>
    <w:tmpl w:val="60166529"/>
    <w:lvl w:ilvl="0" w:tentative="0">
      <w:start w:val="1"/>
      <w:numFmt w:val="decimal"/>
      <w:suff w:val="nothing"/>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bordersDoNotSurroundHeader w:val="1"/>
  <w:bordersDoNotSurroundFooter w:val="1"/>
  <w:hideSpellingErrors/>
  <w:attachedTemplate r:id="rId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hdrShapeDefaults>
    <o:shapelayout v:ext="edit">
      <o:idmap v:ext="edit" data="3"/>
    </o:shapelayout>
  </w:hdrShapeDefaults>
  <w:compat>
    <w:spaceForUL/>
    <w:balanceSingleByteDoubleByteWidth/>
    <w:doNotLeaveBackslashAlone/>
    <w:ulTrailSpace/>
    <w:doNotExpandShiftReturn/>
    <w:adjustLineHeightInTable/>
    <w:useFELayout/>
    <w:doNotUseIndentAsNumberingTabStop/>
    <w:compatSetting w:name="compatibilityMode" w:uri="http://schemas.microsoft.com/office/word" w:val="12"/>
  </w:compat>
  <w:rsids>
    <w:rsidRoot w:val="00A14947"/>
    <w:rsid w:val="00000A7C"/>
    <w:rsid w:val="00004BDD"/>
    <w:rsid w:val="00004DC4"/>
    <w:rsid w:val="00005375"/>
    <w:rsid w:val="00005686"/>
    <w:rsid w:val="00005CD9"/>
    <w:rsid w:val="000060B3"/>
    <w:rsid w:val="0000689E"/>
    <w:rsid w:val="000068B1"/>
    <w:rsid w:val="000115E3"/>
    <w:rsid w:val="00011F4B"/>
    <w:rsid w:val="000125AD"/>
    <w:rsid w:val="0001367F"/>
    <w:rsid w:val="0001535E"/>
    <w:rsid w:val="00015E7E"/>
    <w:rsid w:val="0002013A"/>
    <w:rsid w:val="00021182"/>
    <w:rsid w:val="000219F9"/>
    <w:rsid w:val="0002292D"/>
    <w:rsid w:val="0002348A"/>
    <w:rsid w:val="000236F7"/>
    <w:rsid w:val="00024C9B"/>
    <w:rsid w:val="000253E0"/>
    <w:rsid w:val="00026884"/>
    <w:rsid w:val="00027079"/>
    <w:rsid w:val="00027525"/>
    <w:rsid w:val="00030596"/>
    <w:rsid w:val="00031900"/>
    <w:rsid w:val="000331E0"/>
    <w:rsid w:val="0003321D"/>
    <w:rsid w:val="00034C5E"/>
    <w:rsid w:val="0003726B"/>
    <w:rsid w:val="00040289"/>
    <w:rsid w:val="00041208"/>
    <w:rsid w:val="00042EDC"/>
    <w:rsid w:val="0004364B"/>
    <w:rsid w:val="00043C11"/>
    <w:rsid w:val="00045294"/>
    <w:rsid w:val="0004610C"/>
    <w:rsid w:val="00047DB7"/>
    <w:rsid w:val="00051081"/>
    <w:rsid w:val="00052444"/>
    <w:rsid w:val="000531AD"/>
    <w:rsid w:val="00053A4F"/>
    <w:rsid w:val="0005577A"/>
    <w:rsid w:val="00056239"/>
    <w:rsid w:val="00056616"/>
    <w:rsid w:val="00060AB8"/>
    <w:rsid w:val="00061B1F"/>
    <w:rsid w:val="000631EC"/>
    <w:rsid w:val="0006432A"/>
    <w:rsid w:val="00064818"/>
    <w:rsid w:val="00067834"/>
    <w:rsid w:val="00067E62"/>
    <w:rsid w:val="00067F88"/>
    <w:rsid w:val="000709D6"/>
    <w:rsid w:val="00070D70"/>
    <w:rsid w:val="00070D8A"/>
    <w:rsid w:val="000729FF"/>
    <w:rsid w:val="00072FEA"/>
    <w:rsid w:val="000733C4"/>
    <w:rsid w:val="0007383C"/>
    <w:rsid w:val="00073A0F"/>
    <w:rsid w:val="00074327"/>
    <w:rsid w:val="00074783"/>
    <w:rsid w:val="000753BF"/>
    <w:rsid w:val="0007713A"/>
    <w:rsid w:val="0008070B"/>
    <w:rsid w:val="000808DC"/>
    <w:rsid w:val="000810AC"/>
    <w:rsid w:val="00081A02"/>
    <w:rsid w:val="00081AEE"/>
    <w:rsid w:val="00082231"/>
    <w:rsid w:val="000829EA"/>
    <w:rsid w:val="000840E3"/>
    <w:rsid w:val="00086CE7"/>
    <w:rsid w:val="00091AC2"/>
    <w:rsid w:val="00092171"/>
    <w:rsid w:val="00092D38"/>
    <w:rsid w:val="0009377B"/>
    <w:rsid w:val="00096380"/>
    <w:rsid w:val="00096589"/>
    <w:rsid w:val="00096C75"/>
    <w:rsid w:val="0009785F"/>
    <w:rsid w:val="000A07CD"/>
    <w:rsid w:val="000A1DCB"/>
    <w:rsid w:val="000A20C9"/>
    <w:rsid w:val="000A39D9"/>
    <w:rsid w:val="000A4EF9"/>
    <w:rsid w:val="000A595D"/>
    <w:rsid w:val="000A5B6E"/>
    <w:rsid w:val="000A5E8A"/>
    <w:rsid w:val="000A62CA"/>
    <w:rsid w:val="000A763B"/>
    <w:rsid w:val="000A79E7"/>
    <w:rsid w:val="000A7ED4"/>
    <w:rsid w:val="000B00B1"/>
    <w:rsid w:val="000B058F"/>
    <w:rsid w:val="000B084A"/>
    <w:rsid w:val="000B1277"/>
    <w:rsid w:val="000B1A00"/>
    <w:rsid w:val="000B4467"/>
    <w:rsid w:val="000B4DB9"/>
    <w:rsid w:val="000B5F0E"/>
    <w:rsid w:val="000B6EF1"/>
    <w:rsid w:val="000B74F3"/>
    <w:rsid w:val="000B7BA1"/>
    <w:rsid w:val="000C018D"/>
    <w:rsid w:val="000C0438"/>
    <w:rsid w:val="000C09AC"/>
    <w:rsid w:val="000C0B38"/>
    <w:rsid w:val="000C15A6"/>
    <w:rsid w:val="000C1EEE"/>
    <w:rsid w:val="000C55CB"/>
    <w:rsid w:val="000C767F"/>
    <w:rsid w:val="000D013B"/>
    <w:rsid w:val="000D2E9A"/>
    <w:rsid w:val="000D48B6"/>
    <w:rsid w:val="000D55EE"/>
    <w:rsid w:val="000D5709"/>
    <w:rsid w:val="000D5A44"/>
    <w:rsid w:val="000D5D64"/>
    <w:rsid w:val="000D5FBE"/>
    <w:rsid w:val="000D79AE"/>
    <w:rsid w:val="000E05A3"/>
    <w:rsid w:val="000E2631"/>
    <w:rsid w:val="000E3109"/>
    <w:rsid w:val="000E3ED2"/>
    <w:rsid w:val="000E4275"/>
    <w:rsid w:val="000E7A33"/>
    <w:rsid w:val="000F133B"/>
    <w:rsid w:val="000F1C06"/>
    <w:rsid w:val="000F3817"/>
    <w:rsid w:val="000F3A16"/>
    <w:rsid w:val="000F4B13"/>
    <w:rsid w:val="000F5D23"/>
    <w:rsid w:val="000F7ED7"/>
    <w:rsid w:val="00100956"/>
    <w:rsid w:val="001013FF"/>
    <w:rsid w:val="00101575"/>
    <w:rsid w:val="00101E6F"/>
    <w:rsid w:val="00102053"/>
    <w:rsid w:val="00103AFA"/>
    <w:rsid w:val="00103D67"/>
    <w:rsid w:val="001054CC"/>
    <w:rsid w:val="001055FA"/>
    <w:rsid w:val="001109CE"/>
    <w:rsid w:val="00112C0F"/>
    <w:rsid w:val="00114347"/>
    <w:rsid w:val="00114387"/>
    <w:rsid w:val="00114396"/>
    <w:rsid w:val="001143FA"/>
    <w:rsid w:val="00115DD2"/>
    <w:rsid w:val="00116A5D"/>
    <w:rsid w:val="00117CD8"/>
    <w:rsid w:val="0012080D"/>
    <w:rsid w:val="00120854"/>
    <w:rsid w:val="00123DCC"/>
    <w:rsid w:val="00123E26"/>
    <w:rsid w:val="001246F8"/>
    <w:rsid w:val="00125492"/>
    <w:rsid w:val="00125D1B"/>
    <w:rsid w:val="00126E19"/>
    <w:rsid w:val="00127072"/>
    <w:rsid w:val="00130FDB"/>
    <w:rsid w:val="00131F42"/>
    <w:rsid w:val="00132A06"/>
    <w:rsid w:val="00133ECD"/>
    <w:rsid w:val="001340AB"/>
    <w:rsid w:val="001341F0"/>
    <w:rsid w:val="0013465C"/>
    <w:rsid w:val="00134FB5"/>
    <w:rsid w:val="00135171"/>
    <w:rsid w:val="001357F1"/>
    <w:rsid w:val="001359C1"/>
    <w:rsid w:val="001366D1"/>
    <w:rsid w:val="00137A7E"/>
    <w:rsid w:val="00137BFA"/>
    <w:rsid w:val="00140397"/>
    <w:rsid w:val="00140C8E"/>
    <w:rsid w:val="00140FA8"/>
    <w:rsid w:val="001416D5"/>
    <w:rsid w:val="0014174C"/>
    <w:rsid w:val="00142AFC"/>
    <w:rsid w:val="00142FEB"/>
    <w:rsid w:val="00143A2D"/>
    <w:rsid w:val="001442DF"/>
    <w:rsid w:val="00145A41"/>
    <w:rsid w:val="00146017"/>
    <w:rsid w:val="001460E7"/>
    <w:rsid w:val="0014679E"/>
    <w:rsid w:val="0014798F"/>
    <w:rsid w:val="0015122E"/>
    <w:rsid w:val="00151675"/>
    <w:rsid w:val="00152154"/>
    <w:rsid w:val="00152701"/>
    <w:rsid w:val="00152CFC"/>
    <w:rsid w:val="00153FEC"/>
    <w:rsid w:val="00154F43"/>
    <w:rsid w:val="00155119"/>
    <w:rsid w:val="00155796"/>
    <w:rsid w:val="00156D0F"/>
    <w:rsid w:val="00157435"/>
    <w:rsid w:val="00157F81"/>
    <w:rsid w:val="00160902"/>
    <w:rsid w:val="001618C9"/>
    <w:rsid w:val="00161AAD"/>
    <w:rsid w:val="00162110"/>
    <w:rsid w:val="00165620"/>
    <w:rsid w:val="00166CAC"/>
    <w:rsid w:val="001670B3"/>
    <w:rsid w:val="00170AAB"/>
    <w:rsid w:val="00172318"/>
    <w:rsid w:val="0017232D"/>
    <w:rsid w:val="00174639"/>
    <w:rsid w:val="00174D13"/>
    <w:rsid w:val="0017504D"/>
    <w:rsid w:val="00176241"/>
    <w:rsid w:val="0017671A"/>
    <w:rsid w:val="00177422"/>
    <w:rsid w:val="00177C96"/>
    <w:rsid w:val="00181738"/>
    <w:rsid w:val="001820B6"/>
    <w:rsid w:val="00182C59"/>
    <w:rsid w:val="00183695"/>
    <w:rsid w:val="00183AE2"/>
    <w:rsid w:val="00184590"/>
    <w:rsid w:val="00184CD7"/>
    <w:rsid w:val="001855F3"/>
    <w:rsid w:val="0018572D"/>
    <w:rsid w:val="00186328"/>
    <w:rsid w:val="001870D1"/>
    <w:rsid w:val="0018781E"/>
    <w:rsid w:val="0019180A"/>
    <w:rsid w:val="0019262D"/>
    <w:rsid w:val="001927DB"/>
    <w:rsid w:val="00193387"/>
    <w:rsid w:val="00197653"/>
    <w:rsid w:val="00197984"/>
    <w:rsid w:val="001A0A14"/>
    <w:rsid w:val="001A1B35"/>
    <w:rsid w:val="001A2FCB"/>
    <w:rsid w:val="001A48A2"/>
    <w:rsid w:val="001A6206"/>
    <w:rsid w:val="001A6F61"/>
    <w:rsid w:val="001B09CE"/>
    <w:rsid w:val="001B0BAA"/>
    <w:rsid w:val="001B0BE7"/>
    <w:rsid w:val="001B1AF8"/>
    <w:rsid w:val="001B5015"/>
    <w:rsid w:val="001B6769"/>
    <w:rsid w:val="001B72B8"/>
    <w:rsid w:val="001B7977"/>
    <w:rsid w:val="001C0DAC"/>
    <w:rsid w:val="001C1288"/>
    <w:rsid w:val="001C12FE"/>
    <w:rsid w:val="001C5001"/>
    <w:rsid w:val="001C6445"/>
    <w:rsid w:val="001C69B3"/>
    <w:rsid w:val="001C7F96"/>
    <w:rsid w:val="001D1B67"/>
    <w:rsid w:val="001D4418"/>
    <w:rsid w:val="001D45BE"/>
    <w:rsid w:val="001D5595"/>
    <w:rsid w:val="001D7874"/>
    <w:rsid w:val="001D7F22"/>
    <w:rsid w:val="001E0092"/>
    <w:rsid w:val="001E0E44"/>
    <w:rsid w:val="001E173A"/>
    <w:rsid w:val="001E180E"/>
    <w:rsid w:val="001E1E76"/>
    <w:rsid w:val="001E21DA"/>
    <w:rsid w:val="001E3ECF"/>
    <w:rsid w:val="001E4726"/>
    <w:rsid w:val="001E514B"/>
    <w:rsid w:val="001E5812"/>
    <w:rsid w:val="001E5B4B"/>
    <w:rsid w:val="001E5D91"/>
    <w:rsid w:val="001E6C6A"/>
    <w:rsid w:val="001E6D89"/>
    <w:rsid w:val="001E73F3"/>
    <w:rsid w:val="001E7AB2"/>
    <w:rsid w:val="001F07F5"/>
    <w:rsid w:val="001F0F17"/>
    <w:rsid w:val="001F1424"/>
    <w:rsid w:val="001F150B"/>
    <w:rsid w:val="001F1ABF"/>
    <w:rsid w:val="001F3347"/>
    <w:rsid w:val="001F34D8"/>
    <w:rsid w:val="001F45E4"/>
    <w:rsid w:val="001F4FAF"/>
    <w:rsid w:val="001F4FB7"/>
    <w:rsid w:val="001F560C"/>
    <w:rsid w:val="001F6148"/>
    <w:rsid w:val="001F69E4"/>
    <w:rsid w:val="001F6D85"/>
    <w:rsid w:val="001F722F"/>
    <w:rsid w:val="0020011D"/>
    <w:rsid w:val="00200939"/>
    <w:rsid w:val="00202228"/>
    <w:rsid w:val="002023A9"/>
    <w:rsid w:val="002029AC"/>
    <w:rsid w:val="00203B04"/>
    <w:rsid w:val="00203B3F"/>
    <w:rsid w:val="002053BC"/>
    <w:rsid w:val="00205F89"/>
    <w:rsid w:val="00206931"/>
    <w:rsid w:val="00206C48"/>
    <w:rsid w:val="00207C64"/>
    <w:rsid w:val="00210077"/>
    <w:rsid w:val="00210D3C"/>
    <w:rsid w:val="002125B4"/>
    <w:rsid w:val="00212B61"/>
    <w:rsid w:val="002155B8"/>
    <w:rsid w:val="00215830"/>
    <w:rsid w:val="0021680D"/>
    <w:rsid w:val="00216B1B"/>
    <w:rsid w:val="00216EDA"/>
    <w:rsid w:val="002175E3"/>
    <w:rsid w:val="00217CD1"/>
    <w:rsid w:val="00217D8B"/>
    <w:rsid w:val="00220D39"/>
    <w:rsid w:val="00220E2D"/>
    <w:rsid w:val="00222E11"/>
    <w:rsid w:val="002235DE"/>
    <w:rsid w:val="00224839"/>
    <w:rsid w:val="002249B2"/>
    <w:rsid w:val="00225C04"/>
    <w:rsid w:val="0022611C"/>
    <w:rsid w:val="00226574"/>
    <w:rsid w:val="00226AF7"/>
    <w:rsid w:val="002278EC"/>
    <w:rsid w:val="00227E43"/>
    <w:rsid w:val="00231148"/>
    <w:rsid w:val="0023160E"/>
    <w:rsid w:val="00231FF0"/>
    <w:rsid w:val="0023280E"/>
    <w:rsid w:val="00233FE7"/>
    <w:rsid w:val="0023590B"/>
    <w:rsid w:val="0023630E"/>
    <w:rsid w:val="002375CD"/>
    <w:rsid w:val="002377D1"/>
    <w:rsid w:val="00237BDD"/>
    <w:rsid w:val="00237C3F"/>
    <w:rsid w:val="002409D1"/>
    <w:rsid w:val="002420BA"/>
    <w:rsid w:val="0024345F"/>
    <w:rsid w:val="0024450A"/>
    <w:rsid w:val="0024560A"/>
    <w:rsid w:val="002460EA"/>
    <w:rsid w:val="00247D8C"/>
    <w:rsid w:val="002506BC"/>
    <w:rsid w:val="00250D4C"/>
    <w:rsid w:val="0025329F"/>
    <w:rsid w:val="00254345"/>
    <w:rsid w:val="00256B78"/>
    <w:rsid w:val="002618D7"/>
    <w:rsid w:val="002621C7"/>
    <w:rsid w:val="00263988"/>
    <w:rsid w:val="00263A82"/>
    <w:rsid w:val="00264557"/>
    <w:rsid w:val="00264B32"/>
    <w:rsid w:val="002668B9"/>
    <w:rsid w:val="00267CB3"/>
    <w:rsid w:val="00267DC1"/>
    <w:rsid w:val="002701DA"/>
    <w:rsid w:val="0027096C"/>
    <w:rsid w:val="002718F9"/>
    <w:rsid w:val="00271F7D"/>
    <w:rsid w:val="00271FEA"/>
    <w:rsid w:val="00273647"/>
    <w:rsid w:val="00273B46"/>
    <w:rsid w:val="00274A59"/>
    <w:rsid w:val="00276EC0"/>
    <w:rsid w:val="0027740D"/>
    <w:rsid w:val="002805AB"/>
    <w:rsid w:val="00280E94"/>
    <w:rsid w:val="00281118"/>
    <w:rsid w:val="00281B67"/>
    <w:rsid w:val="0028209A"/>
    <w:rsid w:val="00284204"/>
    <w:rsid w:val="002845BC"/>
    <w:rsid w:val="0028526B"/>
    <w:rsid w:val="002864C5"/>
    <w:rsid w:val="0029028B"/>
    <w:rsid w:val="00291773"/>
    <w:rsid w:val="00292742"/>
    <w:rsid w:val="00292A4F"/>
    <w:rsid w:val="00293D15"/>
    <w:rsid w:val="00294713"/>
    <w:rsid w:val="00294E49"/>
    <w:rsid w:val="0029638E"/>
    <w:rsid w:val="0029669B"/>
    <w:rsid w:val="00296D0C"/>
    <w:rsid w:val="002A02A7"/>
    <w:rsid w:val="002A168C"/>
    <w:rsid w:val="002A1B1A"/>
    <w:rsid w:val="002A3DC7"/>
    <w:rsid w:val="002A42DB"/>
    <w:rsid w:val="002A4A10"/>
    <w:rsid w:val="002A7110"/>
    <w:rsid w:val="002B041F"/>
    <w:rsid w:val="002B09A0"/>
    <w:rsid w:val="002B10BF"/>
    <w:rsid w:val="002B19A3"/>
    <w:rsid w:val="002B2001"/>
    <w:rsid w:val="002B2332"/>
    <w:rsid w:val="002B47F3"/>
    <w:rsid w:val="002B495C"/>
    <w:rsid w:val="002B49E2"/>
    <w:rsid w:val="002B65AC"/>
    <w:rsid w:val="002B71C9"/>
    <w:rsid w:val="002B7B00"/>
    <w:rsid w:val="002B7C44"/>
    <w:rsid w:val="002C0616"/>
    <w:rsid w:val="002C163F"/>
    <w:rsid w:val="002C1BB3"/>
    <w:rsid w:val="002C2B17"/>
    <w:rsid w:val="002C33B7"/>
    <w:rsid w:val="002C466D"/>
    <w:rsid w:val="002C4EE3"/>
    <w:rsid w:val="002C61D3"/>
    <w:rsid w:val="002C6F1E"/>
    <w:rsid w:val="002D0C95"/>
    <w:rsid w:val="002D19E2"/>
    <w:rsid w:val="002D2149"/>
    <w:rsid w:val="002D3DD0"/>
    <w:rsid w:val="002D3E9A"/>
    <w:rsid w:val="002D4944"/>
    <w:rsid w:val="002D4D7F"/>
    <w:rsid w:val="002D5321"/>
    <w:rsid w:val="002D5662"/>
    <w:rsid w:val="002D654D"/>
    <w:rsid w:val="002D71A6"/>
    <w:rsid w:val="002D7277"/>
    <w:rsid w:val="002D7351"/>
    <w:rsid w:val="002E06E8"/>
    <w:rsid w:val="002E0927"/>
    <w:rsid w:val="002E1F3A"/>
    <w:rsid w:val="002E298A"/>
    <w:rsid w:val="002E3332"/>
    <w:rsid w:val="002E4E9F"/>
    <w:rsid w:val="002E7CF0"/>
    <w:rsid w:val="002F01D4"/>
    <w:rsid w:val="002F0694"/>
    <w:rsid w:val="002F16BA"/>
    <w:rsid w:val="002F2D52"/>
    <w:rsid w:val="002F3647"/>
    <w:rsid w:val="002F45D4"/>
    <w:rsid w:val="002F4FBD"/>
    <w:rsid w:val="002F5E67"/>
    <w:rsid w:val="002F6213"/>
    <w:rsid w:val="002F63F6"/>
    <w:rsid w:val="002F6EF7"/>
    <w:rsid w:val="002F779C"/>
    <w:rsid w:val="003005C1"/>
    <w:rsid w:val="00300B57"/>
    <w:rsid w:val="00301978"/>
    <w:rsid w:val="003022DE"/>
    <w:rsid w:val="00303236"/>
    <w:rsid w:val="0030332C"/>
    <w:rsid w:val="003039FD"/>
    <w:rsid w:val="003049F1"/>
    <w:rsid w:val="00304D36"/>
    <w:rsid w:val="003051C2"/>
    <w:rsid w:val="00305DDE"/>
    <w:rsid w:val="00306967"/>
    <w:rsid w:val="0030750E"/>
    <w:rsid w:val="0031090E"/>
    <w:rsid w:val="00311EAB"/>
    <w:rsid w:val="00312296"/>
    <w:rsid w:val="00312672"/>
    <w:rsid w:val="00312A29"/>
    <w:rsid w:val="00312C61"/>
    <w:rsid w:val="0031336E"/>
    <w:rsid w:val="003137D9"/>
    <w:rsid w:val="00314F0E"/>
    <w:rsid w:val="00320507"/>
    <w:rsid w:val="00321D8E"/>
    <w:rsid w:val="00321F00"/>
    <w:rsid w:val="00325928"/>
    <w:rsid w:val="00325E6B"/>
    <w:rsid w:val="00326D78"/>
    <w:rsid w:val="00326EC9"/>
    <w:rsid w:val="00330998"/>
    <w:rsid w:val="00330F15"/>
    <w:rsid w:val="00331890"/>
    <w:rsid w:val="003318E4"/>
    <w:rsid w:val="003321DC"/>
    <w:rsid w:val="00332863"/>
    <w:rsid w:val="00333FE4"/>
    <w:rsid w:val="0033684D"/>
    <w:rsid w:val="003373F8"/>
    <w:rsid w:val="003377FE"/>
    <w:rsid w:val="00337B42"/>
    <w:rsid w:val="00337BC3"/>
    <w:rsid w:val="00341313"/>
    <w:rsid w:val="00341791"/>
    <w:rsid w:val="00341B42"/>
    <w:rsid w:val="00341CD8"/>
    <w:rsid w:val="0034348F"/>
    <w:rsid w:val="00344D0C"/>
    <w:rsid w:val="003451C5"/>
    <w:rsid w:val="00350894"/>
    <w:rsid w:val="00350905"/>
    <w:rsid w:val="00355AA9"/>
    <w:rsid w:val="003562A0"/>
    <w:rsid w:val="00356653"/>
    <w:rsid w:val="00356A5D"/>
    <w:rsid w:val="00357130"/>
    <w:rsid w:val="0035743F"/>
    <w:rsid w:val="00357BE2"/>
    <w:rsid w:val="00357DFF"/>
    <w:rsid w:val="0036170C"/>
    <w:rsid w:val="00362821"/>
    <w:rsid w:val="00362F37"/>
    <w:rsid w:val="00363A9A"/>
    <w:rsid w:val="00363F48"/>
    <w:rsid w:val="00365CF2"/>
    <w:rsid w:val="00366E0F"/>
    <w:rsid w:val="003670D6"/>
    <w:rsid w:val="0036768F"/>
    <w:rsid w:val="003711BE"/>
    <w:rsid w:val="00371694"/>
    <w:rsid w:val="00371B67"/>
    <w:rsid w:val="00371DF3"/>
    <w:rsid w:val="0037300E"/>
    <w:rsid w:val="003732CF"/>
    <w:rsid w:val="00373890"/>
    <w:rsid w:val="00373DE0"/>
    <w:rsid w:val="00374BB4"/>
    <w:rsid w:val="00374FB4"/>
    <w:rsid w:val="00376A42"/>
    <w:rsid w:val="00376AE8"/>
    <w:rsid w:val="00376CC3"/>
    <w:rsid w:val="00376D71"/>
    <w:rsid w:val="003804B4"/>
    <w:rsid w:val="00380520"/>
    <w:rsid w:val="0038155B"/>
    <w:rsid w:val="00381A72"/>
    <w:rsid w:val="00381D98"/>
    <w:rsid w:val="0038237F"/>
    <w:rsid w:val="00383FCF"/>
    <w:rsid w:val="00384676"/>
    <w:rsid w:val="0038543B"/>
    <w:rsid w:val="003873CA"/>
    <w:rsid w:val="003875BD"/>
    <w:rsid w:val="00390857"/>
    <w:rsid w:val="00391F59"/>
    <w:rsid w:val="003972C4"/>
    <w:rsid w:val="003A12DD"/>
    <w:rsid w:val="003A1F8F"/>
    <w:rsid w:val="003A394B"/>
    <w:rsid w:val="003A4639"/>
    <w:rsid w:val="003A4BF3"/>
    <w:rsid w:val="003A5B7F"/>
    <w:rsid w:val="003A7F7F"/>
    <w:rsid w:val="003B0F90"/>
    <w:rsid w:val="003B169F"/>
    <w:rsid w:val="003B256E"/>
    <w:rsid w:val="003B29E2"/>
    <w:rsid w:val="003B398C"/>
    <w:rsid w:val="003B420D"/>
    <w:rsid w:val="003B4A8D"/>
    <w:rsid w:val="003B78C2"/>
    <w:rsid w:val="003B7DA7"/>
    <w:rsid w:val="003C0B78"/>
    <w:rsid w:val="003C12BA"/>
    <w:rsid w:val="003C2744"/>
    <w:rsid w:val="003C287D"/>
    <w:rsid w:val="003C32E4"/>
    <w:rsid w:val="003C35A8"/>
    <w:rsid w:val="003C5A37"/>
    <w:rsid w:val="003C62A1"/>
    <w:rsid w:val="003C6C16"/>
    <w:rsid w:val="003C764D"/>
    <w:rsid w:val="003D11EE"/>
    <w:rsid w:val="003D12FE"/>
    <w:rsid w:val="003D1619"/>
    <w:rsid w:val="003D340E"/>
    <w:rsid w:val="003D46B1"/>
    <w:rsid w:val="003D4F0E"/>
    <w:rsid w:val="003D5AD6"/>
    <w:rsid w:val="003D6A0B"/>
    <w:rsid w:val="003D794D"/>
    <w:rsid w:val="003E0171"/>
    <w:rsid w:val="003E0A0F"/>
    <w:rsid w:val="003E0DBC"/>
    <w:rsid w:val="003E0EB8"/>
    <w:rsid w:val="003E19C5"/>
    <w:rsid w:val="003E21B1"/>
    <w:rsid w:val="003E2D18"/>
    <w:rsid w:val="003E3058"/>
    <w:rsid w:val="003E4643"/>
    <w:rsid w:val="003E4862"/>
    <w:rsid w:val="003E64E7"/>
    <w:rsid w:val="003E73A9"/>
    <w:rsid w:val="003E76A9"/>
    <w:rsid w:val="003F0809"/>
    <w:rsid w:val="003F0DD6"/>
    <w:rsid w:val="003F2AA5"/>
    <w:rsid w:val="003F2F99"/>
    <w:rsid w:val="003F454D"/>
    <w:rsid w:val="003F4C59"/>
    <w:rsid w:val="003F5149"/>
    <w:rsid w:val="003F6293"/>
    <w:rsid w:val="003F6A8C"/>
    <w:rsid w:val="003F755C"/>
    <w:rsid w:val="003F7D6C"/>
    <w:rsid w:val="003F7DB5"/>
    <w:rsid w:val="00400B6E"/>
    <w:rsid w:val="00401A75"/>
    <w:rsid w:val="00402C73"/>
    <w:rsid w:val="004040F1"/>
    <w:rsid w:val="00406F01"/>
    <w:rsid w:val="00407DA7"/>
    <w:rsid w:val="00410E18"/>
    <w:rsid w:val="00411B97"/>
    <w:rsid w:val="00412B7F"/>
    <w:rsid w:val="004137B4"/>
    <w:rsid w:val="004138E9"/>
    <w:rsid w:val="00414448"/>
    <w:rsid w:val="00414F07"/>
    <w:rsid w:val="0041513A"/>
    <w:rsid w:val="00415C3F"/>
    <w:rsid w:val="0041618B"/>
    <w:rsid w:val="00416209"/>
    <w:rsid w:val="004166D2"/>
    <w:rsid w:val="00416D50"/>
    <w:rsid w:val="00416FD5"/>
    <w:rsid w:val="00417772"/>
    <w:rsid w:val="0042010E"/>
    <w:rsid w:val="00420757"/>
    <w:rsid w:val="00420E6A"/>
    <w:rsid w:val="004215FA"/>
    <w:rsid w:val="0042210A"/>
    <w:rsid w:val="0042214B"/>
    <w:rsid w:val="00422340"/>
    <w:rsid w:val="0042237C"/>
    <w:rsid w:val="004234EE"/>
    <w:rsid w:val="004236F6"/>
    <w:rsid w:val="004256BC"/>
    <w:rsid w:val="00425752"/>
    <w:rsid w:val="00425A9E"/>
    <w:rsid w:val="00426D6B"/>
    <w:rsid w:val="00427E0B"/>
    <w:rsid w:val="00427FC9"/>
    <w:rsid w:val="0043151A"/>
    <w:rsid w:val="0043159C"/>
    <w:rsid w:val="00431E6C"/>
    <w:rsid w:val="00431E92"/>
    <w:rsid w:val="0043248E"/>
    <w:rsid w:val="00433CE7"/>
    <w:rsid w:val="00433D81"/>
    <w:rsid w:val="0043441D"/>
    <w:rsid w:val="004348EF"/>
    <w:rsid w:val="00435157"/>
    <w:rsid w:val="004351D3"/>
    <w:rsid w:val="0043564E"/>
    <w:rsid w:val="004360CE"/>
    <w:rsid w:val="00437BD0"/>
    <w:rsid w:val="0044060B"/>
    <w:rsid w:val="00441423"/>
    <w:rsid w:val="0044303C"/>
    <w:rsid w:val="0044470A"/>
    <w:rsid w:val="00445434"/>
    <w:rsid w:val="0044634F"/>
    <w:rsid w:val="00450360"/>
    <w:rsid w:val="00452738"/>
    <w:rsid w:val="0045435E"/>
    <w:rsid w:val="00455CAE"/>
    <w:rsid w:val="00455E20"/>
    <w:rsid w:val="00455F02"/>
    <w:rsid w:val="00456091"/>
    <w:rsid w:val="0045616B"/>
    <w:rsid w:val="00461E1B"/>
    <w:rsid w:val="00462A78"/>
    <w:rsid w:val="0046305D"/>
    <w:rsid w:val="00463745"/>
    <w:rsid w:val="00463E3D"/>
    <w:rsid w:val="00463F85"/>
    <w:rsid w:val="004640AC"/>
    <w:rsid w:val="004650FC"/>
    <w:rsid w:val="00465593"/>
    <w:rsid w:val="0046598C"/>
    <w:rsid w:val="004662AC"/>
    <w:rsid w:val="00466321"/>
    <w:rsid w:val="0047191A"/>
    <w:rsid w:val="00471C80"/>
    <w:rsid w:val="0047289B"/>
    <w:rsid w:val="004739AA"/>
    <w:rsid w:val="00473B69"/>
    <w:rsid w:val="00475381"/>
    <w:rsid w:val="00475C85"/>
    <w:rsid w:val="004764CB"/>
    <w:rsid w:val="00476C92"/>
    <w:rsid w:val="00480338"/>
    <w:rsid w:val="00480B4B"/>
    <w:rsid w:val="00481AD0"/>
    <w:rsid w:val="00482ED0"/>
    <w:rsid w:val="0048400D"/>
    <w:rsid w:val="004846E0"/>
    <w:rsid w:val="004848A3"/>
    <w:rsid w:val="00484B9B"/>
    <w:rsid w:val="00484EEC"/>
    <w:rsid w:val="004855F6"/>
    <w:rsid w:val="004859BE"/>
    <w:rsid w:val="00486026"/>
    <w:rsid w:val="0048661E"/>
    <w:rsid w:val="00487CC0"/>
    <w:rsid w:val="00490E8F"/>
    <w:rsid w:val="004933E9"/>
    <w:rsid w:val="00493763"/>
    <w:rsid w:val="00493A52"/>
    <w:rsid w:val="00494263"/>
    <w:rsid w:val="00494670"/>
    <w:rsid w:val="00496367"/>
    <w:rsid w:val="00497C9A"/>
    <w:rsid w:val="004A064D"/>
    <w:rsid w:val="004A15B6"/>
    <w:rsid w:val="004A3823"/>
    <w:rsid w:val="004A3EEC"/>
    <w:rsid w:val="004A4792"/>
    <w:rsid w:val="004A4BAC"/>
    <w:rsid w:val="004A4E07"/>
    <w:rsid w:val="004A4E6D"/>
    <w:rsid w:val="004B0F21"/>
    <w:rsid w:val="004B2326"/>
    <w:rsid w:val="004B2D6C"/>
    <w:rsid w:val="004B34A1"/>
    <w:rsid w:val="004B44C7"/>
    <w:rsid w:val="004B49DE"/>
    <w:rsid w:val="004B4AFD"/>
    <w:rsid w:val="004B6205"/>
    <w:rsid w:val="004B6DD8"/>
    <w:rsid w:val="004B7183"/>
    <w:rsid w:val="004B73E0"/>
    <w:rsid w:val="004B748D"/>
    <w:rsid w:val="004B754E"/>
    <w:rsid w:val="004B7B1A"/>
    <w:rsid w:val="004C1F16"/>
    <w:rsid w:val="004C2329"/>
    <w:rsid w:val="004C24D4"/>
    <w:rsid w:val="004C307E"/>
    <w:rsid w:val="004C360D"/>
    <w:rsid w:val="004C42BA"/>
    <w:rsid w:val="004C4F2B"/>
    <w:rsid w:val="004C5B58"/>
    <w:rsid w:val="004D044A"/>
    <w:rsid w:val="004D1A0C"/>
    <w:rsid w:val="004D530D"/>
    <w:rsid w:val="004D7AFD"/>
    <w:rsid w:val="004D7EAB"/>
    <w:rsid w:val="004E21A7"/>
    <w:rsid w:val="004E2A3B"/>
    <w:rsid w:val="004E2FFA"/>
    <w:rsid w:val="004E30F4"/>
    <w:rsid w:val="004E67B5"/>
    <w:rsid w:val="004E6946"/>
    <w:rsid w:val="004E750B"/>
    <w:rsid w:val="004F1131"/>
    <w:rsid w:val="004F1AD8"/>
    <w:rsid w:val="004F24D0"/>
    <w:rsid w:val="004F2868"/>
    <w:rsid w:val="004F3743"/>
    <w:rsid w:val="004F4716"/>
    <w:rsid w:val="004F5130"/>
    <w:rsid w:val="004F6F76"/>
    <w:rsid w:val="004F7018"/>
    <w:rsid w:val="004F7F0D"/>
    <w:rsid w:val="005005D9"/>
    <w:rsid w:val="00501B3F"/>
    <w:rsid w:val="0050310F"/>
    <w:rsid w:val="005032FF"/>
    <w:rsid w:val="0050362B"/>
    <w:rsid w:val="00503959"/>
    <w:rsid w:val="005039CB"/>
    <w:rsid w:val="0050502D"/>
    <w:rsid w:val="0050558F"/>
    <w:rsid w:val="00506286"/>
    <w:rsid w:val="005063F5"/>
    <w:rsid w:val="00510813"/>
    <w:rsid w:val="00510EAD"/>
    <w:rsid w:val="0051172F"/>
    <w:rsid w:val="00511990"/>
    <w:rsid w:val="00511DE0"/>
    <w:rsid w:val="00514870"/>
    <w:rsid w:val="00514B9B"/>
    <w:rsid w:val="00515AA6"/>
    <w:rsid w:val="00516376"/>
    <w:rsid w:val="0051787D"/>
    <w:rsid w:val="00517DB7"/>
    <w:rsid w:val="00517F02"/>
    <w:rsid w:val="00522241"/>
    <w:rsid w:val="0052244A"/>
    <w:rsid w:val="00522595"/>
    <w:rsid w:val="00524303"/>
    <w:rsid w:val="00524A54"/>
    <w:rsid w:val="005258A2"/>
    <w:rsid w:val="00526B7A"/>
    <w:rsid w:val="00526CC7"/>
    <w:rsid w:val="0052742F"/>
    <w:rsid w:val="005308B9"/>
    <w:rsid w:val="00531373"/>
    <w:rsid w:val="00531490"/>
    <w:rsid w:val="0053553F"/>
    <w:rsid w:val="00536F49"/>
    <w:rsid w:val="00537A03"/>
    <w:rsid w:val="00537C0A"/>
    <w:rsid w:val="005401AE"/>
    <w:rsid w:val="00542E07"/>
    <w:rsid w:val="00543653"/>
    <w:rsid w:val="00544244"/>
    <w:rsid w:val="00545424"/>
    <w:rsid w:val="00545B97"/>
    <w:rsid w:val="00545EB6"/>
    <w:rsid w:val="00546431"/>
    <w:rsid w:val="005474BF"/>
    <w:rsid w:val="00550C5C"/>
    <w:rsid w:val="00551581"/>
    <w:rsid w:val="005527F3"/>
    <w:rsid w:val="00552902"/>
    <w:rsid w:val="00553D94"/>
    <w:rsid w:val="00554A7B"/>
    <w:rsid w:val="0055572C"/>
    <w:rsid w:val="00555CCB"/>
    <w:rsid w:val="00556232"/>
    <w:rsid w:val="005565EA"/>
    <w:rsid w:val="00556F06"/>
    <w:rsid w:val="005602F6"/>
    <w:rsid w:val="0056106A"/>
    <w:rsid w:val="0056221A"/>
    <w:rsid w:val="0056268D"/>
    <w:rsid w:val="00563FE2"/>
    <w:rsid w:val="00564921"/>
    <w:rsid w:val="00565078"/>
    <w:rsid w:val="00567B8B"/>
    <w:rsid w:val="005720AE"/>
    <w:rsid w:val="00572C41"/>
    <w:rsid w:val="005734B8"/>
    <w:rsid w:val="005739A3"/>
    <w:rsid w:val="00573FA4"/>
    <w:rsid w:val="00574557"/>
    <w:rsid w:val="005749D0"/>
    <w:rsid w:val="00575511"/>
    <w:rsid w:val="0057575B"/>
    <w:rsid w:val="00576DFD"/>
    <w:rsid w:val="00576E95"/>
    <w:rsid w:val="00576EB8"/>
    <w:rsid w:val="00577A39"/>
    <w:rsid w:val="00580AA1"/>
    <w:rsid w:val="005830E0"/>
    <w:rsid w:val="00583F5C"/>
    <w:rsid w:val="00584669"/>
    <w:rsid w:val="00584D89"/>
    <w:rsid w:val="00585434"/>
    <w:rsid w:val="005857B6"/>
    <w:rsid w:val="00590168"/>
    <w:rsid w:val="005903A8"/>
    <w:rsid w:val="0059136C"/>
    <w:rsid w:val="00591A98"/>
    <w:rsid w:val="00593E25"/>
    <w:rsid w:val="005948F3"/>
    <w:rsid w:val="00594D77"/>
    <w:rsid w:val="0059533E"/>
    <w:rsid w:val="005955C9"/>
    <w:rsid w:val="005969E4"/>
    <w:rsid w:val="00597075"/>
    <w:rsid w:val="00597114"/>
    <w:rsid w:val="005A06B7"/>
    <w:rsid w:val="005A0EA9"/>
    <w:rsid w:val="005A10CE"/>
    <w:rsid w:val="005A1759"/>
    <w:rsid w:val="005A25B0"/>
    <w:rsid w:val="005A3994"/>
    <w:rsid w:val="005A4262"/>
    <w:rsid w:val="005A5544"/>
    <w:rsid w:val="005A68A7"/>
    <w:rsid w:val="005A6992"/>
    <w:rsid w:val="005B0104"/>
    <w:rsid w:val="005B0249"/>
    <w:rsid w:val="005B067E"/>
    <w:rsid w:val="005B1296"/>
    <w:rsid w:val="005B26B5"/>
    <w:rsid w:val="005B28A9"/>
    <w:rsid w:val="005B319E"/>
    <w:rsid w:val="005B3412"/>
    <w:rsid w:val="005B344C"/>
    <w:rsid w:val="005B4AE7"/>
    <w:rsid w:val="005B4FD8"/>
    <w:rsid w:val="005B579F"/>
    <w:rsid w:val="005C00CF"/>
    <w:rsid w:val="005C08C9"/>
    <w:rsid w:val="005C1E65"/>
    <w:rsid w:val="005C2782"/>
    <w:rsid w:val="005C2F27"/>
    <w:rsid w:val="005C3497"/>
    <w:rsid w:val="005C3A95"/>
    <w:rsid w:val="005C4464"/>
    <w:rsid w:val="005C4573"/>
    <w:rsid w:val="005C48BF"/>
    <w:rsid w:val="005C4A4B"/>
    <w:rsid w:val="005C4E35"/>
    <w:rsid w:val="005D096D"/>
    <w:rsid w:val="005D0FC0"/>
    <w:rsid w:val="005D104B"/>
    <w:rsid w:val="005D1358"/>
    <w:rsid w:val="005D2010"/>
    <w:rsid w:val="005D283A"/>
    <w:rsid w:val="005D36AB"/>
    <w:rsid w:val="005D3842"/>
    <w:rsid w:val="005D4CB1"/>
    <w:rsid w:val="005D52B5"/>
    <w:rsid w:val="005D5F88"/>
    <w:rsid w:val="005D74D2"/>
    <w:rsid w:val="005E0038"/>
    <w:rsid w:val="005E012F"/>
    <w:rsid w:val="005E02F1"/>
    <w:rsid w:val="005E11BB"/>
    <w:rsid w:val="005E1BC5"/>
    <w:rsid w:val="005E299A"/>
    <w:rsid w:val="005E2AB3"/>
    <w:rsid w:val="005E2DFC"/>
    <w:rsid w:val="005E424B"/>
    <w:rsid w:val="005E6C3F"/>
    <w:rsid w:val="005E6F4F"/>
    <w:rsid w:val="005E749D"/>
    <w:rsid w:val="005F0B15"/>
    <w:rsid w:val="005F1273"/>
    <w:rsid w:val="005F29A9"/>
    <w:rsid w:val="005F32B7"/>
    <w:rsid w:val="005F598F"/>
    <w:rsid w:val="005F5E0D"/>
    <w:rsid w:val="005F6E29"/>
    <w:rsid w:val="00600537"/>
    <w:rsid w:val="00600649"/>
    <w:rsid w:val="00601953"/>
    <w:rsid w:val="006023D7"/>
    <w:rsid w:val="006046A4"/>
    <w:rsid w:val="0061083E"/>
    <w:rsid w:val="00610BFE"/>
    <w:rsid w:val="0061194E"/>
    <w:rsid w:val="0061223D"/>
    <w:rsid w:val="00612A27"/>
    <w:rsid w:val="00612C57"/>
    <w:rsid w:val="00613A61"/>
    <w:rsid w:val="006161FE"/>
    <w:rsid w:val="00617CC3"/>
    <w:rsid w:val="00621454"/>
    <w:rsid w:val="00621964"/>
    <w:rsid w:val="00621B7D"/>
    <w:rsid w:val="00621EAE"/>
    <w:rsid w:val="00623219"/>
    <w:rsid w:val="00625F10"/>
    <w:rsid w:val="00627C8C"/>
    <w:rsid w:val="00632B43"/>
    <w:rsid w:val="00632C25"/>
    <w:rsid w:val="00636AC0"/>
    <w:rsid w:val="00636CD1"/>
    <w:rsid w:val="006372A4"/>
    <w:rsid w:val="006377A6"/>
    <w:rsid w:val="00637A3D"/>
    <w:rsid w:val="00637F5E"/>
    <w:rsid w:val="006411EF"/>
    <w:rsid w:val="00641739"/>
    <w:rsid w:val="0064270B"/>
    <w:rsid w:val="0064281C"/>
    <w:rsid w:val="00645B68"/>
    <w:rsid w:val="00645CBA"/>
    <w:rsid w:val="006509CC"/>
    <w:rsid w:val="0065190D"/>
    <w:rsid w:val="00652348"/>
    <w:rsid w:val="006532DB"/>
    <w:rsid w:val="0065420A"/>
    <w:rsid w:val="00654BBF"/>
    <w:rsid w:val="0065585F"/>
    <w:rsid w:val="00655A72"/>
    <w:rsid w:val="00656F13"/>
    <w:rsid w:val="006574A7"/>
    <w:rsid w:val="00660573"/>
    <w:rsid w:val="00660760"/>
    <w:rsid w:val="00660F29"/>
    <w:rsid w:val="0066103C"/>
    <w:rsid w:val="00661170"/>
    <w:rsid w:val="00661206"/>
    <w:rsid w:val="00661335"/>
    <w:rsid w:val="00662567"/>
    <w:rsid w:val="006639DE"/>
    <w:rsid w:val="00664CBA"/>
    <w:rsid w:val="006654E1"/>
    <w:rsid w:val="006657D0"/>
    <w:rsid w:val="00665F55"/>
    <w:rsid w:val="006666F8"/>
    <w:rsid w:val="0066694A"/>
    <w:rsid w:val="006670AF"/>
    <w:rsid w:val="006678B7"/>
    <w:rsid w:val="00667BA8"/>
    <w:rsid w:val="006713DE"/>
    <w:rsid w:val="00671BA2"/>
    <w:rsid w:val="00672666"/>
    <w:rsid w:val="00673249"/>
    <w:rsid w:val="00673786"/>
    <w:rsid w:val="00673AF9"/>
    <w:rsid w:val="00674695"/>
    <w:rsid w:val="006748B8"/>
    <w:rsid w:val="006756DE"/>
    <w:rsid w:val="00676A3C"/>
    <w:rsid w:val="006775C3"/>
    <w:rsid w:val="006776C5"/>
    <w:rsid w:val="00677F09"/>
    <w:rsid w:val="00680403"/>
    <w:rsid w:val="00680C92"/>
    <w:rsid w:val="006854D3"/>
    <w:rsid w:val="006856C5"/>
    <w:rsid w:val="00685AAD"/>
    <w:rsid w:val="0068685C"/>
    <w:rsid w:val="00686D79"/>
    <w:rsid w:val="006874CF"/>
    <w:rsid w:val="0069009D"/>
    <w:rsid w:val="006918E1"/>
    <w:rsid w:val="00691D36"/>
    <w:rsid w:val="00692145"/>
    <w:rsid w:val="0069290A"/>
    <w:rsid w:val="006933B3"/>
    <w:rsid w:val="00693407"/>
    <w:rsid w:val="00693753"/>
    <w:rsid w:val="00693ED4"/>
    <w:rsid w:val="00696433"/>
    <w:rsid w:val="0069775A"/>
    <w:rsid w:val="00697813"/>
    <w:rsid w:val="006A0A7E"/>
    <w:rsid w:val="006A0B6D"/>
    <w:rsid w:val="006A16E3"/>
    <w:rsid w:val="006A2C1F"/>
    <w:rsid w:val="006A2EDC"/>
    <w:rsid w:val="006A3EE8"/>
    <w:rsid w:val="006A4419"/>
    <w:rsid w:val="006A4CED"/>
    <w:rsid w:val="006A4F8F"/>
    <w:rsid w:val="006A50EB"/>
    <w:rsid w:val="006A6142"/>
    <w:rsid w:val="006A6187"/>
    <w:rsid w:val="006A64D4"/>
    <w:rsid w:val="006A6F6F"/>
    <w:rsid w:val="006A72BF"/>
    <w:rsid w:val="006A7E5C"/>
    <w:rsid w:val="006B03F2"/>
    <w:rsid w:val="006B0921"/>
    <w:rsid w:val="006B0E9E"/>
    <w:rsid w:val="006B1326"/>
    <w:rsid w:val="006B17C9"/>
    <w:rsid w:val="006B19DF"/>
    <w:rsid w:val="006B1AD0"/>
    <w:rsid w:val="006B1C06"/>
    <w:rsid w:val="006B21C0"/>
    <w:rsid w:val="006B37DC"/>
    <w:rsid w:val="006B4F68"/>
    <w:rsid w:val="006B55E9"/>
    <w:rsid w:val="006B7359"/>
    <w:rsid w:val="006C0592"/>
    <w:rsid w:val="006C18D9"/>
    <w:rsid w:val="006C26FF"/>
    <w:rsid w:val="006C272E"/>
    <w:rsid w:val="006C43C0"/>
    <w:rsid w:val="006C5110"/>
    <w:rsid w:val="006C5243"/>
    <w:rsid w:val="006C5479"/>
    <w:rsid w:val="006C6890"/>
    <w:rsid w:val="006D13B5"/>
    <w:rsid w:val="006D192C"/>
    <w:rsid w:val="006D1D06"/>
    <w:rsid w:val="006D2033"/>
    <w:rsid w:val="006D2AB6"/>
    <w:rsid w:val="006D3A1A"/>
    <w:rsid w:val="006D3E31"/>
    <w:rsid w:val="006D642A"/>
    <w:rsid w:val="006E044F"/>
    <w:rsid w:val="006E08EF"/>
    <w:rsid w:val="006E124A"/>
    <w:rsid w:val="006E12FF"/>
    <w:rsid w:val="006E2284"/>
    <w:rsid w:val="006E26EE"/>
    <w:rsid w:val="006E3A4D"/>
    <w:rsid w:val="006E3D68"/>
    <w:rsid w:val="006E488B"/>
    <w:rsid w:val="006E4A7C"/>
    <w:rsid w:val="006E607E"/>
    <w:rsid w:val="006E66F9"/>
    <w:rsid w:val="006E6917"/>
    <w:rsid w:val="006E6B79"/>
    <w:rsid w:val="006F0A3A"/>
    <w:rsid w:val="006F14DF"/>
    <w:rsid w:val="006F1ED9"/>
    <w:rsid w:val="006F20AF"/>
    <w:rsid w:val="006F2767"/>
    <w:rsid w:val="006F5732"/>
    <w:rsid w:val="006F66A4"/>
    <w:rsid w:val="007038C1"/>
    <w:rsid w:val="00703FCE"/>
    <w:rsid w:val="007043B0"/>
    <w:rsid w:val="007043F2"/>
    <w:rsid w:val="00706C5D"/>
    <w:rsid w:val="00706D9A"/>
    <w:rsid w:val="007075AE"/>
    <w:rsid w:val="00707723"/>
    <w:rsid w:val="00707E9B"/>
    <w:rsid w:val="007119D0"/>
    <w:rsid w:val="0071269B"/>
    <w:rsid w:val="0071446F"/>
    <w:rsid w:val="00716E58"/>
    <w:rsid w:val="00717A06"/>
    <w:rsid w:val="00717C3B"/>
    <w:rsid w:val="00720333"/>
    <w:rsid w:val="007209AE"/>
    <w:rsid w:val="00720B91"/>
    <w:rsid w:val="007222FF"/>
    <w:rsid w:val="007224EB"/>
    <w:rsid w:val="0072428C"/>
    <w:rsid w:val="007254FC"/>
    <w:rsid w:val="007277DC"/>
    <w:rsid w:val="00730799"/>
    <w:rsid w:val="00731100"/>
    <w:rsid w:val="00731629"/>
    <w:rsid w:val="0073170A"/>
    <w:rsid w:val="00732922"/>
    <w:rsid w:val="00732F30"/>
    <w:rsid w:val="00735848"/>
    <w:rsid w:val="007372CF"/>
    <w:rsid w:val="00741DDE"/>
    <w:rsid w:val="00742EFA"/>
    <w:rsid w:val="0074389A"/>
    <w:rsid w:val="00744E7A"/>
    <w:rsid w:val="007474C7"/>
    <w:rsid w:val="00747CDE"/>
    <w:rsid w:val="0075162E"/>
    <w:rsid w:val="00751BC4"/>
    <w:rsid w:val="00751D6C"/>
    <w:rsid w:val="00752672"/>
    <w:rsid w:val="00752939"/>
    <w:rsid w:val="00753256"/>
    <w:rsid w:val="00753ED1"/>
    <w:rsid w:val="00754034"/>
    <w:rsid w:val="00755C9A"/>
    <w:rsid w:val="00756556"/>
    <w:rsid w:val="00756A21"/>
    <w:rsid w:val="007573F8"/>
    <w:rsid w:val="00757613"/>
    <w:rsid w:val="00757994"/>
    <w:rsid w:val="007611F7"/>
    <w:rsid w:val="007614FC"/>
    <w:rsid w:val="007618C4"/>
    <w:rsid w:val="00761BDB"/>
    <w:rsid w:val="00762774"/>
    <w:rsid w:val="00765493"/>
    <w:rsid w:val="0076577E"/>
    <w:rsid w:val="00767980"/>
    <w:rsid w:val="00770B19"/>
    <w:rsid w:val="00771764"/>
    <w:rsid w:val="007722E1"/>
    <w:rsid w:val="00772887"/>
    <w:rsid w:val="00772A07"/>
    <w:rsid w:val="00772F78"/>
    <w:rsid w:val="00774005"/>
    <w:rsid w:val="0077463F"/>
    <w:rsid w:val="00775078"/>
    <w:rsid w:val="00775A90"/>
    <w:rsid w:val="00775AAF"/>
    <w:rsid w:val="00775FC0"/>
    <w:rsid w:val="00782975"/>
    <w:rsid w:val="00782AF4"/>
    <w:rsid w:val="007836EA"/>
    <w:rsid w:val="00784CDA"/>
    <w:rsid w:val="00785FB9"/>
    <w:rsid w:val="00786C6E"/>
    <w:rsid w:val="007870C6"/>
    <w:rsid w:val="007906C4"/>
    <w:rsid w:val="00792DAF"/>
    <w:rsid w:val="00792F21"/>
    <w:rsid w:val="007937A3"/>
    <w:rsid w:val="007940EA"/>
    <w:rsid w:val="00794CD5"/>
    <w:rsid w:val="00795324"/>
    <w:rsid w:val="007967E8"/>
    <w:rsid w:val="007A2170"/>
    <w:rsid w:val="007A22BF"/>
    <w:rsid w:val="007A3323"/>
    <w:rsid w:val="007A5837"/>
    <w:rsid w:val="007A64BA"/>
    <w:rsid w:val="007A76F3"/>
    <w:rsid w:val="007B4D01"/>
    <w:rsid w:val="007B5C70"/>
    <w:rsid w:val="007B69D4"/>
    <w:rsid w:val="007B6A33"/>
    <w:rsid w:val="007B6FC1"/>
    <w:rsid w:val="007B72B8"/>
    <w:rsid w:val="007B7A58"/>
    <w:rsid w:val="007C11C2"/>
    <w:rsid w:val="007C21B5"/>
    <w:rsid w:val="007C36EE"/>
    <w:rsid w:val="007C3936"/>
    <w:rsid w:val="007C5EDA"/>
    <w:rsid w:val="007C75B8"/>
    <w:rsid w:val="007D04A0"/>
    <w:rsid w:val="007D0511"/>
    <w:rsid w:val="007D1DB5"/>
    <w:rsid w:val="007D2298"/>
    <w:rsid w:val="007D2876"/>
    <w:rsid w:val="007D346F"/>
    <w:rsid w:val="007D3634"/>
    <w:rsid w:val="007D4919"/>
    <w:rsid w:val="007D4C4F"/>
    <w:rsid w:val="007D6DDB"/>
    <w:rsid w:val="007D6F63"/>
    <w:rsid w:val="007D7A3B"/>
    <w:rsid w:val="007E1D7C"/>
    <w:rsid w:val="007E208C"/>
    <w:rsid w:val="007E264B"/>
    <w:rsid w:val="007E3055"/>
    <w:rsid w:val="007E3EFA"/>
    <w:rsid w:val="007E4BD2"/>
    <w:rsid w:val="007E675F"/>
    <w:rsid w:val="007E7B4A"/>
    <w:rsid w:val="007F0502"/>
    <w:rsid w:val="007F0A73"/>
    <w:rsid w:val="007F2CC5"/>
    <w:rsid w:val="007F3045"/>
    <w:rsid w:val="007F320F"/>
    <w:rsid w:val="007F36C9"/>
    <w:rsid w:val="007F3927"/>
    <w:rsid w:val="007F4287"/>
    <w:rsid w:val="007F44AF"/>
    <w:rsid w:val="007F4894"/>
    <w:rsid w:val="007F4C39"/>
    <w:rsid w:val="007F6167"/>
    <w:rsid w:val="00801006"/>
    <w:rsid w:val="00801393"/>
    <w:rsid w:val="008019EB"/>
    <w:rsid w:val="00801BE8"/>
    <w:rsid w:val="00801C25"/>
    <w:rsid w:val="0080259D"/>
    <w:rsid w:val="00802F88"/>
    <w:rsid w:val="00803254"/>
    <w:rsid w:val="008053DB"/>
    <w:rsid w:val="00805AFC"/>
    <w:rsid w:val="00805E92"/>
    <w:rsid w:val="008060D6"/>
    <w:rsid w:val="00806346"/>
    <w:rsid w:val="00806B4C"/>
    <w:rsid w:val="0081293E"/>
    <w:rsid w:val="00813E33"/>
    <w:rsid w:val="00814627"/>
    <w:rsid w:val="00814693"/>
    <w:rsid w:val="00814B52"/>
    <w:rsid w:val="00815465"/>
    <w:rsid w:val="008167E5"/>
    <w:rsid w:val="00816FD3"/>
    <w:rsid w:val="00817C67"/>
    <w:rsid w:val="00817E9A"/>
    <w:rsid w:val="00820972"/>
    <w:rsid w:val="0082347B"/>
    <w:rsid w:val="008243B0"/>
    <w:rsid w:val="00825EE0"/>
    <w:rsid w:val="008276C6"/>
    <w:rsid w:val="008306BD"/>
    <w:rsid w:val="00831A80"/>
    <w:rsid w:val="00831ABF"/>
    <w:rsid w:val="008320C1"/>
    <w:rsid w:val="00832F18"/>
    <w:rsid w:val="00833743"/>
    <w:rsid w:val="00833B57"/>
    <w:rsid w:val="008340A4"/>
    <w:rsid w:val="00834A73"/>
    <w:rsid w:val="00835D7E"/>
    <w:rsid w:val="00837963"/>
    <w:rsid w:val="008379FB"/>
    <w:rsid w:val="008425B5"/>
    <w:rsid w:val="00842F15"/>
    <w:rsid w:val="00847336"/>
    <w:rsid w:val="008476D4"/>
    <w:rsid w:val="00850517"/>
    <w:rsid w:val="00851FC8"/>
    <w:rsid w:val="00854A13"/>
    <w:rsid w:val="00855607"/>
    <w:rsid w:val="00855BC6"/>
    <w:rsid w:val="00860130"/>
    <w:rsid w:val="0086103D"/>
    <w:rsid w:val="0086207A"/>
    <w:rsid w:val="00864D76"/>
    <w:rsid w:val="008652E7"/>
    <w:rsid w:val="0086535E"/>
    <w:rsid w:val="008657B9"/>
    <w:rsid w:val="008658F3"/>
    <w:rsid w:val="0086753F"/>
    <w:rsid w:val="00867F87"/>
    <w:rsid w:val="0087022B"/>
    <w:rsid w:val="008709F5"/>
    <w:rsid w:val="0087135F"/>
    <w:rsid w:val="00872C7A"/>
    <w:rsid w:val="00872D94"/>
    <w:rsid w:val="008731D0"/>
    <w:rsid w:val="008745DD"/>
    <w:rsid w:val="00875058"/>
    <w:rsid w:val="00875D06"/>
    <w:rsid w:val="00876E51"/>
    <w:rsid w:val="00876F87"/>
    <w:rsid w:val="0087700F"/>
    <w:rsid w:val="0087710D"/>
    <w:rsid w:val="00877132"/>
    <w:rsid w:val="0087749B"/>
    <w:rsid w:val="00877EF9"/>
    <w:rsid w:val="00880106"/>
    <w:rsid w:val="00880364"/>
    <w:rsid w:val="00880A8B"/>
    <w:rsid w:val="00880AC7"/>
    <w:rsid w:val="00881A79"/>
    <w:rsid w:val="008824DA"/>
    <w:rsid w:val="008828A5"/>
    <w:rsid w:val="00884815"/>
    <w:rsid w:val="008867B9"/>
    <w:rsid w:val="00887AEA"/>
    <w:rsid w:val="00891592"/>
    <w:rsid w:val="00891D80"/>
    <w:rsid w:val="00891E9E"/>
    <w:rsid w:val="0089279D"/>
    <w:rsid w:val="00895306"/>
    <w:rsid w:val="008966EC"/>
    <w:rsid w:val="00897B1A"/>
    <w:rsid w:val="00897FB1"/>
    <w:rsid w:val="008A0B2D"/>
    <w:rsid w:val="008A253C"/>
    <w:rsid w:val="008A2E8E"/>
    <w:rsid w:val="008A2F68"/>
    <w:rsid w:val="008A4192"/>
    <w:rsid w:val="008A4DF9"/>
    <w:rsid w:val="008A55B8"/>
    <w:rsid w:val="008A55C6"/>
    <w:rsid w:val="008A769D"/>
    <w:rsid w:val="008B3BD2"/>
    <w:rsid w:val="008B430A"/>
    <w:rsid w:val="008B4346"/>
    <w:rsid w:val="008B44B3"/>
    <w:rsid w:val="008B459F"/>
    <w:rsid w:val="008B4F62"/>
    <w:rsid w:val="008B4FA6"/>
    <w:rsid w:val="008B5282"/>
    <w:rsid w:val="008B5BD3"/>
    <w:rsid w:val="008B7613"/>
    <w:rsid w:val="008B7C17"/>
    <w:rsid w:val="008C02A5"/>
    <w:rsid w:val="008C0DD7"/>
    <w:rsid w:val="008C0ED1"/>
    <w:rsid w:val="008C15C4"/>
    <w:rsid w:val="008C2160"/>
    <w:rsid w:val="008C2C95"/>
    <w:rsid w:val="008C2D01"/>
    <w:rsid w:val="008C2F5C"/>
    <w:rsid w:val="008C40E6"/>
    <w:rsid w:val="008C51FE"/>
    <w:rsid w:val="008C72A0"/>
    <w:rsid w:val="008D03CB"/>
    <w:rsid w:val="008D0669"/>
    <w:rsid w:val="008D0684"/>
    <w:rsid w:val="008D0F7A"/>
    <w:rsid w:val="008D1B86"/>
    <w:rsid w:val="008D2781"/>
    <w:rsid w:val="008D305C"/>
    <w:rsid w:val="008D6876"/>
    <w:rsid w:val="008D68E4"/>
    <w:rsid w:val="008D7C2A"/>
    <w:rsid w:val="008E0506"/>
    <w:rsid w:val="008E05BD"/>
    <w:rsid w:val="008E0905"/>
    <w:rsid w:val="008E0B43"/>
    <w:rsid w:val="008E0CFF"/>
    <w:rsid w:val="008E11FA"/>
    <w:rsid w:val="008E1662"/>
    <w:rsid w:val="008E1E21"/>
    <w:rsid w:val="008E2467"/>
    <w:rsid w:val="008E29EF"/>
    <w:rsid w:val="008E2D3E"/>
    <w:rsid w:val="008E2FD4"/>
    <w:rsid w:val="008E381C"/>
    <w:rsid w:val="008E42BD"/>
    <w:rsid w:val="008E468F"/>
    <w:rsid w:val="008E49DE"/>
    <w:rsid w:val="008E52E3"/>
    <w:rsid w:val="008E568E"/>
    <w:rsid w:val="008E5D6B"/>
    <w:rsid w:val="008E76F0"/>
    <w:rsid w:val="008E7C47"/>
    <w:rsid w:val="008E7C83"/>
    <w:rsid w:val="008F02C5"/>
    <w:rsid w:val="008F0476"/>
    <w:rsid w:val="008F15FE"/>
    <w:rsid w:val="008F16DE"/>
    <w:rsid w:val="008F1ED4"/>
    <w:rsid w:val="008F2107"/>
    <w:rsid w:val="008F2D29"/>
    <w:rsid w:val="008F5187"/>
    <w:rsid w:val="008F5C77"/>
    <w:rsid w:val="008F60D8"/>
    <w:rsid w:val="008F6276"/>
    <w:rsid w:val="008F7355"/>
    <w:rsid w:val="008F75B4"/>
    <w:rsid w:val="009004EF"/>
    <w:rsid w:val="00900EDA"/>
    <w:rsid w:val="0090228A"/>
    <w:rsid w:val="00902727"/>
    <w:rsid w:val="00902AAB"/>
    <w:rsid w:val="00902E83"/>
    <w:rsid w:val="00903075"/>
    <w:rsid w:val="0090312B"/>
    <w:rsid w:val="00904C9B"/>
    <w:rsid w:val="00905332"/>
    <w:rsid w:val="00905A27"/>
    <w:rsid w:val="00905D75"/>
    <w:rsid w:val="00906546"/>
    <w:rsid w:val="00907BEC"/>
    <w:rsid w:val="00907CA6"/>
    <w:rsid w:val="0091067F"/>
    <w:rsid w:val="00911D29"/>
    <w:rsid w:val="00914375"/>
    <w:rsid w:val="00915CDE"/>
    <w:rsid w:val="009162F4"/>
    <w:rsid w:val="00916BE5"/>
    <w:rsid w:val="0091736D"/>
    <w:rsid w:val="009174E6"/>
    <w:rsid w:val="00917F1C"/>
    <w:rsid w:val="00922D62"/>
    <w:rsid w:val="00922DFE"/>
    <w:rsid w:val="009230DA"/>
    <w:rsid w:val="00924D84"/>
    <w:rsid w:val="00924DA6"/>
    <w:rsid w:val="009260E0"/>
    <w:rsid w:val="0092611A"/>
    <w:rsid w:val="00926243"/>
    <w:rsid w:val="00927715"/>
    <w:rsid w:val="0093037A"/>
    <w:rsid w:val="00930F18"/>
    <w:rsid w:val="00933653"/>
    <w:rsid w:val="00934C71"/>
    <w:rsid w:val="0093548D"/>
    <w:rsid w:val="0093626B"/>
    <w:rsid w:val="00936C60"/>
    <w:rsid w:val="00936D35"/>
    <w:rsid w:val="009402B3"/>
    <w:rsid w:val="00940430"/>
    <w:rsid w:val="009405BC"/>
    <w:rsid w:val="0094154D"/>
    <w:rsid w:val="00942E33"/>
    <w:rsid w:val="009436A9"/>
    <w:rsid w:val="00943C51"/>
    <w:rsid w:val="00944B4F"/>
    <w:rsid w:val="00946565"/>
    <w:rsid w:val="00946976"/>
    <w:rsid w:val="00946ECA"/>
    <w:rsid w:val="00947240"/>
    <w:rsid w:val="00947E4E"/>
    <w:rsid w:val="00950301"/>
    <w:rsid w:val="0095077A"/>
    <w:rsid w:val="0095155F"/>
    <w:rsid w:val="00953041"/>
    <w:rsid w:val="00953858"/>
    <w:rsid w:val="009538EB"/>
    <w:rsid w:val="00954429"/>
    <w:rsid w:val="009563CE"/>
    <w:rsid w:val="00957837"/>
    <w:rsid w:val="009605E9"/>
    <w:rsid w:val="00961B1A"/>
    <w:rsid w:val="00963C36"/>
    <w:rsid w:val="00963FC8"/>
    <w:rsid w:val="00964918"/>
    <w:rsid w:val="009656E6"/>
    <w:rsid w:val="00965ADB"/>
    <w:rsid w:val="009661D4"/>
    <w:rsid w:val="00967BB1"/>
    <w:rsid w:val="00967E76"/>
    <w:rsid w:val="00970652"/>
    <w:rsid w:val="0097124C"/>
    <w:rsid w:val="00973C8A"/>
    <w:rsid w:val="0097493C"/>
    <w:rsid w:val="00975C36"/>
    <w:rsid w:val="00976328"/>
    <w:rsid w:val="0097680D"/>
    <w:rsid w:val="0097684A"/>
    <w:rsid w:val="0097741B"/>
    <w:rsid w:val="009811EF"/>
    <w:rsid w:val="00982438"/>
    <w:rsid w:val="00982682"/>
    <w:rsid w:val="009833E2"/>
    <w:rsid w:val="009836EE"/>
    <w:rsid w:val="0098404C"/>
    <w:rsid w:val="0098496A"/>
    <w:rsid w:val="0098503D"/>
    <w:rsid w:val="00985109"/>
    <w:rsid w:val="00985283"/>
    <w:rsid w:val="00985E0B"/>
    <w:rsid w:val="00987025"/>
    <w:rsid w:val="00987115"/>
    <w:rsid w:val="00987D44"/>
    <w:rsid w:val="009909D2"/>
    <w:rsid w:val="0099187A"/>
    <w:rsid w:val="00992339"/>
    <w:rsid w:val="009925AD"/>
    <w:rsid w:val="009928D5"/>
    <w:rsid w:val="00992CEC"/>
    <w:rsid w:val="00993343"/>
    <w:rsid w:val="00994553"/>
    <w:rsid w:val="00995002"/>
    <w:rsid w:val="009950A9"/>
    <w:rsid w:val="009952F2"/>
    <w:rsid w:val="00995992"/>
    <w:rsid w:val="00995F44"/>
    <w:rsid w:val="00997096"/>
    <w:rsid w:val="009A017D"/>
    <w:rsid w:val="009A03E5"/>
    <w:rsid w:val="009A0F3B"/>
    <w:rsid w:val="009A11B9"/>
    <w:rsid w:val="009A1BB4"/>
    <w:rsid w:val="009A2036"/>
    <w:rsid w:val="009A2628"/>
    <w:rsid w:val="009A3200"/>
    <w:rsid w:val="009A4466"/>
    <w:rsid w:val="009A5AA3"/>
    <w:rsid w:val="009A693E"/>
    <w:rsid w:val="009A7E47"/>
    <w:rsid w:val="009A7E54"/>
    <w:rsid w:val="009B0897"/>
    <w:rsid w:val="009B0A0A"/>
    <w:rsid w:val="009B0FB4"/>
    <w:rsid w:val="009B1077"/>
    <w:rsid w:val="009B2A9A"/>
    <w:rsid w:val="009B2DC1"/>
    <w:rsid w:val="009B32FA"/>
    <w:rsid w:val="009B3C3D"/>
    <w:rsid w:val="009B4F73"/>
    <w:rsid w:val="009B7BD9"/>
    <w:rsid w:val="009C051C"/>
    <w:rsid w:val="009C0C87"/>
    <w:rsid w:val="009C499E"/>
    <w:rsid w:val="009C4BB8"/>
    <w:rsid w:val="009C4E8B"/>
    <w:rsid w:val="009C51E1"/>
    <w:rsid w:val="009C5ADA"/>
    <w:rsid w:val="009C6F00"/>
    <w:rsid w:val="009C79BF"/>
    <w:rsid w:val="009C7DD5"/>
    <w:rsid w:val="009D0D32"/>
    <w:rsid w:val="009D16C5"/>
    <w:rsid w:val="009D275F"/>
    <w:rsid w:val="009D3162"/>
    <w:rsid w:val="009D3416"/>
    <w:rsid w:val="009D3FB7"/>
    <w:rsid w:val="009D55A8"/>
    <w:rsid w:val="009E0154"/>
    <w:rsid w:val="009E0BD8"/>
    <w:rsid w:val="009E0F0F"/>
    <w:rsid w:val="009E1A20"/>
    <w:rsid w:val="009E1B88"/>
    <w:rsid w:val="009E227D"/>
    <w:rsid w:val="009E30E4"/>
    <w:rsid w:val="009E3F9C"/>
    <w:rsid w:val="009E4083"/>
    <w:rsid w:val="009E5019"/>
    <w:rsid w:val="009E77AD"/>
    <w:rsid w:val="009F003E"/>
    <w:rsid w:val="009F01CE"/>
    <w:rsid w:val="009F0A7B"/>
    <w:rsid w:val="009F262C"/>
    <w:rsid w:val="009F3B36"/>
    <w:rsid w:val="009F4251"/>
    <w:rsid w:val="009F4D4A"/>
    <w:rsid w:val="009F5603"/>
    <w:rsid w:val="009F5C04"/>
    <w:rsid w:val="009F62C8"/>
    <w:rsid w:val="009F635D"/>
    <w:rsid w:val="009F6409"/>
    <w:rsid w:val="009F6832"/>
    <w:rsid w:val="009F6DD6"/>
    <w:rsid w:val="009F6E69"/>
    <w:rsid w:val="009F779D"/>
    <w:rsid w:val="00A002DD"/>
    <w:rsid w:val="00A00C0D"/>
    <w:rsid w:val="00A01C58"/>
    <w:rsid w:val="00A025E2"/>
    <w:rsid w:val="00A035A7"/>
    <w:rsid w:val="00A03E3B"/>
    <w:rsid w:val="00A04271"/>
    <w:rsid w:val="00A04C01"/>
    <w:rsid w:val="00A04D32"/>
    <w:rsid w:val="00A04F1B"/>
    <w:rsid w:val="00A0501B"/>
    <w:rsid w:val="00A05797"/>
    <w:rsid w:val="00A05B2F"/>
    <w:rsid w:val="00A075C2"/>
    <w:rsid w:val="00A10FF1"/>
    <w:rsid w:val="00A1113E"/>
    <w:rsid w:val="00A11BA9"/>
    <w:rsid w:val="00A1231F"/>
    <w:rsid w:val="00A130B4"/>
    <w:rsid w:val="00A130F3"/>
    <w:rsid w:val="00A13E5C"/>
    <w:rsid w:val="00A14947"/>
    <w:rsid w:val="00A14A4A"/>
    <w:rsid w:val="00A15714"/>
    <w:rsid w:val="00A165A5"/>
    <w:rsid w:val="00A16CCB"/>
    <w:rsid w:val="00A16DB3"/>
    <w:rsid w:val="00A17A5E"/>
    <w:rsid w:val="00A2051C"/>
    <w:rsid w:val="00A220D0"/>
    <w:rsid w:val="00A22D42"/>
    <w:rsid w:val="00A23E02"/>
    <w:rsid w:val="00A251F9"/>
    <w:rsid w:val="00A30858"/>
    <w:rsid w:val="00A31747"/>
    <w:rsid w:val="00A31FFD"/>
    <w:rsid w:val="00A32A83"/>
    <w:rsid w:val="00A336EF"/>
    <w:rsid w:val="00A33769"/>
    <w:rsid w:val="00A337B4"/>
    <w:rsid w:val="00A3387F"/>
    <w:rsid w:val="00A33B40"/>
    <w:rsid w:val="00A33B51"/>
    <w:rsid w:val="00A33C52"/>
    <w:rsid w:val="00A3572E"/>
    <w:rsid w:val="00A35C9F"/>
    <w:rsid w:val="00A35FC4"/>
    <w:rsid w:val="00A368DB"/>
    <w:rsid w:val="00A36CD7"/>
    <w:rsid w:val="00A4000A"/>
    <w:rsid w:val="00A4037F"/>
    <w:rsid w:val="00A404EB"/>
    <w:rsid w:val="00A423AA"/>
    <w:rsid w:val="00A42C3D"/>
    <w:rsid w:val="00A4355E"/>
    <w:rsid w:val="00A43A26"/>
    <w:rsid w:val="00A43BF9"/>
    <w:rsid w:val="00A44A23"/>
    <w:rsid w:val="00A450E4"/>
    <w:rsid w:val="00A45FD2"/>
    <w:rsid w:val="00A460B0"/>
    <w:rsid w:val="00A50464"/>
    <w:rsid w:val="00A51AE0"/>
    <w:rsid w:val="00A51B80"/>
    <w:rsid w:val="00A51C16"/>
    <w:rsid w:val="00A52391"/>
    <w:rsid w:val="00A53508"/>
    <w:rsid w:val="00A53EC6"/>
    <w:rsid w:val="00A55C0F"/>
    <w:rsid w:val="00A55E20"/>
    <w:rsid w:val="00A56B84"/>
    <w:rsid w:val="00A62293"/>
    <w:rsid w:val="00A629BA"/>
    <w:rsid w:val="00A6417E"/>
    <w:rsid w:val="00A64778"/>
    <w:rsid w:val="00A6484F"/>
    <w:rsid w:val="00A655DA"/>
    <w:rsid w:val="00A6582F"/>
    <w:rsid w:val="00A65EDD"/>
    <w:rsid w:val="00A66A69"/>
    <w:rsid w:val="00A67BF3"/>
    <w:rsid w:val="00A72DFD"/>
    <w:rsid w:val="00A73DAB"/>
    <w:rsid w:val="00A749BA"/>
    <w:rsid w:val="00A753FF"/>
    <w:rsid w:val="00A77C59"/>
    <w:rsid w:val="00A77E3A"/>
    <w:rsid w:val="00A8085B"/>
    <w:rsid w:val="00A82887"/>
    <w:rsid w:val="00A82EE5"/>
    <w:rsid w:val="00A832BD"/>
    <w:rsid w:val="00A83E5B"/>
    <w:rsid w:val="00A86318"/>
    <w:rsid w:val="00A86667"/>
    <w:rsid w:val="00A870D8"/>
    <w:rsid w:val="00A8713F"/>
    <w:rsid w:val="00A90327"/>
    <w:rsid w:val="00A90636"/>
    <w:rsid w:val="00A90BA1"/>
    <w:rsid w:val="00A90BB9"/>
    <w:rsid w:val="00A922C6"/>
    <w:rsid w:val="00A92648"/>
    <w:rsid w:val="00A92DE6"/>
    <w:rsid w:val="00A931B3"/>
    <w:rsid w:val="00A93C91"/>
    <w:rsid w:val="00A97A9A"/>
    <w:rsid w:val="00A97C26"/>
    <w:rsid w:val="00A97D0B"/>
    <w:rsid w:val="00AA0243"/>
    <w:rsid w:val="00AA0671"/>
    <w:rsid w:val="00AA159D"/>
    <w:rsid w:val="00AA1848"/>
    <w:rsid w:val="00AA2531"/>
    <w:rsid w:val="00AA2CB8"/>
    <w:rsid w:val="00AA33A6"/>
    <w:rsid w:val="00AA7163"/>
    <w:rsid w:val="00AA786E"/>
    <w:rsid w:val="00AA7A08"/>
    <w:rsid w:val="00AA7C1E"/>
    <w:rsid w:val="00AB006D"/>
    <w:rsid w:val="00AB120B"/>
    <w:rsid w:val="00AB1B5D"/>
    <w:rsid w:val="00AB1E09"/>
    <w:rsid w:val="00AB210A"/>
    <w:rsid w:val="00AB3036"/>
    <w:rsid w:val="00AB4347"/>
    <w:rsid w:val="00AB5330"/>
    <w:rsid w:val="00AB57D4"/>
    <w:rsid w:val="00AB57DC"/>
    <w:rsid w:val="00AB6F4A"/>
    <w:rsid w:val="00AB70C9"/>
    <w:rsid w:val="00AB7747"/>
    <w:rsid w:val="00AC04E0"/>
    <w:rsid w:val="00AC05C1"/>
    <w:rsid w:val="00AC101A"/>
    <w:rsid w:val="00AC14CE"/>
    <w:rsid w:val="00AC18F7"/>
    <w:rsid w:val="00AC22ED"/>
    <w:rsid w:val="00AC2A56"/>
    <w:rsid w:val="00AC3986"/>
    <w:rsid w:val="00AC4C87"/>
    <w:rsid w:val="00AC4D5A"/>
    <w:rsid w:val="00AC594B"/>
    <w:rsid w:val="00AC665D"/>
    <w:rsid w:val="00AC79C6"/>
    <w:rsid w:val="00AD055E"/>
    <w:rsid w:val="00AD0BCC"/>
    <w:rsid w:val="00AD12A7"/>
    <w:rsid w:val="00AD15FD"/>
    <w:rsid w:val="00AD1BD7"/>
    <w:rsid w:val="00AD1F06"/>
    <w:rsid w:val="00AD31FE"/>
    <w:rsid w:val="00AD39A3"/>
    <w:rsid w:val="00AD423E"/>
    <w:rsid w:val="00AD463E"/>
    <w:rsid w:val="00AD47A7"/>
    <w:rsid w:val="00AD5297"/>
    <w:rsid w:val="00AD7059"/>
    <w:rsid w:val="00AD7DAE"/>
    <w:rsid w:val="00AE36F9"/>
    <w:rsid w:val="00AE3DFC"/>
    <w:rsid w:val="00AE5C4B"/>
    <w:rsid w:val="00AE69FF"/>
    <w:rsid w:val="00AE787F"/>
    <w:rsid w:val="00AE78D2"/>
    <w:rsid w:val="00AE7E80"/>
    <w:rsid w:val="00AF01A4"/>
    <w:rsid w:val="00AF0CBF"/>
    <w:rsid w:val="00AF0FBE"/>
    <w:rsid w:val="00AF257F"/>
    <w:rsid w:val="00AF2E4E"/>
    <w:rsid w:val="00AF33CF"/>
    <w:rsid w:val="00AF3759"/>
    <w:rsid w:val="00AF4D50"/>
    <w:rsid w:val="00AF4DB0"/>
    <w:rsid w:val="00AF5C08"/>
    <w:rsid w:val="00AF5D5F"/>
    <w:rsid w:val="00AF6179"/>
    <w:rsid w:val="00AF67A2"/>
    <w:rsid w:val="00AF70B5"/>
    <w:rsid w:val="00AF747F"/>
    <w:rsid w:val="00AF7913"/>
    <w:rsid w:val="00B0034E"/>
    <w:rsid w:val="00B0093C"/>
    <w:rsid w:val="00B01BBB"/>
    <w:rsid w:val="00B02863"/>
    <w:rsid w:val="00B02F36"/>
    <w:rsid w:val="00B03154"/>
    <w:rsid w:val="00B03B1F"/>
    <w:rsid w:val="00B0529B"/>
    <w:rsid w:val="00B06284"/>
    <w:rsid w:val="00B06706"/>
    <w:rsid w:val="00B071B2"/>
    <w:rsid w:val="00B109F4"/>
    <w:rsid w:val="00B119A5"/>
    <w:rsid w:val="00B11AC3"/>
    <w:rsid w:val="00B11EC9"/>
    <w:rsid w:val="00B123A7"/>
    <w:rsid w:val="00B1295A"/>
    <w:rsid w:val="00B130D2"/>
    <w:rsid w:val="00B137A3"/>
    <w:rsid w:val="00B13873"/>
    <w:rsid w:val="00B13B97"/>
    <w:rsid w:val="00B15399"/>
    <w:rsid w:val="00B158FE"/>
    <w:rsid w:val="00B178D1"/>
    <w:rsid w:val="00B17C29"/>
    <w:rsid w:val="00B20A45"/>
    <w:rsid w:val="00B216E2"/>
    <w:rsid w:val="00B21C5C"/>
    <w:rsid w:val="00B21F95"/>
    <w:rsid w:val="00B22C5C"/>
    <w:rsid w:val="00B22D46"/>
    <w:rsid w:val="00B2330E"/>
    <w:rsid w:val="00B23B74"/>
    <w:rsid w:val="00B24490"/>
    <w:rsid w:val="00B24B41"/>
    <w:rsid w:val="00B24D98"/>
    <w:rsid w:val="00B24F30"/>
    <w:rsid w:val="00B266A9"/>
    <w:rsid w:val="00B2672B"/>
    <w:rsid w:val="00B26A6A"/>
    <w:rsid w:val="00B27F75"/>
    <w:rsid w:val="00B303E9"/>
    <w:rsid w:val="00B3072E"/>
    <w:rsid w:val="00B31ABF"/>
    <w:rsid w:val="00B323D4"/>
    <w:rsid w:val="00B32F57"/>
    <w:rsid w:val="00B33BE3"/>
    <w:rsid w:val="00B34A9D"/>
    <w:rsid w:val="00B36783"/>
    <w:rsid w:val="00B37C21"/>
    <w:rsid w:val="00B40548"/>
    <w:rsid w:val="00B4087D"/>
    <w:rsid w:val="00B420E9"/>
    <w:rsid w:val="00B42EE8"/>
    <w:rsid w:val="00B43705"/>
    <w:rsid w:val="00B4411C"/>
    <w:rsid w:val="00B44B6D"/>
    <w:rsid w:val="00B44FF6"/>
    <w:rsid w:val="00B45428"/>
    <w:rsid w:val="00B47527"/>
    <w:rsid w:val="00B5029E"/>
    <w:rsid w:val="00B50606"/>
    <w:rsid w:val="00B50655"/>
    <w:rsid w:val="00B50D81"/>
    <w:rsid w:val="00B50FEF"/>
    <w:rsid w:val="00B53B5D"/>
    <w:rsid w:val="00B54107"/>
    <w:rsid w:val="00B54218"/>
    <w:rsid w:val="00B55413"/>
    <w:rsid w:val="00B57124"/>
    <w:rsid w:val="00B57B62"/>
    <w:rsid w:val="00B6055E"/>
    <w:rsid w:val="00B605A5"/>
    <w:rsid w:val="00B60E44"/>
    <w:rsid w:val="00B61E06"/>
    <w:rsid w:val="00B6317D"/>
    <w:rsid w:val="00B63282"/>
    <w:rsid w:val="00B63593"/>
    <w:rsid w:val="00B63699"/>
    <w:rsid w:val="00B64629"/>
    <w:rsid w:val="00B652A4"/>
    <w:rsid w:val="00B662E0"/>
    <w:rsid w:val="00B66851"/>
    <w:rsid w:val="00B66D2B"/>
    <w:rsid w:val="00B6705A"/>
    <w:rsid w:val="00B702BB"/>
    <w:rsid w:val="00B71FC1"/>
    <w:rsid w:val="00B74F91"/>
    <w:rsid w:val="00B7529C"/>
    <w:rsid w:val="00B763A3"/>
    <w:rsid w:val="00B7723F"/>
    <w:rsid w:val="00B772A2"/>
    <w:rsid w:val="00B77394"/>
    <w:rsid w:val="00B774EA"/>
    <w:rsid w:val="00B777CC"/>
    <w:rsid w:val="00B80534"/>
    <w:rsid w:val="00B81A05"/>
    <w:rsid w:val="00B83324"/>
    <w:rsid w:val="00B8375B"/>
    <w:rsid w:val="00B83773"/>
    <w:rsid w:val="00B8433C"/>
    <w:rsid w:val="00B846F5"/>
    <w:rsid w:val="00B84C89"/>
    <w:rsid w:val="00B85584"/>
    <w:rsid w:val="00B85EA1"/>
    <w:rsid w:val="00B8623D"/>
    <w:rsid w:val="00B86E0A"/>
    <w:rsid w:val="00B87225"/>
    <w:rsid w:val="00B87491"/>
    <w:rsid w:val="00B8767F"/>
    <w:rsid w:val="00B90A20"/>
    <w:rsid w:val="00B91107"/>
    <w:rsid w:val="00B9194C"/>
    <w:rsid w:val="00B930EA"/>
    <w:rsid w:val="00B947BB"/>
    <w:rsid w:val="00B97167"/>
    <w:rsid w:val="00B97701"/>
    <w:rsid w:val="00BA0798"/>
    <w:rsid w:val="00BA1778"/>
    <w:rsid w:val="00BA1CA1"/>
    <w:rsid w:val="00BA29E9"/>
    <w:rsid w:val="00BA6A5A"/>
    <w:rsid w:val="00BA7142"/>
    <w:rsid w:val="00BB0717"/>
    <w:rsid w:val="00BB0ADF"/>
    <w:rsid w:val="00BB1AB9"/>
    <w:rsid w:val="00BB1CD4"/>
    <w:rsid w:val="00BB237C"/>
    <w:rsid w:val="00BB2F7B"/>
    <w:rsid w:val="00BB3258"/>
    <w:rsid w:val="00BB35D0"/>
    <w:rsid w:val="00BB402D"/>
    <w:rsid w:val="00BB41A3"/>
    <w:rsid w:val="00BB61CF"/>
    <w:rsid w:val="00BB6546"/>
    <w:rsid w:val="00BB6A5E"/>
    <w:rsid w:val="00BC1540"/>
    <w:rsid w:val="00BC1871"/>
    <w:rsid w:val="00BC1EF8"/>
    <w:rsid w:val="00BC325C"/>
    <w:rsid w:val="00BC32CA"/>
    <w:rsid w:val="00BC32DC"/>
    <w:rsid w:val="00BC3470"/>
    <w:rsid w:val="00BC35B6"/>
    <w:rsid w:val="00BC53A1"/>
    <w:rsid w:val="00BD138E"/>
    <w:rsid w:val="00BD1B51"/>
    <w:rsid w:val="00BD35B7"/>
    <w:rsid w:val="00BD3B53"/>
    <w:rsid w:val="00BD415B"/>
    <w:rsid w:val="00BD4596"/>
    <w:rsid w:val="00BD4627"/>
    <w:rsid w:val="00BD78C9"/>
    <w:rsid w:val="00BE0859"/>
    <w:rsid w:val="00BE0E01"/>
    <w:rsid w:val="00BE1405"/>
    <w:rsid w:val="00BE1BF6"/>
    <w:rsid w:val="00BE312D"/>
    <w:rsid w:val="00BE486B"/>
    <w:rsid w:val="00BE52B1"/>
    <w:rsid w:val="00BE5427"/>
    <w:rsid w:val="00BE54FB"/>
    <w:rsid w:val="00BE7148"/>
    <w:rsid w:val="00BE7CDA"/>
    <w:rsid w:val="00BF016F"/>
    <w:rsid w:val="00BF0A2B"/>
    <w:rsid w:val="00BF1C20"/>
    <w:rsid w:val="00BF3F46"/>
    <w:rsid w:val="00C030EB"/>
    <w:rsid w:val="00C047AC"/>
    <w:rsid w:val="00C068D7"/>
    <w:rsid w:val="00C07213"/>
    <w:rsid w:val="00C10031"/>
    <w:rsid w:val="00C1008E"/>
    <w:rsid w:val="00C10203"/>
    <w:rsid w:val="00C10226"/>
    <w:rsid w:val="00C10578"/>
    <w:rsid w:val="00C109B1"/>
    <w:rsid w:val="00C11055"/>
    <w:rsid w:val="00C135BC"/>
    <w:rsid w:val="00C14D6A"/>
    <w:rsid w:val="00C14E76"/>
    <w:rsid w:val="00C15C95"/>
    <w:rsid w:val="00C173DF"/>
    <w:rsid w:val="00C17EF1"/>
    <w:rsid w:val="00C20BAF"/>
    <w:rsid w:val="00C20C1F"/>
    <w:rsid w:val="00C216AF"/>
    <w:rsid w:val="00C2251E"/>
    <w:rsid w:val="00C22977"/>
    <w:rsid w:val="00C22EB4"/>
    <w:rsid w:val="00C2374C"/>
    <w:rsid w:val="00C23963"/>
    <w:rsid w:val="00C23A5E"/>
    <w:rsid w:val="00C2596A"/>
    <w:rsid w:val="00C2651E"/>
    <w:rsid w:val="00C27537"/>
    <w:rsid w:val="00C300DF"/>
    <w:rsid w:val="00C30BBB"/>
    <w:rsid w:val="00C328FE"/>
    <w:rsid w:val="00C334ED"/>
    <w:rsid w:val="00C33507"/>
    <w:rsid w:val="00C33858"/>
    <w:rsid w:val="00C3419E"/>
    <w:rsid w:val="00C348E7"/>
    <w:rsid w:val="00C37CD3"/>
    <w:rsid w:val="00C402E5"/>
    <w:rsid w:val="00C40789"/>
    <w:rsid w:val="00C415D7"/>
    <w:rsid w:val="00C41CB2"/>
    <w:rsid w:val="00C41EBB"/>
    <w:rsid w:val="00C42687"/>
    <w:rsid w:val="00C429C8"/>
    <w:rsid w:val="00C42F36"/>
    <w:rsid w:val="00C4409D"/>
    <w:rsid w:val="00C44E72"/>
    <w:rsid w:val="00C456B8"/>
    <w:rsid w:val="00C45A06"/>
    <w:rsid w:val="00C4666D"/>
    <w:rsid w:val="00C47E5B"/>
    <w:rsid w:val="00C5077F"/>
    <w:rsid w:val="00C50AA2"/>
    <w:rsid w:val="00C517BB"/>
    <w:rsid w:val="00C51E10"/>
    <w:rsid w:val="00C52163"/>
    <w:rsid w:val="00C5277E"/>
    <w:rsid w:val="00C52E3B"/>
    <w:rsid w:val="00C53647"/>
    <w:rsid w:val="00C53C51"/>
    <w:rsid w:val="00C5425C"/>
    <w:rsid w:val="00C542ED"/>
    <w:rsid w:val="00C54364"/>
    <w:rsid w:val="00C54680"/>
    <w:rsid w:val="00C54784"/>
    <w:rsid w:val="00C549BC"/>
    <w:rsid w:val="00C552F7"/>
    <w:rsid w:val="00C554BF"/>
    <w:rsid w:val="00C60A03"/>
    <w:rsid w:val="00C61E4B"/>
    <w:rsid w:val="00C62479"/>
    <w:rsid w:val="00C641EC"/>
    <w:rsid w:val="00C645A5"/>
    <w:rsid w:val="00C64BFF"/>
    <w:rsid w:val="00C64EEE"/>
    <w:rsid w:val="00C6697D"/>
    <w:rsid w:val="00C672EF"/>
    <w:rsid w:val="00C704E9"/>
    <w:rsid w:val="00C70EDF"/>
    <w:rsid w:val="00C71429"/>
    <w:rsid w:val="00C7227B"/>
    <w:rsid w:val="00C72C79"/>
    <w:rsid w:val="00C742DA"/>
    <w:rsid w:val="00C7558F"/>
    <w:rsid w:val="00C75DC7"/>
    <w:rsid w:val="00C761E7"/>
    <w:rsid w:val="00C763C9"/>
    <w:rsid w:val="00C7681F"/>
    <w:rsid w:val="00C770A4"/>
    <w:rsid w:val="00C7723D"/>
    <w:rsid w:val="00C77254"/>
    <w:rsid w:val="00C80057"/>
    <w:rsid w:val="00C81969"/>
    <w:rsid w:val="00C81E4B"/>
    <w:rsid w:val="00C82232"/>
    <w:rsid w:val="00C822CC"/>
    <w:rsid w:val="00C82913"/>
    <w:rsid w:val="00C829D0"/>
    <w:rsid w:val="00C8391A"/>
    <w:rsid w:val="00C83B70"/>
    <w:rsid w:val="00C83D3E"/>
    <w:rsid w:val="00C84385"/>
    <w:rsid w:val="00C84D0F"/>
    <w:rsid w:val="00C84F0C"/>
    <w:rsid w:val="00C86086"/>
    <w:rsid w:val="00C86824"/>
    <w:rsid w:val="00C90846"/>
    <w:rsid w:val="00C91DDD"/>
    <w:rsid w:val="00C9493F"/>
    <w:rsid w:val="00C94AB8"/>
    <w:rsid w:val="00C94CBC"/>
    <w:rsid w:val="00C94FF5"/>
    <w:rsid w:val="00C96678"/>
    <w:rsid w:val="00C972B1"/>
    <w:rsid w:val="00CA084A"/>
    <w:rsid w:val="00CA09BF"/>
    <w:rsid w:val="00CA2CCE"/>
    <w:rsid w:val="00CA2F69"/>
    <w:rsid w:val="00CA3FC0"/>
    <w:rsid w:val="00CA43FD"/>
    <w:rsid w:val="00CA45BA"/>
    <w:rsid w:val="00CA5926"/>
    <w:rsid w:val="00CA595A"/>
    <w:rsid w:val="00CA6DC1"/>
    <w:rsid w:val="00CA7C4F"/>
    <w:rsid w:val="00CA7DCC"/>
    <w:rsid w:val="00CA7EF8"/>
    <w:rsid w:val="00CB0009"/>
    <w:rsid w:val="00CB096C"/>
    <w:rsid w:val="00CB1695"/>
    <w:rsid w:val="00CB2639"/>
    <w:rsid w:val="00CB35A2"/>
    <w:rsid w:val="00CB372F"/>
    <w:rsid w:val="00CB490F"/>
    <w:rsid w:val="00CB69A8"/>
    <w:rsid w:val="00CB6DA1"/>
    <w:rsid w:val="00CC012F"/>
    <w:rsid w:val="00CC097E"/>
    <w:rsid w:val="00CC0FE2"/>
    <w:rsid w:val="00CC1A5C"/>
    <w:rsid w:val="00CC1C74"/>
    <w:rsid w:val="00CC2E5E"/>
    <w:rsid w:val="00CC3A60"/>
    <w:rsid w:val="00CC4270"/>
    <w:rsid w:val="00CC489B"/>
    <w:rsid w:val="00CC4F88"/>
    <w:rsid w:val="00CC5597"/>
    <w:rsid w:val="00CC5868"/>
    <w:rsid w:val="00CC58E0"/>
    <w:rsid w:val="00CC5C44"/>
    <w:rsid w:val="00CC6107"/>
    <w:rsid w:val="00CC711D"/>
    <w:rsid w:val="00CD0270"/>
    <w:rsid w:val="00CD039E"/>
    <w:rsid w:val="00CD1AD8"/>
    <w:rsid w:val="00CD2BCD"/>
    <w:rsid w:val="00CD2DD5"/>
    <w:rsid w:val="00CD3A4C"/>
    <w:rsid w:val="00CD40BA"/>
    <w:rsid w:val="00CD4D47"/>
    <w:rsid w:val="00CD6F2C"/>
    <w:rsid w:val="00CE10E9"/>
    <w:rsid w:val="00CE194C"/>
    <w:rsid w:val="00CE25E9"/>
    <w:rsid w:val="00CE2910"/>
    <w:rsid w:val="00CE2C8B"/>
    <w:rsid w:val="00CE3A87"/>
    <w:rsid w:val="00CE5393"/>
    <w:rsid w:val="00CE5537"/>
    <w:rsid w:val="00CE581A"/>
    <w:rsid w:val="00CE61DA"/>
    <w:rsid w:val="00CE751A"/>
    <w:rsid w:val="00CE774D"/>
    <w:rsid w:val="00CE789B"/>
    <w:rsid w:val="00CF0F34"/>
    <w:rsid w:val="00CF0F7F"/>
    <w:rsid w:val="00CF10AE"/>
    <w:rsid w:val="00CF2F6F"/>
    <w:rsid w:val="00CF36BE"/>
    <w:rsid w:val="00CF3B17"/>
    <w:rsid w:val="00CF4207"/>
    <w:rsid w:val="00CF6000"/>
    <w:rsid w:val="00CF7155"/>
    <w:rsid w:val="00D003F3"/>
    <w:rsid w:val="00D00613"/>
    <w:rsid w:val="00D029F8"/>
    <w:rsid w:val="00D02C9C"/>
    <w:rsid w:val="00D0364F"/>
    <w:rsid w:val="00D04763"/>
    <w:rsid w:val="00D05EA9"/>
    <w:rsid w:val="00D06834"/>
    <w:rsid w:val="00D06871"/>
    <w:rsid w:val="00D103FF"/>
    <w:rsid w:val="00D10B4A"/>
    <w:rsid w:val="00D1374B"/>
    <w:rsid w:val="00D149AD"/>
    <w:rsid w:val="00D15FB8"/>
    <w:rsid w:val="00D16593"/>
    <w:rsid w:val="00D16C76"/>
    <w:rsid w:val="00D22DDF"/>
    <w:rsid w:val="00D23456"/>
    <w:rsid w:val="00D23D56"/>
    <w:rsid w:val="00D243AC"/>
    <w:rsid w:val="00D26573"/>
    <w:rsid w:val="00D27080"/>
    <w:rsid w:val="00D279FB"/>
    <w:rsid w:val="00D308ED"/>
    <w:rsid w:val="00D3190C"/>
    <w:rsid w:val="00D32372"/>
    <w:rsid w:val="00D3350F"/>
    <w:rsid w:val="00D33FCC"/>
    <w:rsid w:val="00D35272"/>
    <w:rsid w:val="00D35528"/>
    <w:rsid w:val="00D36025"/>
    <w:rsid w:val="00D36193"/>
    <w:rsid w:val="00D36D86"/>
    <w:rsid w:val="00D37755"/>
    <w:rsid w:val="00D40425"/>
    <w:rsid w:val="00D40FFE"/>
    <w:rsid w:val="00D41112"/>
    <w:rsid w:val="00D411BD"/>
    <w:rsid w:val="00D4187A"/>
    <w:rsid w:val="00D428AA"/>
    <w:rsid w:val="00D42A9A"/>
    <w:rsid w:val="00D43B25"/>
    <w:rsid w:val="00D455EC"/>
    <w:rsid w:val="00D458C0"/>
    <w:rsid w:val="00D45F52"/>
    <w:rsid w:val="00D46174"/>
    <w:rsid w:val="00D46D13"/>
    <w:rsid w:val="00D471E0"/>
    <w:rsid w:val="00D4777D"/>
    <w:rsid w:val="00D47C30"/>
    <w:rsid w:val="00D506BB"/>
    <w:rsid w:val="00D50A34"/>
    <w:rsid w:val="00D529A0"/>
    <w:rsid w:val="00D53EFA"/>
    <w:rsid w:val="00D54078"/>
    <w:rsid w:val="00D54CAC"/>
    <w:rsid w:val="00D5718E"/>
    <w:rsid w:val="00D57B17"/>
    <w:rsid w:val="00D60A66"/>
    <w:rsid w:val="00D60E4D"/>
    <w:rsid w:val="00D644FE"/>
    <w:rsid w:val="00D65427"/>
    <w:rsid w:val="00D65D11"/>
    <w:rsid w:val="00D6688D"/>
    <w:rsid w:val="00D70665"/>
    <w:rsid w:val="00D706F9"/>
    <w:rsid w:val="00D71738"/>
    <w:rsid w:val="00D72295"/>
    <w:rsid w:val="00D725FB"/>
    <w:rsid w:val="00D72682"/>
    <w:rsid w:val="00D738C2"/>
    <w:rsid w:val="00D748D2"/>
    <w:rsid w:val="00D74ADD"/>
    <w:rsid w:val="00D76B69"/>
    <w:rsid w:val="00D77A00"/>
    <w:rsid w:val="00D77F2B"/>
    <w:rsid w:val="00D80036"/>
    <w:rsid w:val="00D82C32"/>
    <w:rsid w:val="00D83526"/>
    <w:rsid w:val="00D836CA"/>
    <w:rsid w:val="00D863A5"/>
    <w:rsid w:val="00D86AF6"/>
    <w:rsid w:val="00D875AE"/>
    <w:rsid w:val="00D90B5D"/>
    <w:rsid w:val="00D90E5C"/>
    <w:rsid w:val="00D93660"/>
    <w:rsid w:val="00D94A7C"/>
    <w:rsid w:val="00D9578A"/>
    <w:rsid w:val="00D95896"/>
    <w:rsid w:val="00DA012F"/>
    <w:rsid w:val="00DA1468"/>
    <w:rsid w:val="00DA266E"/>
    <w:rsid w:val="00DA2D5A"/>
    <w:rsid w:val="00DA4F64"/>
    <w:rsid w:val="00DA4FFE"/>
    <w:rsid w:val="00DA60D4"/>
    <w:rsid w:val="00DA784D"/>
    <w:rsid w:val="00DB1386"/>
    <w:rsid w:val="00DB2983"/>
    <w:rsid w:val="00DB2D9E"/>
    <w:rsid w:val="00DB3591"/>
    <w:rsid w:val="00DB4B8B"/>
    <w:rsid w:val="00DB561D"/>
    <w:rsid w:val="00DB5BF9"/>
    <w:rsid w:val="00DC0196"/>
    <w:rsid w:val="00DC102F"/>
    <w:rsid w:val="00DC1257"/>
    <w:rsid w:val="00DC185C"/>
    <w:rsid w:val="00DC3DC0"/>
    <w:rsid w:val="00DC433E"/>
    <w:rsid w:val="00DC464C"/>
    <w:rsid w:val="00DC4E38"/>
    <w:rsid w:val="00DC5B2B"/>
    <w:rsid w:val="00DC5E29"/>
    <w:rsid w:val="00DC7474"/>
    <w:rsid w:val="00DC7733"/>
    <w:rsid w:val="00DD1390"/>
    <w:rsid w:val="00DD318D"/>
    <w:rsid w:val="00DD3743"/>
    <w:rsid w:val="00DD37EF"/>
    <w:rsid w:val="00DD3F39"/>
    <w:rsid w:val="00DD4C5D"/>
    <w:rsid w:val="00DD4C94"/>
    <w:rsid w:val="00DD552E"/>
    <w:rsid w:val="00DE18D3"/>
    <w:rsid w:val="00DE1A6C"/>
    <w:rsid w:val="00DE386D"/>
    <w:rsid w:val="00DE46C3"/>
    <w:rsid w:val="00DE471E"/>
    <w:rsid w:val="00DE6A07"/>
    <w:rsid w:val="00DE6B2C"/>
    <w:rsid w:val="00DE7A4B"/>
    <w:rsid w:val="00DF0123"/>
    <w:rsid w:val="00DF2E12"/>
    <w:rsid w:val="00DF3E57"/>
    <w:rsid w:val="00DF514A"/>
    <w:rsid w:val="00DF52EC"/>
    <w:rsid w:val="00DF63A6"/>
    <w:rsid w:val="00DF6690"/>
    <w:rsid w:val="00DF6804"/>
    <w:rsid w:val="00DF6E69"/>
    <w:rsid w:val="00DF7E45"/>
    <w:rsid w:val="00E00A19"/>
    <w:rsid w:val="00E02FB3"/>
    <w:rsid w:val="00E0358D"/>
    <w:rsid w:val="00E04323"/>
    <w:rsid w:val="00E04654"/>
    <w:rsid w:val="00E052C4"/>
    <w:rsid w:val="00E0625C"/>
    <w:rsid w:val="00E062D9"/>
    <w:rsid w:val="00E06903"/>
    <w:rsid w:val="00E070A2"/>
    <w:rsid w:val="00E075C4"/>
    <w:rsid w:val="00E10852"/>
    <w:rsid w:val="00E1195C"/>
    <w:rsid w:val="00E12198"/>
    <w:rsid w:val="00E13D06"/>
    <w:rsid w:val="00E14586"/>
    <w:rsid w:val="00E14CB3"/>
    <w:rsid w:val="00E151B7"/>
    <w:rsid w:val="00E15667"/>
    <w:rsid w:val="00E166CB"/>
    <w:rsid w:val="00E17A85"/>
    <w:rsid w:val="00E17AB6"/>
    <w:rsid w:val="00E212EE"/>
    <w:rsid w:val="00E24CD2"/>
    <w:rsid w:val="00E26444"/>
    <w:rsid w:val="00E2656A"/>
    <w:rsid w:val="00E27B66"/>
    <w:rsid w:val="00E3026F"/>
    <w:rsid w:val="00E32599"/>
    <w:rsid w:val="00E3315E"/>
    <w:rsid w:val="00E3391D"/>
    <w:rsid w:val="00E370E0"/>
    <w:rsid w:val="00E37C67"/>
    <w:rsid w:val="00E408C6"/>
    <w:rsid w:val="00E412D0"/>
    <w:rsid w:val="00E42CB1"/>
    <w:rsid w:val="00E4524B"/>
    <w:rsid w:val="00E454D3"/>
    <w:rsid w:val="00E454DB"/>
    <w:rsid w:val="00E45CE8"/>
    <w:rsid w:val="00E5106A"/>
    <w:rsid w:val="00E51DDF"/>
    <w:rsid w:val="00E526CF"/>
    <w:rsid w:val="00E529E8"/>
    <w:rsid w:val="00E53FC1"/>
    <w:rsid w:val="00E54A3C"/>
    <w:rsid w:val="00E553FE"/>
    <w:rsid w:val="00E56322"/>
    <w:rsid w:val="00E60982"/>
    <w:rsid w:val="00E62C62"/>
    <w:rsid w:val="00E6352E"/>
    <w:rsid w:val="00E650DE"/>
    <w:rsid w:val="00E654C1"/>
    <w:rsid w:val="00E65D97"/>
    <w:rsid w:val="00E65FFE"/>
    <w:rsid w:val="00E66162"/>
    <w:rsid w:val="00E67096"/>
    <w:rsid w:val="00E672AE"/>
    <w:rsid w:val="00E67369"/>
    <w:rsid w:val="00E67B9A"/>
    <w:rsid w:val="00E7038D"/>
    <w:rsid w:val="00E72A20"/>
    <w:rsid w:val="00E72A5A"/>
    <w:rsid w:val="00E73354"/>
    <w:rsid w:val="00E73713"/>
    <w:rsid w:val="00E73D47"/>
    <w:rsid w:val="00E75934"/>
    <w:rsid w:val="00E75E82"/>
    <w:rsid w:val="00E8020F"/>
    <w:rsid w:val="00E80536"/>
    <w:rsid w:val="00E813AE"/>
    <w:rsid w:val="00E81692"/>
    <w:rsid w:val="00E821F5"/>
    <w:rsid w:val="00E82A1C"/>
    <w:rsid w:val="00E82C06"/>
    <w:rsid w:val="00E852E4"/>
    <w:rsid w:val="00E85667"/>
    <w:rsid w:val="00E8594E"/>
    <w:rsid w:val="00E8651E"/>
    <w:rsid w:val="00E86748"/>
    <w:rsid w:val="00E903DA"/>
    <w:rsid w:val="00E9041C"/>
    <w:rsid w:val="00E90C09"/>
    <w:rsid w:val="00E9242D"/>
    <w:rsid w:val="00E94917"/>
    <w:rsid w:val="00E95993"/>
    <w:rsid w:val="00E95F46"/>
    <w:rsid w:val="00E9689D"/>
    <w:rsid w:val="00EA0F94"/>
    <w:rsid w:val="00EA1CA3"/>
    <w:rsid w:val="00EA2495"/>
    <w:rsid w:val="00EA302B"/>
    <w:rsid w:val="00EA470C"/>
    <w:rsid w:val="00EA4990"/>
    <w:rsid w:val="00EA52C6"/>
    <w:rsid w:val="00EA6575"/>
    <w:rsid w:val="00EA7D8D"/>
    <w:rsid w:val="00EB0192"/>
    <w:rsid w:val="00EB11C9"/>
    <w:rsid w:val="00EB1F36"/>
    <w:rsid w:val="00EB3118"/>
    <w:rsid w:val="00EB340E"/>
    <w:rsid w:val="00EB46F1"/>
    <w:rsid w:val="00EB5255"/>
    <w:rsid w:val="00EB5C47"/>
    <w:rsid w:val="00EB64C1"/>
    <w:rsid w:val="00EC0088"/>
    <w:rsid w:val="00EC0651"/>
    <w:rsid w:val="00EC0B77"/>
    <w:rsid w:val="00EC1DD6"/>
    <w:rsid w:val="00EC2264"/>
    <w:rsid w:val="00EC2E05"/>
    <w:rsid w:val="00EC3FB2"/>
    <w:rsid w:val="00EC43B4"/>
    <w:rsid w:val="00EC5273"/>
    <w:rsid w:val="00EC6022"/>
    <w:rsid w:val="00EC6C41"/>
    <w:rsid w:val="00EC6E2F"/>
    <w:rsid w:val="00ED0551"/>
    <w:rsid w:val="00ED0639"/>
    <w:rsid w:val="00ED163B"/>
    <w:rsid w:val="00ED1A15"/>
    <w:rsid w:val="00ED3B8C"/>
    <w:rsid w:val="00ED4967"/>
    <w:rsid w:val="00ED5116"/>
    <w:rsid w:val="00ED7F66"/>
    <w:rsid w:val="00EE07BD"/>
    <w:rsid w:val="00EE0D8D"/>
    <w:rsid w:val="00EE2778"/>
    <w:rsid w:val="00EE5B89"/>
    <w:rsid w:val="00EE5CEE"/>
    <w:rsid w:val="00EE75B7"/>
    <w:rsid w:val="00EF0BDE"/>
    <w:rsid w:val="00EF13A6"/>
    <w:rsid w:val="00EF1CCA"/>
    <w:rsid w:val="00EF2E1B"/>
    <w:rsid w:val="00EF4755"/>
    <w:rsid w:val="00EF554B"/>
    <w:rsid w:val="00EF59CE"/>
    <w:rsid w:val="00EF5E83"/>
    <w:rsid w:val="00EF631D"/>
    <w:rsid w:val="00EF7135"/>
    <w:rsid w:val="00EF7303"/>
    <w:rsid w:val="00F00C3C"/>
    <w:rsid w:val="00F0263A"/>
    <w:rsid w:val="00F027DB"/>
    <w:rsid w:val="00F029A9"/>
    <w:rsid w:val="00F02B86"/>
    <w:rsid w:val="00F052A4"/>
    <w:rsid w:val="00F0566D"/>
    <w:rsid w:val="00F05719"/>
    <w:rsid w:val="00F05B9C"/>
    <w:rsid w:val="00F05CD0"/>
    <w:rsid w:val="00F06FB5"/>
    <w:rsid w:val="00F07D11"/>
    <w:rsid w:val="00F11735"/>
    <w:rsid w:val="00F11885"/>
    <w:rsid w:val="00F12386"/>
    <w:rsid w:val="00F12E17"/>
    <w:rsid w:val="00F14970"/>
    <w:rsid w:val="00F14A7A"/>
    <w:rsid w:val="00F15354"/>
    <w:rsid w:val="00F17DCA"/>
    <w:rsid w:val="00F20BCF"/>
    <w:rsid w:val="00F211EB"/>
    <w:rsid w:val="00F217C3"/>
    <w:rsid w:val="00F218FA"/>
    <w:rsid w:val="00F21E28"/>
    <w:rsid w:val="00F22985"/>
    <w:rsid w:val="00F2358B"/>
    <w:rsid w:val="00F2367F"/>
    <w:rsid w:val="00F249ED"/>
    <w:rsid w:val="00F2501B"/>
    <w:rsid w:val="00F25F67"/>
    <w:rsid w:val="00F26745"/>
    <w:rsid w:val="00F27D59"/>
    <w:rsid w:val="00F3072A"/>
    <w:rsid w:val="00F31975"/>
    <w:rsid w:val="00F3383E"/>
    <w:rsid w:val="00F343A5"/>
    <w:rsid w:val="00F34A15"/>
    <w:rsid w:val="00F35BA6"/>
    <w:rsid w:val="00F361E0"/>
    <w:rsid w:val="00F36783"/>
    <w:rsid w:val="00F367EF"/>
    <w:rsid w:val="00F40696"/>
    <w:rsid w:val="00F44264"/>
    <w:rsid w:val="00F4463F"/>
    <w:rsid w:val="00F44EDF"/>
    <w:rsid w:val="00F45B7B"/>
    <w:rsid w:val="00F46290"/>
    <w:rsid w:val="00F465A7"/>
    <w:rsid w:val="00F46F77"/>
    <w:rsid w:val="00F5021B"/>
    <w:rsid w:val="00F50B7C"/>
    <w:rsid w:val="00F51788"/>
    <w:rsid w:val="00F550E6"/>
    <w:rsid w:val="00F558F0"/>
    <w:rsid w:val="00F55E04"/>
    <w:rsid w:val="00F60E1E"/>
    <w:rsid w:val="00F60E25"/>
    <w:rsid w:val="00F61A7E"/>
    <w:rsid w:val="00F624F4"/>
    <w:rsid w:val="00F6388E"/>
    <w:rsid w:val="00F63FF9"/>
    <w:rsid w:val="00F64077"/>
    <w:rsid w:val="00F6422A"/>
    <w:rsid w:val="00F66BD9"/>
    <w:rsid w:val="00F67274"/>
    <w:rsid w:val="00F71ED6"/>
    <w:rsid w:val="00F7375A"/>
    <w:rsid w:val="00F73945"/>
    <w:rsid w:val="00F73E72"/>
    <w:rsid w:val="00F7404A"/>
    <w:rsid w:val="00F74345"/>
    <w:rsid w:val="00F748CF"/>
    <w:rsid w:val="00F7520C"/>
    <w:rsid w:val="00F75873"/>
    <w:rsid w:val="00F779A4"/>
    <w:rsid w:val="00F80792"/>
    <w:rsid w:val="00F80A0A"/>
    <w:rsid w:val="00F80B2A"/>
    <w:rsid w:val="00F81517"/>
    <w:rsid w:val="00F82B19"/>
    <w:rsid w:val="00F834FC"/>
    <w:rsid w:val="00F83A61"/>
    <w:rsid w:val="00F83EB1"/>
    <w:rsid w:val="00F8413F"/>
    <w:rsid w:val="00F8450B"/>
    <w:rsid w:val="00F84EE1"/>
    <w:rsid w:val="00F85931"/>
    <w:rsid w:val="00F85E61"/>
    <w:rsid w:val="00F874C3"/>
    <w:rsid w:val="00F910B7"/>
    <w:rsid w:val="00F9212D"/>
    <w:rsid w:val="00F941F7"/>
    <w:rsid w:val="00F94B69"/>
    <w:rsid w:val="00F9503C"/>
    <w:rsid w:val="00F95E7C"/>
    <w:rsid w:val="00F965DA"/>
    <w:rsid w:val="00FA0C3F"/>
    <w:rsid w:val="00FA1B8D"/>
    <w:rsid w:val="00FA26A8"/>
    <w:rsid w:val="00FA2CE0"/>
    <w:rsid w:val="00FA406A"/>
    <w:rsid w:val="00FA4406"/>
    <w:rsid w:val="00FA45CD"/>
    <w:rsid w:val="00FA4ADF"/>
    <w:rsid w:val="00FA6595"/>
    <w:rsid w:val="00FA691B"/>
    <w:rsid w:val="00FA7985"/>
    <w:rsid w:val="00FA79B5"/>
    <w:rsid w:val="00FB0187"/>
    <w:rsid w:val="00FB02D8"/>
    <w:rsid w:val="00FB05F3"/>
    <w:rsid w:val="00FB1230"/>
    <w:rsid w:val="00FB167F"/>
    <w:rsid w:val="00FB30A2"/>
    <w:rsid w:val="00FB3964"/>
    <w:rsid w:val="00FB4E0F"/>
    <w:rsid w:val="00FB4F2B"/>
    <w:rsid w:val="00FB503A"/>
    <w:rsid w:val="00FB516C"/>
    <w:rsid w:val="00FB581A"/>
    <w:rsid w:val="00FB785E"/>
    <w:rsid w:val="00FC02D2"/>
    <w:rsid w:val="00FC047D"/>
    <w:rsid w:val="00FC12C7"/>
    <w:rsid w:val="00FC164F"/>
    <w:rsid w:val="00FC27F0"/>
    <w:rsid w:val="00FC2E79"/>
    <w:rsid w:val="00FC3CB2"/>
    <w:rsid w:val="00FC3DCE"/>
    <w:rsid w:val="00FC4BED"/>
    <w:rsid w:val="00FC4E7B"/>
    <w:rsid w:val="00FC65E8"/>
    <w:rsid w:val="00FC6917"/>
    <w:rsid w:val="00FD0236"/>
    <w:rsid w:val="00FD18F4"/>
    <w:rsid w:val="00FD1F1B"/>
    <w:rsid w:val="00FD2F7A"/>
    <w:rsid w:val="00FD34F5"/>
    <w:rsid w:val="00FD41E5"/>
    <w:rsid w:val="00FD43AA"/>
    <w:rsid w:val="00FD45E8"/>
    <w:rsid w:val="00FD54DB"/>
    <w:rsid w:val="00FD58D5"/>
    <w:rsid w:val="00FD5D12"/>
    <w:rsid w:val="00FD619F"/>
    <w:rsid w:val="00FD6F03"/>
    <w:rsid w:val="00FD7E16"/>
    <w:rsid w:val="00FE284A"/>
    <w:rsid w:val="00FE28BC"/>
    <w:rsid w:val="00FE3186"/>
    <w:rsid w:val="00FE31BF"/>
    <w:rsid w:val="00FE358F"/>
    <w:rsid w:val="00FE36CE"/>
    <w:rsid w:val="00FE3FB0"/>
    <w:rsid w:val="00FE490C"/>
    <w:rsid w:val="00FE5454"/>
    <w:rsid w:val="00FE67BA"/>
    <w:rsid w:val="00FE79CD"/>
    <w:rsid w:val="00FF0B53"/>
    <w:rsid w:val="00FF0ECA"/>
    <w:rsid w:val="00FF11AC"/>
    <w:rsid w:val="00FF28B1"/>
    <w:rsid w:val="00FF351F"/>
    <w:rsid w:val="00FF54EC"/>
    <w:rsid w:val="00FF6469"/>
    <w:rsid w:val="00FF6B24"/>
    <w:rsid w:val="00FF73AC"/>
    <w:rsid w:val="01290F7E"/>
    <w:rsid w:val="015D1E09"/>
    <w:rsid w:val="025008C3"/>
    <w:rsid w:val="02697903"/>
    <w:rsid w:val="02F96569"/>
    <w:rsid w:val="03BD6D24"/>
    <w:rsid w:val="03EA7B21"/>
    <w:rsid w:val="044D6924"/>
    <w:rsid w:val="04C9495C"/>
    <w:rsid w:val="056F273B"/>
    <w:rsid w:val="058A5B35"/>
    <w:rsid w:val="05A14F91"/>
    <w:rsid w:val="05F83EAE"/>
    <w:rsid w:val="063E7D85"/>
    <w:rsid w:val="065546FA"/>
    <w:rsid w:val="06E42BFA"/>
    <w:rsid w:val="07293586"/>
    <w:rsid w:val="07295285"/>
    <w:rsid w:val="075524D7"/>
    <w:rsid w:val="07636392"/>
    <w:rsid w:val="07644509"/>
    <w:rsid w:val="07770C56"/>
    <w:rsid w:val="079C3C62"/>
    <w:rsid w:val="07AB0A7A"/>
    <w:rsid w:val="07BA233A"/>
    <w:rsid w:val="07EC0192"/>
    <w:rsid w:val="07FF7612"/>
    <w:rsid w:val="08017F69"/>
    <w:rsid w:val="08497325"/>
    <w:rsid w:val="08BB636A"/>
    <w:rsid w:val="08CE2541"/>
    <w:rsid w:val="08DA2C94"/>
    <w:rsid w:val="092217DD"/>
    <w:rsid w:val="093A7294"/>
    <w:rsid w:val="09A6526C"/>
    <w:rsid w:val="09BC6226"/>
    <w:rsid w:val="09CE2183"/>
    <w:rsid w:val="09E638BB"/>
    <w:rsid w:val="0A263993"/>
    <w:rsid w:val="0A2D3AC2"/>
    <w:rsid w:val="0A7F6940"/>
    <w:rsid w:val="0AA755DF"/>
    <w:rsid w:val="0ACD5E0F"/>
    <w:rsid w:val="0B120D44"/>
    <w:rsid w:val="0BC70130"/>
    <w:rsid w:val="0BD27BF6"/>
    <w:rsid w:val="0C3B3C7D"/>
    <w:rsid w:val="0CAB2EAE"/>
    <w:rsid w:val="0CB10B0C"/>
    <w:rsid w:val="0CD100B3"/>
    <w:rsid w:val="0CD85C2B"/>
    <w:rsid w:val="0D246BD4"/>
    <w:rsid w:val="0D344206"/>
    <w:rsid w:val="0D621C7D"/>
    <w:rsid w:val="0DAE46EF"/>
    <w:rsid w:val="0E180665"/>
    <w:rsid w:val="0E4C78E9"/>
    <w:rsid w:val="0E552DBD"/>
    <w:rsid w:val="0E6B438E"/>
    <w:rsid w:val="0E73034D"/>
    <w:rsid w:val="0EC211BA"/>
    <w:rsid w:val="0F13775A"/>
    <w:rsid w:val="0F5F45FE"/>
    <w:rsid w:val="0F9A112B"/>
    <w:rsid w:val="106D2F64"/>
    <w:rsid w:val="108300B5"/>
    <w:rsid w:val="10B63710"/>
    <w:rsid w:val="10BB15FD"/>
    <w:rsid w:val="10DF6A81"/>
    <w:rsid w:val="10F10820"/>
    <w:rsid w:val="111C2F7A"/>
    <w:rsid w:val="112305CB"/>
    <w:rsid w:val="112E152D"/>
    <w:rsid w:val="11665CA1"/>
    <w:rsid w:val="11835FE2"/>
    <w:rsid w:val="119B31DD"/>
    <w:rsid w:val="121C431D"/>
    <w:rsid w:val="12691182"/>
    <w:rsid w:val="12764066"/>
    <w:rsid w:val="131E40C5"/>
    <w:rsid w:val="13951726"/>
    <w:rsid w:val="13A17072"/>
    <w:rsid w:val="13F015BE"/>
    <w:rsid w:val="14302626"/>
    <w:rsid w:val="14396509"/>
    <w:rsid w:val="14851B53"/>
    <w:rsid w:val="149A7048"/>
    <w:rsid w:val="14AE3227"/>
    <w:rsid w:val="14DD2C3C"/>
    <w:rsid w:val="14EE5F3F"/>
    <w:rsid w:val="15291F09"/>
    <w:rsid w:val="15565D98"/>
    <w:rsid w:val="15570834"/>
    <w:rsid w:val="158F520F"/>
    <w:rsid w:val="15DD3DC4"/>
    <w:rsid w:val="16087E1D"/>
    <w:rsid w:val="160939A2"/>
    <w:rsid w:val="16433E47"/>
    <w:rsid w:val="168B2531"/>
    <w:rsid w:val="171001C9"/>
    <w:rsid w:val="17620A24"/>
    <w:rsid w:val="17701D14"/>
    <w:rsid w:val="17735226"/>
    <w:rsid w:val="1821268E"/>
    <w:rsid w:val="182C51D8"/>
    <w:rsid w:val="189F624C"/>
    <w:rsid w:val="19550115"/>
    <w:rsid w:val="19EF66DC"/>
    <w:rsid w:val="1A1C66C0"/>
    <w:rsid w:val="1A42393B"/>
    <w:rsid w:val="1AAD45DE"/>
    <w:rsid w:val="1B046F80"/>
    <w:rsid w:val="1B3267B5"/>
    <w:rsid w:val="1B40161D"/>
    <w:rsid w:val="1B441859"/>
    <w:rsid w:val="1B6606B1"/>
    <w:rsid w:val="1BAA299A"/>
    <w:rsid w:val="1C073948"/>
    <w:rsid w:val="1C1C0B46"/>
    <w:rsid w:val="1C422BD3"/>
    <w:rsid w:val="1C5E7925"/>
    <w:rsid w:val="1C961170"/>
    <w:rsid w:val="1CFD070F"/>
    <w:rsid w:val="1D5F6196"/>
    <w:rsid w:val="1D6132A5"/>
    <w:rsid w:val="1D8E56D5"/>
    <w:rsid w:val="1DBB7403"/>
    <w:rsid w:val="1DD04C16"/>
    <w:rsid w:val="1E2E78B2"/>
    <w:rsid w:val="1E3759B0"/>
    <w:rsid w:val="1E7A43DA"/>
    <w:rsid w:val="1E964850"/>
    <w:rsid w:val="1EA819B0"/>
    <w:rsid w:val="1F8A4EEE"/>
    <w:rsid w:val="1FC33104"/>
    <w:rsid w:val="1FE7539E"/>
    <w:rsid w:val="20671BE0"/>
    <w:rsid w:val="20963CB8"/>
    <w:rsid w:val="20A81A1B"/>
    <w:rsid w:val="20B07FB6"/>
    <w:rsid w:val="20B646FB"/>
    <w:rsid w:val="20F21EF0"/>
    <w:rsid w:val="213B74B1"/>
    <w:rsid w:val="215238B8"/>
    <w:rsid w:val="215A2310"/>
    <w:rsid w:val="21A93F72"/>
    <w:rsid w:val="21DE318A"/>
    <w:rsid w:val="21EF5B80"/>
    <w:rsid w:val="22242FAC"/>
    <w:rsid w:val="22576990"/>
    <w:rsid w:val="22916662"/>
    <w:rsid w:val="22F47480"/>
    <w:rsid w:val="23B02B18"/>
    <w:rsid w:val="23DC7DD8"/>
    <w:rsid w:val="23DE1C48"/>
    <w:rsid w:val="240210CD"/>
    <w:rsid w:val="246B0345"/>
    <w:rsid w:val="24BF09F7"/>
    <w:rsid w:val="252D53FE"/>
    <w:rsid w:val="25C64874"/>
    <w:rsid w:val="25DE13C8"/>
    <w:rsid w:val="25EC2D81"/>
    <w:rsid w:val="26FC6074"/>
    <w:rsid w:val="277057A2"/>
    <w:rsid w:val="29206EB8"/>
    <w:rsid w:val="29445D2B"/>
    <w:rsid w:val="29595666"/>
    <w:rsid w:val="29824F56"/>
    <w:rsid w:val="29874881"/>
    <w:rsid w:val="298C0AEB"/>
    <w:rsid w:val="29E325E0"/>
    <w:rsid w:val="2A3A0527"/>
    <w:rsid w:val="2A452503"/>
    <w:rsid w:val="2B163BA8"/>
    <w:rsid w:val="2BA936A8"/>
    <w:rsid w:val="2BEA550D"/>
    <w:rsid w:val="2C315A5A"/>
    <w:rsid w:val="2C4B1C25"/>
    <w:rsid w:val="2D0E1140"/>
    <w:rsid w:val="2D331BCB"/>
    <w:rsid w:val="2D56396E"/>
    <w:rsid w:val="2D9E56F5"/>
    <w:rsid w:val="2E050F34"/>
    <w:rsid w:val="2E07434F"/>
    <w:rsid w:val="2E667F96"/>
    <w:rsid w:val="2E8226AB"/>
    <w:rsid w:val="2E9F2F97"/>
    <w:rsid w:val="2EA92857"/>
    <w:rsid w:val="2F0B32F8"/>
    <w:rsid w:val="2FD065E6"/>
    <w:rsid w:val="2FD96870"/>
    <w:rsid w:val="30240B15"/>
    <w:rsid w:val="30580BC9"/>
    <w:rsid w:val="307109F7"/>
    <w:rsid w:val="30877CD3"/>
    <w:rsid w:val="309F44FF"/>
    <w:rsid w:val="30DE0729"/>
    <w:rsid w:val="311E2ED7"/>
    <w:rsid w:val="31322DBE"/>
    <w:rsid w:val="315619EE"/>
    <w:rsid w:val="315C449C"/>
    <w:rsid w:val="31B82709"/>
    <w:rsid w:val="31D05482"/>
    <w:rsid w:val="31D12FBB"/>
    <w:rsid w:val="32045768"/>
    <w:rsid w:val="321921D0"/>
    <w:rsid w:val="32227C90"/>
    <w:rsid w:val="32400B34"/>
    <w:rsid w:val="327644AD"/>
    <w:rsid w:val="328B4E7C"/>
    <w:rsid w:val="329E6876"/>
    <w:rsid w:val="32B06690"/>
    <w:rsid w:val="32C07FB8"/>
    <w:rsid w:val="331247EE"/>
    <w:rsid w:val="333015F2"/>
    <w:rsid w:val="334B6320"/>
    <w:rsid w:val="33837901"/>
    <w:rsid w:val="33D04B10"/>
    <w:rsid w:val="33D934D4"/>
    <w:rsid w:val="33F702EF"/>
    <w:rsid w:val="33FE2F6A"/>
    <w:rsid w:val="340E07E5"/>
    <w:rsid w:val="34235BF7"/>
    <w:rsid w:val="344057F2"/>
    <w:rsid w:val="347C6573"/>
    <w:rsid w:val="34CC6FB6"/>
    <w:rsid w:val="34E97C37"/>
    <w:rsid w:val="34EF0750"/>
    <w:rsid w:val="353D15FF"/>
    <w:rsid w:val="35775243"/>
    <w:rsid w:val="358C5FA8"/>
    <w:rsid w:val="35C15DF1"/>
    <w:rsid w:val="35DA1C76"/>
    <w:rsid w:val="36074A7F"/>
    <w:rsid w:val="36700C56"/>
    <w:rsid w:val="367E60DF"/>
    <w:rsid w:val="36923549"/>
    <w:rsid w:val="369B33E0"/>
    <w:rsid w:val="36B75FBF"/>
    <w:rsid w:val="36BD0C45"/>
    <w:rsid w:val="36CC5A63"/>
    <w:rsid w:val="374750E9"/>
    <w:rsid w:val="37D0642B"/>
    <w:rsid w:val="37E00298"/>
    <w:rsid w:val="38204CD5"/>
    <w:rsid w:val="38651CCB"/>
    <w:rsid w:val="389B749B"/>
    <w:rsid w:val="38B302F9"/>
    <w:rsid w:val="38E6379C"/>
    <w:rsid w:val="38F12CD3"/>
    <w:rsid w:val="38F94775"/>
    <w:rsid w:val="392971ED"/>
    <w:rsid w:val="39325651"/>
    <w:rsid w:val="393B2A2C"/>
    <w:rsid w:val="393B578F"/>
    <w:rsid w:val="396B1563"/>
    <w:rsid w:val="39E10598"/>
    <w:rsid w:val="3A3B7187"/>
    <w:rsid w:val="3A5959B7"/>
    <w:rsid w:val="3A7A23A9"/>
    <w:rsid w:val="3A872856"/>
    <w:rsid w:val="3B3763D1"/>
    <w:rsid w:val="3B614F44"/>
    <w:rsid w:val="3BC92571"/>
    <w:rsid w:val="3BDF76C3"/>
    <w:rsid w:val="3C2F6E1E"/>
    <w:rsid w:val="3C4F64BA"/>
    <w:rsid w:val="3CB14A6D"/>
    <w:rsid w:val="3CC1149A"/>
    <w:rsid w:val="3CCD0302"/>
    <w:rsid w:val="3CDA245A"/>
    <w:rsid w:val="3D1E06B7"/>
    <w:rsid w:val="3D6E1622"/>
    <w:rsid w:val="3D801355"/>
    <w:rsid w:val="3E9F7D15"/>
    <w:rsid w:val="3EDA0523"/>
    <w:rsid w:val="3F1B5383"/>
    <w:rsid w:val="3F8A64BB"/>
    <w:rsid w:val="407A6407"/>
    <w:rsid w:val="40D529D3"/>
    <w:rsid w:val="41391F47"/>
    <w:rsid w:val="41807B75"/>
    <w:rsid w:val="41C93330"/>
    <w:rsid w:val="41D57EC1"/>
    <w:rsid w:val="4200449D"/>
    <w:rsid w:val="423A3BCC"/>
    <w:rsid w:val="424E57D2"/>
    <w:rsid w:val="429E20CC"/>
    <w:rsid w:val="42B26C49"/>
    <w:rsid w:val="43086074"/>
    <w:rsid w:val="43315D2E"/>
    <w:rsid w:val="433A6FE6"/>
    <w:rsid w:val="43480868"/>
    <w:rsid w:val="4350713C"/>
    <w:rsid w:val="436653E0"/>
    <w:rsid w:val="43C4431A"/>
    <w:rsid w:val="44B951CC"/>
    <w:rsid w:val="44CD14E0"/>
    <w:rsid w:val="44F20B0B"/>
    <w:rsid w:val="452E5F4C"/>
    <w:rsid w:val="45612018"/>
    <w:rsid w:val="457667CA"/>
    <w:rsid w:val="458946E9"/>
    <w:rsid w:val="45A47C0E"/>
    <w:rsid w:val="45C94763"/>
    <w:rsid w:val="45F35B6A"/>
    <w:rsid w:val="463B22BD"/>
    <w:rsid w:val="46577FD6"/>
    <w:rsid w:val="46A1688C"/>
    <w:rsid w:val="46BE763A"/>
    <w:rsid w:val="46D955A7"/>
    <w:rsid w:val="47133957"/>
    <w:rsid w:val="47662C5C"/>
    <w:rsid w:val="47A07E0C"/>
    <w:rsid w:val="4870272E"/>
    <w:rsid w:val="48C31442"/>
    <w:rsid w:val="492545D7"/>
    <w:rsid w:val="493F7DD1"/>
    <w:rsid w:val="49402B84"/>
    <w:rsid w:val="49D8310C"/>
    <w:rsid w:val="49DC7715"/>
    <w:rsid w:val="4A023139"/>
    <w:rsid w:val="4A4A6F73"/>
    <w:rsid w:val="4A7B576F"/>
    <w:rsid w:val="4A987CDE"/>
    <w:rsid w:val="4AE22D3E"/>
    <w:rsid w:val="4AF561A9"/>
    <w:rsid w:val="4B3C2D5F"/>
    <w:rsid w:val="4C4A0649"/>
    <w:rsid w:val="4C7E5ECA"/>
    <w:rsid w:val="4C876AA5"/>
    <w:rsid w:val="4C97704E"/>
    <w:rsid w:val="4CD51490"/>
    <w:rsid w:val="4D0E00FB"/>
    <w:rsid w:val="4D1473C4"/>
    <w:rsid w:val="4D176606"/>
    <w:rsid w:val="4D682209"/>
    <w:rsid w:val="4D726A6E"/>
    <w:rsid w:val="4DD77C55"/>
    <w:rsid w:val="4DEC4FB0"/>
    <w:rsid w:val="4E075D8A"/>
    <w:rsid w:val="4E0C7864"/>
    <w:rsid w:val="4E6B74B7"/>
    <w:rsid w:val="4EC00FAD"/>
    <w:rsid w:val="4F9843DC"/>
    <w:rsid w:val="4FC62A8C"/>
    <w:rsid w:val="4FC9093A"/>
    <w:rsid w:val="4FCE7CFE"/>
    <w:rsid w:val="4FE20F0D"/>
    <w:rsid w:val="4FE237A9"/>
    <w:rsid w:val="4FE51552"/>
    <w:rsid w:val="502E7DE9"/>
    <w:rsid w:val="50504C4B"/>
    <w:rsid w:val="509C6E7C"/>
    <w:rsid w:val="50B75092"/>
    <w:rsid w:val="50C730CB"/>
    <w:rsid w:val="51174D0F"/>
    <w:rsid w:val="514C1822"/>
    <w:rsid w:val="5162104E"/>
    <w:rsid w:val="526607F5"/>
    <w:rsid w:val="52C715DE"/>
    <w:rsid w:val="53A039CC"/>
    <w:rsid w:val="53A1505A"/>
    <w:rsid w:val="54063E08"/>
    <w:rsid w:val="54161C73"/>
    <w:rsid w:val="543437E8"/>
    <w:rsid w:val="54CA0FB5"/>
    <w:rsid w:val="54F73313"/>
    <w:rsid w:val="54F80955"/>
    <w:rsid w:val="5523289A"/>
    <w:rsid w:val="555170A7"/>
    <w:rsid w:val="5587536D"/>
    <w:rsid w:val="559B174B"/>
    <w:rsid w:val="55CE0CF4"/>
    <w:rsid w:val="560C0B22"/>
    <w:rsid w:val="56644F18"/>
    <w:rsid w:val="56B22A9C"/>
    <w:rsid w:val="56DF0A43"/>
    <w:rsid w:val="57B72A76"/>
    <w:rsid w:val="57C3426C"/>
    <w:rsid w:val="57CE1F93"/>
    <w:rsid w:val="57F34EAD"/>
    <w:rsid w:val="583F3E8F"/>
    <w:rsid w:val="588743D1"/>
    <w:rsid w:val="5887701A"/>
    <w:rsid w:val="5925316F"/>
    <w:rsid w:val="599F37FD"/>
    <w:rsid w:val="59A12058"/>
    <w:rsid w:val="59C0439F"/>
    <w:rsid w:val="5A4E2167"/>
    <w:rsid w:val="5ABE2233"/>
    <w:rsid w:val="5B0B6E54"/>
    <w:rsid w:val="5B1A473F"/>
    <w:rsid w:val="5B4041A6"/>
    <w:rsid w:val="5BA256EF"/>
    <w:rsid w:val="5BA65130"/>
    <w:rsid w:val="5BDE39BF"/>
    <w:rsid w:val="5BDF5D95"/>
    <w:rsid w:val="5BE34B31"/>
    <w:rsid w:val="5BFE7528"/>
    <w:rsid w:val="5C003935"/>
    <w:rsid w:val="5C0476A0"/>
    <w:rsid w:val="5C1E5D13"/>
    <w:rsid w:val="5C2E2250"/>
    <w:rsid w:val="5D4D2BAA"/>
    <w:rsid w:val="5DFA616D"/>
    <w:rsid w:val="5E065D78"/>
    <w:rsid w:val="5E2467F1"/>
    <w:rsid w:val="5ECA1FD8"/>
    <w:rsid w:val="5F12562E"/>
    <w:rsid w:val="5F1A2B43"/>
    <w:rsid w:val="5F9525E6"/>
    <w:rsid w:val="5FB837BB"/>
    <w:rsid w:val="5FD41360"/>
    <w:rsid w:val="602776E2"/>
    <w:rsid w:val="60CC405A"/>
    <w:rsid w:val="60CC64DC"/>
    <w:rsid w:val="61B425F9"/>
    <w:rsid w:val="61E215D8"/>
    <w:rsid w:val="621B3775"/>
    <w:rsid w:val="62364782"/>
    <w:rsid w:val="62913539"/>
    <w:rsid w:val="635228F6"/>
    <w:rsid w:val="63862972"/>
    <w:rsid w:val="6394356A"/>
    <w:rsid w:val="63A92582"/>
    <w:rsid w:val="63C61B2C"/>
    <w:rsid w:val="63D40BE9"/>
    <w:rsid w:val="64102431"/>
    <w:rsid w:val="6429154F"/>
    <w:rsid w:val="64515EF2"/>
    <w:rsid w:val="64A5243A"/>
    <w:rsid w:val="64AD2180"/>
    <w:rsid w:val="64B71C9E"/>
    <w:rsid w:val="64F531DE"/>
    <w:rsid w:val="65373578"/>
    <w:rsid w:val="6583357E"/>
    <w:rsid w:val="65CB447C"/>
    <w:rsid w:val="66AA2E1B"/>
    <w:rsid w:val="66B91896"/>
    <w:rsid w:val="66DC0AFB"/>
    <w:rsid w:val="671F124A"/>
    <w:rsid w:val="677A33C6"/>
    <w:rsid w:val="67A71109"/>
    <w:rsid w:val="67CE2B39"/>
    <w:rsid w:val="67CE48E7"/>
    <w:rsid w:val="67F65BEC"/>
    <w:rsid w:val="681F6961"/>
    <w:rsid w:val="68610A2F"/>
    <w:rsid w:val="687548AE"/>
    <w:rsid w:val="68805514"/>
    <w:rsid w:val="69112C50"/>
    <w:rsid w:val="69316E2F"/>
    <w:rsid w:val="69357600"/>
    <w:rsid w:val="694A1263"/>
    <w:rsid w:val="694E2071"/>
    <w:rsid w:val="69766163"/>
    <w:rsid w:val="697A3B33"/>
    <w:rsid w:val="69A7357A"/>
    <w:rsid w:val="69D44760"/>
    <w:rsid w:val="6A520EC7"/>
    <w:rsid w:val="6A743C7E"/>
    <w:rsid w:val="6AB77892"/>
    <w:rsid w:val="6AD40467"/>
    <w:rsid w:val="6AED54CF"/>
    <w:rsid w:val="6AF87E20"/>
    <w:rsid w:val="6AFE3735"/>
    <w:rsid w:val="6B322639"/>
    <w:rsid w:val="6B403D4E"/>
    <w:rsid w:val="6B6C5FD1"/>
    <w:rsid w:val="6B8A321B"/>
    <w:rsid w:val="6B90798B"/>
    <w:rsid w:val="6B9419A4"/>
    <w:rsid w:val="6BA95681"/>
    <w:rsid w:val="6BC6418E"/>
    <w:rsid w:val="6BDF5315"/>
    <w:rsid w:val="6C00528B"/>
    <w:rsid w:val="6C0B610A"/>
    <w:rsid w:val="6C2E1DF8"/>
    <w:rsid w:val="6C636C38"/>
    <w:rsid w:val="6C7D1D1F"/>
    <w:rsid w:val="6CAD5473"/>
    <w:rsid w:val="6D176091"/>
    <w:rsid w:val="6DB34098"/>
    <w:rsid w:val="6DB545B6"/>
    <w:rsid w:val="6DE02FB4"/>
    <w:rsid w:val="6DE06535"/>
    <w:rsid w:val="6E514CED"/>
    <w:rsid w:val="6EB563D5"/>
    <w:rsid w:val="6ED92677"/>
    <w:rsid w:val="6F225983"/>
    <w:rsid w:val="6F310344"/>
    <w:rsid w:val="6F540B15"/>
    <w:rsid w:val="6FFC5590"/>
    <w:rsid w:val="706D1DD0"/>
    <w:rsid w:val="70856B87"/>
    <w:rsid w:val="70A42689"/>
    <w:rsid w:val="70D527EE"/>
    <w:rsid w:val="71453E6C"/>
    <w:rsid w:val="715B5300"/>
    <w:rsid w:val="719942C8"/>
    <w:rsid w:val="71D27F8A"/>
    <w:rsid w:val="71FF0F1B"/>
    <w:rsid w:val="721842CB"/>
    <w:rsid w:val="72553024"/>
    <w:rsid w:val="72A94B3C"/>
    <w:rsid w:val="730218E9"/>
    <w:rsid w:val="73122968"/>
    <w:rsid w:val="731E2BC7"/>
    <w:rsid w:val="731F5D5E"/>
    <w:rsid w:val="736E3270"/>
    <w:rsid w:val="7372332E"/>
    <w:rsid w:val="73C51AD5"/>
    <w:rsid w:val="73D43285"/>
    <w:rsid w:val="741E793C"/>
    <w:rsid w:val="745E3944"/>
    <w:rsid w:val="747405C4"/>
    <w:rsid w:val="74E4399C"/>
    <w:rsid w:val="74EB75B6"/>
    <w:rsid w:val="75CA04F1"/>
    <w:rsid w:val="7635099D"/>
    <w:rsid w:val="764D5571"/>
    <w:rsid w:val="76D41F8E"/>
    <w:rsid w:val="770025E3"/>
    <w:rsid w:val="77762421"/>
    <w:rsid w:val="77AD68E8"/>
    <w:rsid w:val="77B56B1F"/>
    <w:rsid w:val="77D53E99"/>
    <w:rsid w:val="780F09F4"/>
    <w:rsid w:val="78A90480"/>
    <w:rsid w:val="79166B2C"/>
    <w:rsid w:val="79AB4A88"/>
    <w:rsid w:val="7A364017"/>
    <w:rsid w:val="7A8265E1"/>
    <w:rsid w:val="7ACB4CB6"/>
    <w:rsid w:val="7B3B48CD"/>
    <w:rsid w:val="7B686D42"/>
    <w:rsid w:val="7B841746"/>
    <w:rsid w:val="7B9D2AF7"/>
    <w:rsid w:val="7C286864"/>
    <w:rsid w:val="7C6C5AC7"/>
    <w:rsid w:val="7CC6544B"/>
    <w:rsid w:val="7D0239FF"/>
    <w:rsid w:val="7D511DEB"/>
    <w:rsid w:val="7D5E40CD"/>
    <w:rsid w:val="7DCD56F2"/>
    <w:rsid w:val="7E7044F2"/>
    <w:rsid w:val="7F001CE7"/>
    <w:rsid w:val="7F41310A"/>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5,6,7,8,9,10,11,12,13,14,15,16,17,18,19,20,21,22,23,24,25,26,27,28,29,30,31,32,33,34,35,36,37,38,39,40,41,42,43,44,45,46,47,48,49,50,51,52,53,54,55,56,57,58,59,60,61,62,63,64,65,66,67,68,69,70,71,72,73,74,75,76,77,78,79,80,81,82,83,84,85,86,87,88,89,90,91,92,93,94,95,96,97,98,99,100,101,102,103,104,105,106,107,108,109,110,111,112,113,114,115,116,117,118,119,120,121"/>
      <o:rules v:ext="edit">
        <o:r id="V:Rule1" type="connector" idref="#_x0000_s2113"/>
        <o:r id="V:Rule2" type="connector" idref="#_x0000_s2116"/>
        <o:r id="V:Rule3" type="connector" idref="#_x0000_s2129"/>
        <o:r id="V:Rule4" type="connector" idref="#_x0000_s2130"/>
        <o:r id="V:Rule5" type="connector" idref="#_x0000_s2131"/>
        <o:r id="V:Rule6" type="connector" idref="#_x0000_s2133"/>
        <o:r id="V:Rule7" type="connector" idref="#_x0000_s2134"/>
        <o:r id="V:Rule8" type="connector" idref="#_x0000_s2135"/>
        <o:r id="V:Rule9" type="connector" idref="#_x0000_s2138"/>
        <o:r id="V:Rule10" type="connector" idref="#_x0000_s2141"/>
        <o:r id="V:Rule11" type="connector" idref="#_x0000_s2142"/>
        <o:r id="V:Rule12" type="connector" idref="#_x0000_s2145"/>
        <o:r id="V:Rule13" type="connector" idref="#_x0000_s2148"/>
        <o:r id="V:Rule14" type="connector" idref="#_x0000_s2149"/>
        <o:r id="V:Rule15" type="connector" idref="#_x0000_s2150"/>
        <o:r id="V:Rule16" type="connector" idref="#_x0000_s2152"/>
        <o:r id="V:Rule17" type="connector" idref="#_x0000_s2153"/>
        <o:r id="V:Rule18" type="connector" idref="#_x0000_s2155"/>
        <o:r id="V:Rule19" type="connector" idref="#_x0000_s2156"/>
        <o:r id="V:Rule20" type="connector" idref="#_x0000_s2157"/>
        <o:r id="V:Rule21" type="connector" idref="#_x0000_s2158"/>
        <o:r id="V:Rule22" type="connector" idref="#_x0000_s2161"/>
        <o:r id="V:Rule23" type="connector" idref="#_x0000_s124235"/>
        <o:r id="V:Rule24" type="connector" idref="#_x0000_s124240"/>
        <o:r id="V:Rule25" type="connector" idref="#_x0000_s124241"/>
        <o:r id="V:Rule26" type="connector" idref="#_x0000_s124243"/>
        <o:r id="V:Rule27" type="connector" idref="#_x0000_s124246"/>
        <o:r id="V:Rule28" type="connector" idref="#_x0000_s124247"/>
        <o:r id="V:Rule29" type="connector" idref="#_x0000_s124250"/>
        <o:r id="V:Rule30" type="connector" idref="#_x0000_s124251"/>
        <o:r id="V:Rule31" type="connector" idref="#_x0000_s124253"/>
        <o:r id="V:Rule32" type="connector" idref="#_x0000_s124256"/>
        <o:r id="V:Rule33" type="connector" idref="#_x0000_s124258"/>
        <o:r id="V:Rule34" type="connector" idref="#_x0000_s124261"/>
        <o:r id="V:Rule35" type="connector" idref="#_x0000_s124263"/>
        <o:r id="V:Rule36" type="connector" idref="#_x0000_s124273"/>
        <o:r id="V:Rule37" type="connector" idref="#_x0000_s124275"/>
        <o:r id="V:Rule38" type="connector" idref="#_x0000_s124276"/>
        <o:r id="V:Rule39" type="connector" idref="#_x0000_s124278"/>
        <o:r id="V:Rule40" type="connector" idref="#_x0000_s124336"/>
        <o:r id="V:Rule41" type="connector" idref="#_x0000_s124341"/>
        <o:r id="V:Rule42" type="connector" idref="#_x0000_s124342"/>
        <o:r id="V:Rule43" type="connector" idref="#_x0000_s124344"/>
        <o:r id="V:Rule44" type="connector" idref="#_x0000_s124347"/>
        <o:r id="V:Rule45" type="connector" idref="#_x0000_s124348"/>
        <o:r id="V:Rule46" type="connector" idref="#_x0000_s124351"/>
        <o:r id="V:Rule47" type="connector" idref="#_x0000_s124353"/>
        <o:r id="V:Rule48" type="connector" idref="#_x0000_s124354"/>
        <o:r id="V:Rule49" type="connector" idref="#_x0000_s124356"/>
        <o:r id="V:Rule50" type="connector" idref="#_x0000_s124359"/>
        <o:r id="V:Rule51" type="connector" idref="#_x0000_s124361"/>
        <o:r id="V:Rule52" type="connector" idref="#_x0000_s124363"/>
        <o:r id="V:Rule53" type="connector" idref="#_x0000_s124367"/>
        <o:r id="V:Rule54" type="connector" idref="#_x0000_s124368"/>
        <o:r id="V:Rule55" type="connector" idref="#_x0000_s124370"/>
        <o:r id="V:Rule56" type="connector" idref="#_x0000_s124371"/>
        <o:r id="V:Rule57" type="connector" idref="#_x0000_s124372"/>
        <o:r id="V:Rule58" type="connector" idref="#_x0000_s124373"/>
        <o:r id="V:Rule59" type="connector" idref="#_x0000_s124374"/>
        <o:r id="V:Rule60" type="connector" idref="#_x0000_s124376"/>
        <o:r id="V:Rule61" type="connector" idref="#_x0000_s124378"/>
        <o:r id="V:Rule62" type="connector" idref="#_x0000_s124380"/>
        <o:r id="V:Rule63" type="connector" idref="#_x0000_s124381"/>
        <o:r id="V:Rule64" type="connector" idref="#_x0000_s124383"/>
        <o:r id="V:Rule65" type="connector" idref="#_x0000_s124384"/>
        <o:r id="V:Rule66" type="connector" idref="#_x0000_s124386"/>
      </o:rules>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39"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semiHidden="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unhideWhenUsed="0" w:uiPriority="0" w:semiHidden="0" w:name="Body Text First Indent" w:locked="1"/>
    <w:lsdException w:qFormat="1" w:unhideWhenUsed="0" w:uiPriority="0" w:semiHidden="0" w:name="Body Text First Indent 2" w:locked="1"/>
    <w:lsdException w:unhideWhenUsed="0" w:uiPriority="0" w:semiHidden="0" w:name="Note Heading" w:locked="1"/>
    <w:lsdException w:qFormat="1" w:unhideWhenUsed="0" w:uiPriority="0" w:semiHidden="0" w:name="Body Text 2" w:locked="1"/>
    <w:lsdException w:unhideWhenUsed="0" w:uiPriority="0" w:semiHidden="0" w:name="Body Text 3" w:locked="1"/>
    <w:lsdException w:qFormat="1" w:unhideWhenUsed="0" w:uiPriority="0" w:semiHidden="0" w:name="Body Text Indent 2" w:locked="1"/>
    <w:lsdException w:qFormat="1" w:unhideWhenUsed="0" w:uiPriority="0" w:semiHidden="0" w:name="Body Text Indent 3" w:locked="1"/>
    <w:lsdException w:qFormat="1" w:unhideWhenUsed="0" w:uiPriority="0" w:semiHidden="0" w:name="Block Text" w:locked="1"/>
    <w:lsdException w:qFormat="1" w:uiPriority="99"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99"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semiHidden="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semiHidden="0" w:name="Balloon Text"/>
    <w:lsdException w:qFormat="1" w:unhideWhenUsed="0" w:uiPriority="0" w:semiHidden="0" w:name="Table Grid"/>
    <w:lsdException w:unhideWhenUsed="0" w:uiPriority="0" w:semiHidden="0" w:name="Table Theme" w:locked="1"/>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4">
    <w:name w:val="heading 2"/>
    <w:basedOn w:val="1"/>
    <w:next w:val="1"/>
    <w:link w:val="53"/>
    <w:unhideWhenUsed/>
    <w:qFormat/>
    <w:locked/>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23">
    <w:name w:val="Default Paragraph Font"/>
    <w:semiHidden/>
    <w:unhideWhenUsed/>
    <w:qFormat/>
    <w:uiPriority w:val="1"/>
  </w:style>
  <w:style w:type="table" w:default="1" w:styleId="21">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cs="Times New Roman"/>
      <w:kern w:val="2"/>
      <w:sz w:val="21"/>
      <w:szCs w:val="22"/>
    </w:rPr>
    <w:tblPr>
      <w:tblCellMar>
        <w:top w:w="0" w:type="dxa"/>
        <w:left w:w="108" w:type="dxa"/>
        <w:bottom w:w="0" w:type="dxa"/>
        <w:right w:w="108" w:type="dxa"/>
      </w:tblCellMar>
    </w:tblPr>
  </w:style>
  <w:style w:type="paragraph" w:styleId="2">
    <w:name w:val="Block Text"/>
    <w:basedOn w:val="1"/>
    <w:qFormat/>
    <w:locked/>
    <w:uiPriority w:val="0"/>
    <w:pPr>
      <w:spacing w:after="120"/>
      <w:ind w:left="1440" w:leftChars="700" w:right="1440" w:rightChars="700"/>
    </w:pPr>
    <w:rPr>
      <w:rFonts w:ascii="Calibri" w:hAnsi="Calibri"/>
      <w:szCs w:val="20"/>
    </w:rPr>
  </w:style>
  <w:style w:type="paragraph" w:styleId="5">
    <w:name w:val="Normal Indent"/>
    <w:basedOn w:val="1"/>
    <w:link w:val="51"/>
    <w:qFormat/>
    <w:locked/>
    <w:uiPriority w:val="0"/>
    <w:pPr>
      <w:ind w:firstLine="420"/>
    </w:pPr>
    <w:rPr>
      <w:rFonts w:ascii="Calibri" w:hAnsi="Calibri"/>
      <w:szCs w:val="20"/>
    </w:rPr>
  </w:style>
  <w:style w:type="paragraph" w:styleId="6">
    <w:name w:val="annotation text"/>
    <w:basedOn w:val="1"/>
    <w:link w:val="34"/>
    <w:qFormat/>
    <w:uiPriority w:val="0"/>
    <w:pPr>
      <w:jc w:val="left"/>
    </w:pPr>
    <w:rPr>
      <w:kern w:val="0"/>
      <w:sz w:val="24"/>
      <w:szCs w:val="20"/>
    </w:rPr>
  </w:style>
  <w:style w:type="paragraph" w:styleId="7">
    <w:name w:val="Body Text"/>
    <w:basedOn w:val="1"/>
    <w:link w:val="33"/>
    <w:qFormat/>
    <w:uiPriority w:val="0"/>
    <w:pPr>
      <w:widowControl/>
      <w:snapToGrid w:val="0"/>
      <w:spacing w:before="60" w:after="160" w:line="259" w:lineRule="auto"/>
      <w:ind w:right="113"/>
    </w:pPr>
    <w:rPr>
      <w:kern w:val="0"/>
      <w:sz w:val="18"/>
      <w:szCs w:val="20"/>
    </w:rPr>
  </w:style>
  <w:style w:type="paragraph" w:styleId="8">
    <w:name w:val="Body Text Indent"/>
    <w:basedOn w:val="1"/>
    <w:link w:val="42"/>
    <w:qFormat/>
    <w:uiPriority w:val="0"/>
    <w:pPr>
      <w:spacing w:after="120"/>
      <w:ind w:left="420" w:leftChars="200"/>
    </w:pPr>
    <w:rPr>
      <w:kern w:val="0"/>
      <w:sz w:val="24"/>
      <w:szCs w:val="20"/>
    </w:rPr>
  </w:style>
  <w:style w:type="paragraph" w:styleId="9">
    <w:name w:val="Plain Text"/>
    <w:basedOn w:val="1"/>
    <w:next w:val="10"/>
    <w:link w:val="54"/>
    <w:qFormat/>
    <w:locked/>
    <w:uiPriority w:val="0"/>
    <w:rPr>
      <w:rFonts w:ascii="宋体" w:hAnsi="Courier New"/>
      <w:szCs w:val="20"/>
    </w:rPr>
  </w:style>
  <w:style w:type="paragraph" w:styleId="10">
    <w:name w:val="toc 1"/>
    <w:basedOn w:val="1"/>
    <w:next w:val="1"/>
    <w:qFormat/>
    <w:locked/>
    <w:uiPriority w:val="39"/>
    <w:pPr>
      <w:spacing w:before="120" w:after="120"/>
      <w:jc w:val="left"/>
    </w:pPr>
    <w:rPr>
      <w:rFonts w:ascii="Calibri" w:hAnsi="Calibri"/>
      <w:b/>
      <w:bCs/>
      <w:caps/>
      <w:sz w:val="20"/>
      <w:szCs w:val="20"/>
    </w:rPr>
  </w:style>
  <w:style w:type="paragraph" w:styleId="11">
    <w:name w:val="Date"/>
    <w:basedOn w:val="1"/>
    <w:next w:val="1"/>
    <w:link w:val="29"/>
    <w:qFormat/>
    <w:uiPriority w:val="0"/>
    <w:pPr>
      <w:ind w:left="100" w:leftChars="2500"/>
    </w:pPr>
    <w:rPr>
      <w:kern w:val="0"/>
      <w:sz w:val="24"/>
      <w:szCs w:val="20"/>
    </w:rPr>
  </w:style>
  <w:style w:type="paragraph" w:styleId="12">
    <w:name w:val="Body Text Indent 2"/>
    <w:basedOn w:val="1"/>
    <w:link w:val="55"/>
    <w:qFormat/>
    <w:locked/>
    <w:uiPriority w:val="0"/>
    <w:pPr>
      <w:spacing w:line="500" w:lineRule="exact"/>
      <w:ind w:firstLine="480" w:firstLineChars="200"/>
    </w:pPr>
    <w:rPr>
      <w:rFonts w:ascii="宋体" w:hAnsi="Calibri"/>
      <w:bCs/>
      <w:sz w:val="24"/>
      <w:szCs w:val="20"/>
    </w:rPr>
  </w:style>
  <w:style w:type="paragraph" w:styleId="13">
    <w:name w:val="Balloon Text"/>
    <w:basedOn w:val="1"/>
    <w:link w:val="38"/>
    <w:qFormat/>
    <w:uiPriority w:val="0"/>
    <w:rPr>
      <w:kern w:val="0"/>
      <w:sz w:val="18"/>
      <w:szCs w:val="20"/>
    </w:rPr>
  </w:style>
  <w:style w:type="paragraph" w:styleId="14">
    <w:name w:val="footer"/>
    <w:basedOn w:val="1"/>
    <w:link w:val="28"/>
    <w:qFormat/>
    <w:uiPriority w:val="99"/>
    <w:pPr>
      <w:tabs>
        <w:tab w:val="center" w:pos="4153"/>
        <w:tab w:val="right" w:pos="8306"/>
      </w:tabs>
      <w:snapToGrid w:val="0"/>
      <w:jc w:val="left"/>
    </w:pPr>
    <w:rPr>
      <w:kern w:val="0"/>
      <w:sz w:val="18"/>
      <w:szCs w:val="20"/>
    </w:rPr>
  </w:style>
  <w:style w:type="paragraph" w:styleId="15">
    <w:name w:val="header"/>
    <w:basedOn w:val="1"/>
    <w:link w:val="40"/>
    <w:qFormat/>
    <w:uiPriority w:val="0"/>
    <w:pPr>
      <w:tabs>
        <w:tab w:val="center" w:pos="4153"/>
        <w:tab w:val="right" w:pos="8306"/>
      </w:tabs>
      <w:snapToGrid w:val="0"/>
      <w:jc w:val="center"/>
    </w:pPr>
    <w:rPr>
      <w:kern w:val="0"/>
      <w:sz w:val="18"/>
      <w:szCs w:val="20"/>
    </w:rPr>
  </w:style>
  <w:style w:type="paragraph" w:styleId="16">
    <w:name w:val="Body Text Indent 3"/>
    <w:basedOn w:val="1"/>
    <w:link w:val="56"/>
    <w:qFormat/>
    <w:locked/>
    <w:uiPriority w:val="0"/>
    <w:pPr>
      <w:spacing w:line="360" w:lineRule="auto"/>
      <w:ind w:firstLine="471" w:firstLineChars="200"/>
    </w:pPr>
    <w:rPr>
      <w:rFonts w:ascii="宋体" w:hAnsi="宋体"/>
      <w:sz w:val="24"/>
      <w:szCs w:val="20"/>
    </w:rPr>
  </w:style>
  <w:style w:type="paragraph" w:styleId="17">
    <w:name w:val="Body Text 2"/>
    <w:basedOn w:val="1"/>
    <w:link w:val="46"/>
    <w:qFormat/>
    <w:locked/>
    <w:uiPriority w:val="0"/>
    <w:pPr>
      <w:spacing w:after="120" w:line="480" w:lineRule="auto"/>
    </w:pPr>
  </w:style>
  <w:style w:type="paragraph" w:styleId="18">
    <w:name w:val="Normal (Web)"/>
    <w:basedOn w:val="1"/>
    <w:link w:val="31"/>
    <w:qFormat/>
    <w:uiPriority w:val="99"/>
    <w:pPr>
      <w:widowControl/>
      <w:spacing w:before="100" w:beforeAutospacing="1" w:after="100" w:afterAutospacing="1"/>
      <w:jc w:val="left"/>
    </w:pPr>
    <w:rPr>
      <w:rFonts w:ascii="宋体" w:hAnsi="宋体"/>
      <w:kern w:val="0"/>
      <w:sz w:val="24"/>
      <w:szCs w:val="20"/>
    </w:rPr>
  </w:style>
  <w:style w:type="paragraph" w:styleId="19">
    <w:name w:val="annotation subject"/>
    <w:basedOn w:val="6"/>
    <w:next w:val="6"/>
    <w:link w:val="39"/>
    <w:qFormat/>
    <w:uiPriority w:val="0"/>
    <w:rPr>
      <w:b/>
    </w:rPr>
  </w:style>
  <w:style w:type="paragraph" w:styleId="20">
    <w:name w:val="Body Text First Indent 2"/>
    <w:basedOn w:val="8"/>
    <w:link w:val="57"/>
    <w:qFormat/>
    <w:locked/>
    <w:uiPriority w:val="0"/>
    <w:pPr>
      <w:ind w:firstLine="420" w:firstLineChars="200"/>
    </w:pPr>
    <w:rPr>
      <w:rFonts w:ascii="Calibri" w:hAnsi="Calibri" w:eastAsia="楷体_GB2312"/>
      <w:color w:val="000000"/>
      <w:kern w:val="2"/>
      <w:sz w:val="21"/>
    </w:rPr>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page number"/>
    <w:basedOn w:val="23"/>
    <w:qFormat/>
    <w:locked/>
    <w:uiPriority w:val="0"/>
  </w:style>
  <w:style w:type="character" w:styleId="25">
    <w:name w:val="Hyperlink"/>
    <w:basedOn w:val="23"/>
    <w:unhideWhenUsed/>
    <w:qFormat/>
    <w:locked/>
    <w:uiPriority w:val="99"/>
    <w:rPr>
      <w:color w:val="0000FF"/>
      <w:u w:val="single"/>
    </w:rPr>
  </w:style>
  <w:style w:type="character" w:styleId="26">
    <w:name w:val="annotation reference"/>
    <w:qFormat/>
    <w:uiPriority w:val="0"/>
    <w:rPr>
      <w:sz w:val="21"/>
    </w:rPr>
  </w:style>
  <w:style w:type="paragraph" w:customStyle="1" w:styleId="27">
    <w:name w:val="BlockQuote"/>
    <w:basedOn w:val="1"/>
    <w:qFormat/>
    <w:uiPriority w:val="0"/>
    <w:pPr>
      <w:widowControl/>
      <w:spacing w:before="100" w:beforeAutospacing="1" w:after="100" w:afterAutospacing="1" w:line="300" w:lineRule="exact"/>
      <w:ind w:left="-96" w:leftChars="-40" w:right="-16" w:firstLine="482" w:firstLineChars="200"/>
      <w:textAlignment w:val="baseline"/>
    </w:pPr>
    <w:rPr>
      <w:rFonts w:ascii="宋体" w:hAnsi="宋体" w:eastAsia="FangSong_GB2312" w:cs="宋体"/>
      <w:sz w:val="28"/>
      <w:szCs w:val="28"/>
    </w:rPr>
  </w:style>
  <w:style w:type="character" w:customStyle="1" w:styleId="28">
    <w:name w:val="页脚 Char"/>
    <w:link w:val="14"/>
    <w:qFormat/>
    <w:locked/>
    <w:uiPriority w:val="99"/>
    <w:rPr>
      <w:sz w:val="18"/>
    </w:rPr>
  </w:style>
  <w:style w:type="character" w:customStyle="1" w:styleId="29">
    <w:name w:val="日期 Char"/>
    <w:link w:val="11"/>
    <w:qFormat/>
    <w:locked/>
    <w:uiPriority w:val="0"/>
    <w:rPr>
      <w:rFonts w:ascii="Times New Roman" w:hAnsi="Times New Roman" w:eastAsia="宋体"/>
      <w:sz w:val="24"/>
    </w:rPr>
  </w:style>
  <w:style w:type="character" w:customStyle="1" w:styleId="30">
    <w:name w:val="页脚 字符"/>
    <w:basedOn w:val="23"/>
    <w:qFormat/>
    <w:uiPriority w:val="99"/>
  </w:style>
  <w:style w:type="character" w:customStyle="1" w:styleId="31">
    <w:name w:val="普通(网站) Char"/>
    <w:link w:val="18"/>
    <w:qFormat/>
    <w:locked/>
    <w:uiPriority w:val="0"/>
    <w:rPr>
      <w:rFonts w:ascii="宋体" w:hAnsi="宋体" w:eastAsia="宋体"/>
      <w:sz w:val="24"/>
    </w:rPr>
  </w:style>
  <w:style w:type="character" w:customStyle="1" w:styleId="32">
    <w:name w:val="正文文本 字符1"/>
    <w:semiHidden/>
    <w:qFormat/>
    <w:uiPriority w:val="0"/>
    <w:rPr>
      <w:rFonts w:ascii="Times New Roman" w:hAnsi="Times New Roman" w:eastAsia="宋体"/>
      <w:sz w:val="24"/>
    </w:rPr>
  </w:style>
  <w:style w:type="character" w:customStyle="1" w:styleId="33">
    <w:name w:val="正文文本 Char"/>
    <w:link w:val="7"/>
    <w:qFormat/>
    <w:locked/>
    <w:uiPriority w:val="0"/>
    <w:rPr>
      <w:sz w:val="18"/>
    </w:rPr>
  </w:style>
  <w:style w:type="character" w:customStyle="1" w:styleId="34">
    <w:name w:val="批注文字 Char1"/>
    <w:link w:val="6"/>
    <w:qFormat/>
    <w:locked/>
    <w:uiPriority w:val="0"/>
    <w:rPr>
      <w:rFonts w:ascii="Times New Roman" w:hAnsi="Times New Roman" w:eastAsia="宋体"/>
      <w:sz w:val="24"/>
    </w:rPr>
  </w:style>
  <w:style w:type="character" w:customStyle="1" w:styleId="35">
    <w:name w:val="表格 Char"/>
    <w:link w:val="36"/>
    <w:qFormat/>
    <w:locked/>
    <w:uiPriority w:val="0"/>
    <w:rPr>
      <w:rFonts w:ascii="宋体"/>
      <w:sz w:val="21"/>
    </w:rPr>
  </w:style>
  <w:style w:type="paragraph" w:customStyle="1" w:styleId="36">
    <w:name w:val="表格"/>
    <w:basedOn w:val="1"/>
    <w:next w:val="1"/>
    <w:link w:val="35"/>
    <w:qFormat/>
    <w:uiPriority w:val="0"/>
    <w:pPr>
      <w:adjustRightInd w:val="0"/>
      <w:snapToGrid w:val="0"/>
      <w:spacing w:beforeLines="10" w:afterLines="10" w:line="259" w:lineRule="auto"/>
      <w:jc w:val="center"/>
    </w:pPr>
    <w:rPr>
      <w:rFonts w:ascii="宋体"/>
      <w:kern w:val="0"/>
      <w:szCs w:val="20"/>
    </w:rPr>
  </w:style>
  <w:style w:type="character" w:customStyle="1" w:styleId="37">
    <w:name w:val="日期 字符"/>
    <w:semiHidden/>
    <w:qFormat/>
    <w:uiPriority w:val="0"/>
    <w:rPr>
      <w:rFonts w:ascii="Times New Roman" w:hAnsi="Times New Roman" w:eastAsia="宋体"/>
      <w:sz w:val="24"/>
    </w:rPr>
  </w:style>
  <w:style w:type="character" w:customStyle="1" w:styleId="38">
    <w:name w:val="批注框文本 Char1"/>
    <w:link w:val="13"/>
    <w:semiHidden/>
    <w:qFormat/>
    <w:locked/>
    <w:uiPriority w:val="0"/>
    <w:rPr>
      <w:rFonts w:ascii="Times New Roman" w:hAnsi="Times New Roman" w:eastAsia="宋体"/>
      <w:sz w:val="18"/>
    </w:rPr>
  </w:style>
  <w:style w:type="character" w:customStyle="1" w:styleId="39">
    <w:name w:val="批注主题 Char1"/>
    <w:link w:val="19"/>
    <w:semiHidden/>
    <w:qFormat/>
    <w:locked/>
    <w:uiPriority w:val="0"/>
    <w:rPr>
      <w:rFonts w:ascii="Times New Roman" w:hAnsi="Times New Roman" w:eastAsia="宋体"/>
      <w:b/>
      <w:kern w:val="2"/>
      <w:sz w:val="24"/>
    </w:rPr>
  </w:style>
  <w:style w:type="character" w:customStyle="1" w:styleId="40">
    <w:name w:val="页眉 Char1"/>
    <w:link w:val="15"/>
    <w:qFormat/>
    <w:locked/>
    <w:uiPriority w:val="0"/>
    <w:rPr>
      <w:sz w:val="18"/>
    </w:rPr>
  </w:style>
  <w:style w:type="character" w:customStyle="1" w:styleId="41">
    <w:name w:val="批注文字 字符1"/>
    <w:semiHidden/>
    <w:qFormat/>
    <w:uiPriority w:val="0"/>
    <w:rPr>
      <w:rFonts w:ascii="Times New Roman" w:hAnsi="Times New Roman" w:eastAsia="宋体"/>
      <w:sz w:val="24"/>
    </w:rPr>
  </w:style>
  <w:style w:type="character" w:customStyle="1" w:styleId="42">
    <w:name w:val="正文文本缩进 Char"/>
    <w:link w:val="8"/>
    <w:semiHidden/>
    <w:qFormat/>
    <w:locked/>
    <w:uiPriority w:val="0"/>
    <w:rPr>
      <w:rFonts w:ascii="Times New Roman" w:hAnsi="Times New Roman" w:eastAsia="宋体"/>
      <w:sz w:val="24"/>
    </w:rPr>
  </w:style>
  <w:style w:type="paragraph" w:customStyle="1" w:styleId="43">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4">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45">
    <w:name w:val="表格内文字"/>
    <w:basedOn w:val="1"/>
    <w:link w:val="80"/>
    <w:qFormat/>
    <w:uiPriority w:val="0"/>
    <w:pPr>
      <w:widowControl/>
      <w:tabs>
        <w:tab w:val="left" w:pos="0"/>
      </w:tabs>
      <w:snapToGrid w:val="0"/>
      <w:jc w:val="center"/>
    </w:pPr>
    <w:rPr>
      <w:rFonts w:ascii="FangSong_GB2312" w:hAnsi="宋体" w:eastAsia="FangSong_GB2312" w:cs="宋体"/>
      <w:w w:val="90"/>
      <w:kern w:val="18"/>
      <w:sz w:val="24"/>
    </w:rPr>
  </w:style>
  <w:style w:type="character" w:customStyle="1" w:styleId="46">
    <w:name w:val="正文文本 2 Char"/>
    <w:basedOn w:val="23"/>
    <w:link w:val="17"/>
    <w:qFormat/>
    <w:uiPriority w:val="0"/>
    <w:rPr>
      <w:kern w:val="2"/>
      <w:sz w:val="21"/>
      <w:szCs w:val="24"/>
    </w:rPr>
  </w:style>
  <w:style w:type="character" w:customStyle="1" w:styleId="47">
    <w:name w:val="批注文字 Char"/>
    <w:basedOn w:val="23"/>
    <w:qFormat/>
    <w:uiPriority w:val="99"/>
    <w:rPr>
      <w:rFonts w:ascii="Calibri" w:hAnsi="Calibri"/>
      <w:kern w:val="2"/>
      <w:sz w:val="21"/>
    </w:rPr>
  </w:style>
  <w:style w:type="paragraph" w:customStyle="1" w:styleId="48">
    <w:name w:val="Table Paragraph"/>
    <w:basedOn w:val="1"/>
    <w:qFormat/>
    <w:uiPriority w:val="1"/>
    <w:pPr>
      <w:autoSpaceDE w:val="0"/>
      <w:autoSpaceDN w:val="0"/>
      <w:adjustRightInd w:val="0"/>
      <w:jc w:val="left"/>
    </w:pPr>
    <w:rPr>
      <w:rFonts w:ascii="Calibri" w:hAnsi="Calibri"/>
      <w:kern w:val="0"/>
      <w:sz w:val="24"/>
    </w:rPr>
  </w:style>
  <w:style w:type="paragraph" w:customStyle="1" w:styleId="49">
    <w:name w:val="图表文字"/>
    <w:basedOn w:val="1"/>
    <w:link w:val="52"/>
    <w:qFormat/>
    <w:uiPriority w:val="0"/>
    <w:pPr>
      <w:spacing w:line="300" w:lineRule="exact"/>
      <w:jc w:val="center"/>
    </w:pPr>
    <w:rPr>
      <w:rFonts w:ascii="Calibri" w:hAnsi="Calibri"/>
      <w:bCs/>
      <w:szCs w:val="20"/>
    </w:rPr>
  </w:style>
  <w:style w:type="paragraph" w:customStyle="1" w:styleId="50">
    <w:name w:val="我的样式（正文）"/>
    <w:basedOn w:val="1"/>
    <w:qFormat/>
    <w:uiPriority w:val="0"/>
    <w:pPr>
      <w:spacing w:line="440" w:lineRule="exact"/>
    </w:pPr>
    <w:rPr>
      <w:rFonts w:ascii="宋体" w:hAnsi="Calibri"/>
      <w:sz w:val="28"/>
    </w:rPr>
  </w:style>
  <w:style w:type="character" w:customStyle="1" w:styleId="51">
    <w:name w:val="正文缩进 Char"/>
    <w:basedOn w:val="23"/>
    <w:link w:val="5"/>
    <w:qFormat/>
    <w:uiPriority w:val="0"/>
    <w:rPr>
      <w:rFonts w:ascii="Calibri" w:hAnsi="Calibri"/>
      <w:kern w:val="2"/>
      <w:sz w:val="21"/>
    </w:rPr>
  </w:style>
  <w:style w:type="character" w:customStyle="1" w:styleId="52">
    <w:name w:val="图表文字 Char"/>
    <w:link w:val="49"/>
    <w:qFormat/>
    <w:uiPriority w:val="0"/>
    <w:rPr>
      <w:rFonts w:ascii="Calibri" w:hAnsi="Calibri"/>
      <w:bCs/>
      <w:kern w:val="2"/>
      <w:sz w:val="21"/>
    </w:rPr>
  </w:style>
  <w:style w:type="character" w:customStyle="1" w:styleId="53">
    <w:name w:val="标题 2 Char"/>
    <w:basedOn w:val="23"/>
    <w:link w:val="4"/>
    <w:semiHidden/>
    <w:qFormat/>
    <w:uiPriority w:val="0"/>
    <w:rPr>
      <w:rFonts w:asciiTheme="majorHAnsi" w:hAnsiTheme="majorHAnsi" w:eastAsiaTheme="majorEastAsia" w:cstheme="majorBidi"/>
      <w:b/>
      <w:bCs/>
      <w:kern w:val="2"/>
      <w:sz w:val="32"/>
      <w:szCs w:val="32"/>
    </w:rPr>
  </w:style>
  <w:style w:type="character" w:customStyle="1" w:styleId="54">
    <w:name w:val="纯文本 Char"/>
    <w:basedOn w:val="23"/>
    <w:link w:val="9"/>
    <w:qFormat/>
    <w:uiPriority w:val="0"/>
    <w:rPr>
      <w:rFonts w:ascii="宋体" w:hAnsi="Courier New"/>
      <w:kern w:val="2"/>
      <w:sz w:val="21"/>
    </w:rPr>
  </w:style>
  <w:style w:type="character" w:customStyle="1" w:styleId="55">
    <w:name w:val="正文文本缩进 2 Char"/>
    <w:basedOn w:val="23"/>
    <w:link w:val="12"/>
    <w:qFormat/>
    <w:uiPriority w:val="0"/>
    <w:rPr>
      <w:rFonts w:ascii="宋体" w:hAnsi="Calibri"/>
      <w:bCs/>
      <w:kern w:val="2"/>
      <w:sz w:val="24"/>
    </w:rPr>
  </w:style>
  <w:style w:type="character" w:customStyle="1" w:styleId="56">
    <w:name w:val="正文文本缩进 3 Char"/>
    <w:basedOn w:val="23"/>
    <w:link w:val="16"/>
    <w:qFormat/>
    <w:uiPriority w:val="0"/>
    <w:rPr>
      <w:rFonts w:ascii="宋体" w:hAnsi="宋体"/>
      <w:kern w:val="2"/>
      <w:sz w:val="24"/>
    </w:rPr>
  </w:style>
  <w:style w:type="character" w:customStyle="1" w:styleId="57">
    <w:name w:val="正文首行缩进 2 Char"/>
    <w:basedOn w:val="42"/>
    <w:link w:val="20"/>
    <w:qFormat/>
    <w:uiPriority w:val="0"/>
    <w:rPr>
      <w:rFonts w:ascii="Calibri" w:hAnsi="Calibri" w:eastAsia="楷体_GB2312"/>
      <w:color w:val="000000"/>
      <w:kern w:val="2"/>
      <w:sz w:val="21"/>
    </w:rPr>
  </w:style>
  <w:style w:type="paragraph" w:customStyle="1" w:styleId="58">
    <w:name w:val="Body Text 21"/>
    <w:basedOn w:val="1"/>
    <w:qFormat/>
    <w:uiPriority w:val="0"/>
    <w:pPr>
      <w:textAlignment w:val="baseline"/>
    </w:pPr>
    <w:rPr>
      <w:rFonts w:ascii="Calibri" w:hAnsi="Calibri"/>
      <w:color w:val="000000"/>
      <w:sz w:val="24"/>
      <w:szCs w:val="20"/>
    </w:rPr>
  </w:style>
  <w:style w:type="paragraph" w:customStyle="1" w:styleId="59">
    <w:name w:val="图文框"/>
    <w:basedOn w:val="1"/>
    <w:qFormat/>
    <w:uiPriority w:val="0"/>
    <w:pPr>
      <w:adjustRightInd w:val="0"/>
      <w:snapToGrid w:val="0"/>
      <w:jc w:val="center"/>
    </w:pPr>
    <w:rPr>
      <w:rFonts w:ascii="宋体" w:hAnsi="宋体"/>
      <w:color w:val="000000"/>
      <w:sz w:val="18"/>
    </w:rPr>
  </w:style>
  <w:style w:type="paragraph" w:customStyle="1" w:styleId="60">
    <w:name w:val="表"/>
    <w:basedOn w:val="1"/>
    <w:qFormat/>
    <w:uiPriority w:val="0"/>
    <w:pPr>
      <w:keepNext/>
      <w:keepLines/>
      <w:adjustRightInd w:val="0"/>
      <w:spacing w:before="60"/>
      <w:jc w:val="center"/>
    </w:pPr>
    <w:rPr>
      <w:rFonts w:ascii="Calibri" w:hAnsi="Calibri" w:eastAsia="FangSong_GB2312"/>
      <w:kern w:val="21"/>
      <w:sz w:val="24"/>
      <w:szCs w:val="20"/>
    </w:rPr>
  </w:style>
  <w:style w:type="paragraph" w:customStyle="1" w:styleId="61">
    <w:name w:val="p0"/>
    <w:basedOn w:val="1"/>
    <w:qFormat/>
    <w:uiPriority w:val="0"/>
    <w:pPr>
      <w:widowControl/>
    </w:pPr>
    <w:rPr>
      <w:rFonts w:ascii="Calibri" w:hAnsi="Calibri"/>
      <w:kern w:val="0"/>
      <w:szCs w:val="21"/>
    </w:rPr>
  </w:style>
  <w:style w:type="paragraph" w:customStyle="1" w:styleId="62">
    <w:name w:val="表格文字"/>
    <w:basedOn w:val="1"/>
    <w:qFormat/>
    <w:uiPriority w:val="0"/>
    <w:pPr>
      <w:adjustRightInd w:val="0"/>
      <w:snapToGrid w:val="0"/>
      <w:jc w:val="center"/>
    </w:pPr>
    <w:rPr>
      <w:rFonts w:ascii="FangSong_GB2312" w:hAnsi="Arial Black" w:eastAsia="FangSong_GB2312"/>
      <w:kern w:val="44"/>
      <w:sz w:val="24"/>
      <w:szCs w:val="20"/>
    </w:rPr>
  </w:style>
  <w:style w:type="paragraph" w:customStyle="1" w:styleId="63">
    <w:name w:val="表格标题"/>
    <w:basedOn w:val="1"/>
    <w:qFormat/>
    <w:uiPriority w:val="0"/>
    <w:pPr>
      <w:adjustRightInd w:val="0"/>
      <w:spacing w:before="120" w:line="360" w:lineRule="auto"/>
      <w:jc w:val="center"/>
    </w:pPr>
    <w:rPr>
      <w:rFonts w:ascii="Calibri" w:hAnsi="Calibri" w:eastAsia="文鼎CS中宋"/>
      <w:kern w:val="0"/>
      <w:sz w:val="24"/>
      <w:szCs w:val="20"/>
    </w:rPr>
  </w:style>
  <w:style w:type="paragraph" w:customStyle="1" w:styleId="64">
    <w:name w:val="文本框样式"/>
    <w:basedOn w:val="1"/>
    <w:qFormat/>
    <w:uiPriority w:val="0"/>
    <w:pPr>
      <w:jc w:val="center"/>
    </w:pPr>
    <w:rPr>
      <w:rFonts w:ascii="Calibri" w:hAnsi="Calibri"/>
      <w:szCs w:val="21"/>
    </w:rPr>
  </w:style>
  <w:style w:type="paragraph" w:customStyle="1" w:styleId="65">
    <w:name w:val="图标题"/>
    <w:basedOn w:val="1"/>
    <w:qFormat/>
    <w:uiPriority w:val="0"/>
    <w:pPr>
      <w:spacing w:line="300" w:lineRule="exact"/>
    </w:pPr>
    <w:rPr>
      <w:rFonts w:ascii="FangSong_GB2312" w:hAnsi="Calibri" w:eastAsia="FangSong_GB2312"/>
      <w:b/>
      <w:bCs/>
      <w:sz w:val="24"/>
    </w:rPr>
  </w:style>
  <w:style w:type="character" w:customStyle="1" w:styleId="66">
    <w:name w:val="font11"/>
    <w:basedOn w:val="23"/>
    <w:qFormat/>
    <w:uiPriority w:val="0"/>
    <w:rPr>
      <w:rFonts w:hint="eastAsia" w:ascii="宋体" w:hAnsi="宋体" w:eastAsia="宋体" w:cs="宋体"/>
      <w:color w:val="000000"/>
      <w:sz w:val="18"/>
      <w:szCs w:val="18"/>
      <w:u w:val="none"/>
    </w:rPr>
  </w:style>
  <w:style w:type="character" w:customStyle="1" w:styleId="67">
    <w:name w:val="font21"/>
    <w:basedOn w:val="23"/>
    <w:qFormat/>
    <w:uiPriority w:val="0"/>
    <w:rPr>
      <w:rFonts w:hint="default" w:ascii="TimesNewRomanPSMT" w:hAnsi="TimesNewRomanPSMT" w:eastAsia="TimesNewRomanPSMT" w:cs="TimesNewRomanPSMT"/>
      <w:color w:val="000000"/>
      <w:sz w:val="18"/>
      <w:szCs w:val="18"/>
      <w:u w:val="none"/>
    </w:rPr>
  </w:style>
  <w:style w:type="paragraph" w:customStyle="1" w:styleId="68">
    <w:name w:val="xl2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kern w:val="0"/>
      <w:sz w:val="24"/>
    </w:rPr>
  </w:style>
  <w:style w:type="paragraph" w:customStyle="1" w:styleId="69">
    <w:name w:val="Other|1"/>
    <w:basedOn w:val="1"/>
    <w:qFormat/>
    <w:uiPriority w:val="0"/>
    <w:rPr>
      <w:rFonts w:ascii="MingLiU" w:hAnsi="MingLiU" w:eastAsia="MingLiU" w:cs="MingLiU"/>
      <w:sz w:val="19"/>
      <w:szCs w:val="19"/>
      <w:lang w:val="zh-TW" w:eastAsia="zh-TW" w:bidi="zh-TW"/>
    </w:rPr>
  </w:style>
  <w:style w:type="paragraph" w:customStyle="1" w:styleId="70">
    <w:name w:val="Body text|1"/>
    <w:basedOn w:val="1"/>
    <w:qFormat/>
    <w:uiPriority w:val="0"/>
    <w:pPr>
      <w:spacing w:after="180" w:line="413" w:lineRule="auto"/>
    </w:pPr>
    <w:rPr>
      <w:rFonts w:ascii="宋体" w:hAnsi="宋体" w:cs="宋体"/>
      <w:szCs w:val="20"/>
      <w:lang w:val="zh-TW" w:eastAsia="zh-TW" w:bidi="zh-TW"/>
    </w:rPr>
  </w:style>
  <w:style w:type="paragraph" w:customStyle="1" w:styleId="71">
    <w:name w:val="Table caption|1"/>
    <w:basedOn w:val="1"/>
    <w:qFormat/>
    <w:uiPriority w:val="0"/>
    <w:rPr>
      <w:rFonts w:ascii="MingLiU" w:hAnsi="MingLiU" w:eastAsia="MingLiU" w:cs="MingLiU"/>
      <w:sz w:val="19"/>
      <w:szCs w:val="19"/>
      <w:lang w:val="zh-TW" w:eastAsia="zh-TW" w:bidi="zh-TW"/>
    </w:rPr>
  </w:style>
  <w:style w:type="character" w:customStyle="1" w:styleId="72">
    <w:name w:val="批注框文本 Char"/>
    <w:basedOn w:val="23"/>
    <w:qFormat/>
    <w:uiPriority w:val="0"/>
    <w:rPr>
      <w:rFonts w:ascii="Calibri" w:hAnsi="Calibri"/>
      <w:kern w:val="2"/>
      <w:sz w:val="18"/>
      <w:szCs w:val="18"/>
    </w:rPr>
  </w:style>
  <w:style w:type="character" w:styleId="73">
    <w:name w:val="Placeholder Text"/>
    <w:basedOn w:val="23"/>
    <w:unhideWhenUsed/>
    <w:qFormat/>
    <w:uiPriority w:val="99"/>
    <w:rPr>
      <w:color w:val="808080"/>
    </w:rPr>
  </w:style>
  <w:style w:type="paragraph" w:styleId="74">
    <w:name w:val="List Paragraph"/>
    <w:basedOn w:val="1"/>
    <w:unhideWhenUsed/>
    <w:qFormat/>
    <w:uiPriority w:val="99"/>
    <w:pPr>
      <w:ind w:firstLine="420" w:firstLineChars="200"/>
    </w:pPr>
    <w:rPr>
      <w:rFonts w:ascii="Calibri" w:hAnsi="Calibri"/>
      <w:szCs w:val="20"/>
    </w:rPr>
  </w:style>
  <w:style w:type="character" w:customStyle="1" w:styleId="75">
    <w:name w:val="批注主题 Char"/>
    <w:basedOn w:val="47"/>
    <w:qFormat/>
    <w:uiPriority w:val="0"/>
    <w:rPr>
      <w:rFonts w:ascii="Calibri" w:hAnsi="Calibri"/>
      <w:kern w:val="2"/>
      <w:sz w:val="21"/>
    </w:rPr>
  </w:style>
  <w:style w:type="character" w:customStyle="1" w:styleId="76">
    <w:name w:val="页眉 Char"/>
    <w:basedOn w:val="23"/>
    <w:qFormat/>
    <w:uiPriority w:val="0"/>
    <w:rPr>
      <w:rFonts w:ascii="Calibri" w:hAnsi="Calibri"/>
      <w:kern w:val="2"/>
      <w:sz w:val="18"/>
      <w:szCs w:val="24"/>
    </w:rPr>
  </w:style>
  <w:style w:type="paragraph" w:customStyle="1" w:styleId="77">
    <w:name w:val="样式 自动设置"/>
    <w:basedOn w:val="1"/>
    <w:qFormat/>
    <w:uiPriority w:val="0"/>
    <w:pPr>
      <w:autoSpaceDE w:val="0"/>
      <w:autoSpaceDN w:val="0"/>
      <w:adjustRightInd w:val="0"/>
      <w:snapToGrid w:val="0"/>
      <w:spacing w:beforeLines="50" w:line="288" w:lineRule="auto"/>
      <w:ind w:firstLine="200" w:firstLineChars="200"/>
    </w:pPr>
    <w:rPr>
      <w:rFonts w:cs="宋体"/>
      <w:sz w:val="24"/>
      <w:szCs w:val="20"/>
    </w:rPr>
  </w:style>
  <w:style w:type="paragraph" w:customStyle="1" w:styleId="78">
    <w:name w:val="默认段落字体 Para Char Char Char Char"/>
    <w:basedOn w:val="1"/>
    <w:qFormat/>
    <w:uiPriority w:val="0"/>
    <w:rPr>
      <w:sz w:val="24"/>
    </w:rPr>
  </w:style>
  <w:style w:type="paragraph" w:customStyle="1" w:styleId="79">
    <w:name w:val="默认段落字体 Para Char"/>
    <w:basedOn w:val="1"/>
    <w:qFormat/>
    <w:uiPriority w:val="0"/>
    <w:rPr>
      <w:rFonts w:ascii="楷体" w:hAnsi="楷体" w:cs="楷体"/>
      <w:sz w:val="24"/>
    </w:rPr>
  </w:style>
  <w:style w:type="character" w:customStyle="1" w:styleId="80">
    <w:name w:val="表格内文字 Char"/>
    <w:link w:val="45"/>
    <w:qFormat/>
    <w:uiPriority w:val="0"/>
    <w:rPr>
      <w:rFonts w:ascii="FangSong_GB2312" w:hAnsi="宋体" w:eastAsia="FangSong_GB2312" w:cs="宋体"/>
      <w:w w:val="90"/>
      <w:kern w:val="18"/>
      <w:sz w:val="24"/>
      <w:szCs w:val="24"/>
    </w:rPr>
  </w:style>
  <w:style w:type="character" w:customStyle="1" w:styleId="81">
    <w:name w:val="15"/>
    <w:basedOn w:val="23"/>
    <w:qFormat/>
    <w:uiPriority w:val="0"/>
    <w:rPr>
      <w:rFonts w:hint="eastAsia" w:ascii="宋体" w:hAnsi="宋体" w:eastAsia="宋体" w:cs="Times New Roman"/>
      <w:color w:val="000000"/>
      <w:sz w:val="21"/>
      <w:szCs w:val="21"/>
    </w:rPr>
  </w:style>
  <w:style w:type="character" w:customStyle="1" w:styleId="82">
    <w:name w:val="16"/>
    <w:basedOn w:val="23"/>
    <w:qFormat/>
    <w:uiPriority w:val="0"/>
    <w:rPr>
      <w:rFonts w:hint="eastAsia" w:ascii="宋体" w:hAnsi="宋体" w:eastAsia="宋体" w:cs="Times New Roman"/>
      <w:color w:val="000000"/>
      <w:sz w:val="22"/>
      <w:szCs w:val="22"/>
    </w:rPr>
  </w:style>
  <w:style w:type="paragraph" w:customStyle="1" w:styleId="83">
    <w:name w:val="+正文"/>
    <w:basedOn w:val="1"/>
    <w:qFormat/>
    <w:uiPriority w:val="0"/>
    <w:pPr>
      <w:spacing w:line="360" w:lineRule="auto"/>
      <w:ind w:firstLine="200" w:firstLineChars="200"/>
    </w:pPr>
    <w:rPr>
      <w:sz w:val="24"/>
    </w:rPr>
  </w:style>
  <w:style w:type="paragraph" w:customStyle="1" w:styleId="84">
    <w:name w:val="1  正文"/>
    <w:basedOn w:val="1"/>
    <w:qFormat/>
    <w:uiPriority w:val="0"/>
    <w:pPr>
      <w:spacing w:line="360" w:lineRule="auto"/>
      <w:ind w:firstLine="480" w:firstLineChars="200"/>
    </w:pPr>
    <w:rPr>
      <w:sz w:val="24"/>
    </w:rPr>
  </w:style>
  <w:style w:type="paragraph" w:customStyle="1" w:styleId="85">
    <w:name w:val="表内文字"/>
    <w:basedOn w:val="1"/>
    <w:qFormat/>
    <w:uiPriority w:val="0"/>
    <w:pPr>
      <w:jc w:val="center"/>
    </w:pPr>
    <w:rPr>
      <w:sz w:val="24"/>
    </w:rPr>
  </w:style>
  <w:style w:type="paragraph" w:customStyle="1" w:styleId="86">
    <w:name w:val="WPSOffice手动目录 1"/>
    <w:qFormat/>
    <w:uiPriority w:val="0"/>
    <w:pPr>
      <w:ind w:leftChars="0"/>
    </w:pPr>
    <w:rPr>
      <w:rFonts w:ascii="Times New Roman" w:hAnsi="Times New Roman" w:eastAsia="宋体" w:cs="Times New Roman"/>
      <w:sz w:val="20"/>
      <w:szCs w:val="20"/>
    </w:rPr>
  </w:style>
  <w:style w:type="paragraph" w:customStyle="1" w:styleId="87">
    <w:name w:val="msolistparagraph"/>
    <w:basedOn w:val="1"/>
    <w:qFormat/>
    <w:uiPriority w:val="0"/>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4.wmf"/><Relationship Id="rId16" Type="http://schemas.openxmlformats.org/officeDocument/2006/relationships/oleObject" Target="embeddings/oleObject3.bin"/><Relationship Id="rId15" Type="http://schemas.openxmlformats.org/officeDocument/2006/relationships/image" Target="media/image3.wmf"/><Relationship Id="rId14" Type="http://schemas.openxmlformats.org/officeDocument/2006/relationships/oleObject" Target="embeddings/oleObject2.bin"/><Relationship Id="rId13" Type="http://schemas.openxmlformats.org/officeDocument/2006/relationships/image" Target="media/image2.png"/><Relationship Id="rId12" Type="http://schemas.openxmlformats.org/officeDocument/2006/relationships/image" Target="media/image1.wmf"/><Relationship Id="rId11" Type="http://schemas.openxmlformats.org/officeDocument/2006/relationships/oleObject" Target="embeddings/oleObject1.bin"/><Relationship Id="rId10" Type="http://schemas.openxmlformats.org/officeDocument/2006/relationships/theme" Target="theme/theme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3073"/>
    <customShpInfo spid="_x0000_s3074"/>
    <customShpInfo spid="_x0000_s3075"/>
    <customShpInfo spid="_x0000_s3076"/>
    <customShpInfo spid="_x0000_s2111"/>
    <customShpInfo spid="_x0000_s2112"/>
    <customShpInfo spid="_x0000_s2113"/>
    <customShpInfo spid="_x0000_s2114"/>
    <customShpInfo spid="_x0000_s2115"/>
    <customShpInfo spid="_x0000_s2116"/>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10"/>
    <customShpInfo spid="_x0000_s2088"/>
    <customShpInfo spid="_x0000_s124094"/>
    <customShpInfo spid="_x0000_s124336"/>
    <customShpInfo spid="_x0000_s124337"/>
    <customShpInfo spid="_x0000_s124338"/>
    <customShpInfo spid="_x0000_s124339"/>
    <customShpInfo spid="_x0000_s124340"/>
    <customShpInfo spid="_x0000_s124341"/>
    <customShpInfo spid="_x0000_s124342"/>
    <customShpInfo spid="_x0000_s124343"/>
    <customShpInfo spid="_x0000_s124344"/>
    <customShpInfo spid="_x0000_s124345"/>
    <customShpInfo spid="_x0000_s124346"/>
    <customShpInfo spid="_x0000_s124347"/>
    <customShpInfo spid="_x0000_s124348"/>
    <customShpInfo spid="_x0000_s124349"/>
    <customShpInfo spid="_x0000_s124350"/>
    <customShpInfo spid="_x0000_s124351"/>
    <customShpInfo spid="_x0000_s124352"/>
    <customShpInfo spid="_x0000_s124353"/>
    <customShpInfo spid="_x0000_s124354"/>
    <customShpInfo spid="_x0000_s124355"/>
    <customShpInfo spid="_x0000_s124356"/>
    <customShpInfo spid="_x0000_s124357"/>
    <customShpInfo spid="_x0000_s124358"/>
    <customShpInfo spid="_x0000_s124359"/>
    <customShpInfo spid="_x0000_s124360"/>
    <customShpInfo spid="_x0000_s124361"/>
    <customShpInfo spid="_x0000_s124362"/>
    <customShpInfo spid="_x0000_s124363"/>
    <customShpInfo spid="_x0000_s124364"/>
    <customShpInfo spid="_x0000_s124365"/>
    <customShpInfo spid="_x0000_s124366"/>
    <customShpInfo spid="_x0000_s124367"/>
    <customShpInfo spid="_x0000_s124368"/>
    <customShpInfo spid="_x0000_s124369"/>
    <customShpInfo spid="_x0000_s124370"/>
    <customShpInfo spid="_x0000_s124371"/>
    <customShpInfo spid="_x0000_s124372"/>
    <customShpInfo spid="_x0000_s124373"/>
    <customShpInfo spid="_x0000_s124374"/>
    <customShpInfo spid="_x0000_s124375"/>
    <customShpInfo spid="_x0000_s124376"/>
    <customShpInfo spid="_x0000_s124377"/>
    <customShpInfo spid="_x0000_s124378"/>
    <customShpInfo spid="_x0000_s124379"/>
    <customShpInfo spid="_x0000_s124380"/>
    <customShpInfo spid="_x0000_s124381"/>
    <customShpInfo spid="_x0000_s124382"/>
    <customShpInfo spid="_x0000_s124383"/>
    <customShpInfo spid="_x0000_s124384"/>
    <customShpInfo spid="_x0000_s124385"/>
    <customShpInfo spid="_x0000_s124386"/>
    <customShpInfo spid="_x0000_s124387"/>
    <customShpInfo spid="_x0000_s124388"/>
    <customShpInfo spid="_x0000_s124389"/>
    <customShpInfo spid="_x0000_s2109"/>
    <customShpInfo spid="_x0000_s124192"/>
    <customShpInfo spid="_x0000_s124235"/>
    <customShpInfo spid="_x0000_s124236"/>
    <customShpInfo spid="_x0000_s124237"/>
    <customShpInfo spid="_x0000_s124238"/>
    <customShpInfo spid="_x0000_s124239"/>
    <customShpInfo spid="_x0000_s124240"/>
    <customShpInfo spid="_x0000_s124241"/>
    <customShpInfo spid="_x0000_s124242"/>
    <customShpInfo spid="_x0000_s124243"/>
    <customShpInfo spid="_x0000_s124244"/>
    <customShpInfo spid="_x0000_s124245"/>
    <customShpInfo spid="_x0000_s124246"/>
    <customShpInfo spid="_x0000_s124247"/>
    <customShpInfo spid="_x0000_s124248"/>
    <customShpInfo spid="_x0000_s124249"/>
    <customShpInfo spid="_x0000_s124250"/>
    <customShpInfo spid="_x0000_s124251"/>
    <customShpInfo spid="_x0000_s124252"/>
    <customShpInfo spid="_x0000_s124253"/>
    <customShpInfo spid="_x0000_s124254"/>
    <customShpInfo spid="_x0000_s124255"/>
    <customShpInfo spid="_x0000_s124256"/>
    <customShpInfo spid="_x0000_s124257"/>
    <customShpInfo spid="_x0000_s124258"/>
    <customShpInfo spid="_x0000_s124259"/>
    <customShpInfo spid="_x0000_s124260"/>
    <customShpInfo spid="_x0000_s124261"/>
    <customShpInfo spid="_x0000_s124262"/>
    <customShpInfo spid="_x0000_s124263"/>
    <customShpInfo spid="_x0000_s124272"/>
    <customShpInfo spid="_x0000_s124273"/>
    <customShpInfo spid="_x0000_s124274"/>
    <customShpInfo spid="_x0000_s124275"/>
    <customShpInfo spid="_x0000_s124276"/>
    <customShpInfo spid="_x0000_s124277"/>
    <customShpInfo spid="_x0000_s124278"/>
    <customShpInfo spid="_x0000_s124279"/>
    <customShpInfo spid="_x0000_s124193"/>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1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C504B8E-44AE-4AD0-9A91-80CD2D45F419}">
  <ds:schemaRefs/>
</ds:datastoreItem>
</file>

<file path=docProps/app.xml><?xml version="1.0" encoding="utf-8"?>
<Properties xmlns="http://schemas.openxmlformats.org/officeDocument/2006/extended-properties" xmlns:vt="http://schemas.openxmlformats.org/officeDocument/2006/docPropsVTypes">
  <Template>wdzx97.dot</Template>
  <Company>微软中国</Company>
  <Pages>88</Pages>
  <Words>51497</Words>
  <Characters>58582</Characters>
  <Lines>475</Lines>
  <Paragraphs>133</Paragraphs>
  <TotalTime>59</TotalTime>
  <ScaleCrop>false</ScaleCrop>
  <LinksUpToDate>false</LinksUpToDate>
  <CharactersWithSpaces>58887</CharactersWithSpaces>
  <Application>WPS Office_11.1.0.11435_F1E327BC-269C-435d-A152-05C5408002CA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2022-05-18T01:49:00Z</dcterms:created>
  <dc:creator>lhj</dc:creator>
  <cp:lastModifiedBy>qzuser</cp:lastModifiedBy>
  <cp:lastPrinted>2022-04-28T08:26:00Z</cp:lastPrinted>
  <dcterms:modified xsi:type="dcterms:W3CDTF">2022-07-25T01:41:23Z</dcterms:modified>
  <dc:title>附件2</dc:title>
  <cp:revision>183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2052-11.1.0.11435</vt:lpwstr>
  </property>
  <property fmtid="{D5CDD505-2E9C-101B-9397-08002B2CF9AE}" pid="3" name="ICV">
    <vt:lpwstr>33AFC2C736AD4787B65198C2481BCBA7</vt:lpwstr>
  </property>
</Properties>
</file>